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hanging="0" w:start="0" w:end="0"/>
        <w:jc w:val="start"/>
        <w:rPr>
          <w:rFonts w:ascii="Liberation Serif" w:hAnsi="Liberation Serif"/>
        </w:rPr>
      </w:pPr>
      <w:r>
        <w:rPr>
          <w:b/>
          <w:bCs/>
        </w:rPr>
        <w:t>The Peruvian Amazon Company and the Putumayo Genocide</w:t>
      </w:r>
    </w:p>
    <w:p>
      <w:pPr>
        <w:pStyle w:val="Normal"/>
        <w:bidi w:val="0"/>
        <w:spacing w:lineRule="auto" w:line="480" w:before="0" w:after="0"/>
        <w:ind w:firstLine="720" w:start="0" w:end="0"/>
        <w:jc w:val="start"/>
        <w:rPr>
          <w:rFonts w:ascii="Liberation Serif" w:hAnsi="Liberation Serif"/>
        </w:rPr>
      </w:pPr>
      <w:r>
        <w:rPr/>
        <w:t xml:space="preserve">The Putumayo River is a tributary of the Amazon river which forms the current border between Colombia and Peru. The river basin is the traditional home of several indigenous peoples: the Huitoto were the most numerous, but there were other groups as well, such as the Bora and Muinane people.  </w:t>
      </w:r>
      <w:commentRangeStart w:id="0"/>
      <w:r>
        <w:rPr/>
        <w:t xml:space="preserve">In the late 19th and early 20th centuries, the land north of the river was claimed by both Peru and Colombia, each of whom sent 'settlers' into the area to establish land claims and harvest its rubber. </w:t>
      </w:r>
      <w:r>
        <w:rPr/>
      </w:r>
      <w:commentRangeEnd w:id="0"/>
      <w:r>
        <w:commentReference w:id="0"/>
      </w:r>
      <w:r>
        <w:rPr/>
        <w:t xml:space="preserve">Rubber was booming, and there was certainly a fortune to be made in its exploitation, but the rubber of the Putumayo region was of an inferior quality. In addition to the well-known Hevea Brasiliensis, which can be tapped, </w:t>
      </w:r>
      <w:commentRangeStart w:id="1"/>
      <w:r>
        <w:rPr/>
        <w:t>the region was home to the lower quality Castilloa Elastica, which was cut down in the process of harvesting its natural latex.</w:t>
      </w:r>
      <w:r>
        <w:rPr/>
      </w:r>
      <w:commentRangeEnd w:id="1"/>
      <w:r>
        <w:commentReference w:id="1"/>
      </w:r>
      <w:r>
        <w:rPr/>
        <w:t xml:space="preserve"> Evidently harvesting was so severe that a contemporary observer in 1907 noted that Colombian harvesters complained there was very little of this second type left.</w:t>
      </w:r>
      <w:r>
        <w:rPr>
          <w:rStyle w:val="FootnoteReference"/>
        </w:rPr>
        <w:footnoteReference w:id="2"/>
      </w:r>
      <w:r>
        <w:rPr/>
        <w:t xml:space="preserve"> The poor quality of the region's rubber required production costs to be kept low in order that the product might be viable on the world market. Both Colombian and Peruvian companies operating in the region relied heavily on the local indigenous population to perform the actual work of harvesting the latex.</w:t>
      </w:r>
    </w:p>
    <w:p>
      <w:pPr>
        <w:pStyle w:val="Normal"/>
        <w:bidi w:val="0"/>
        <w:spacing w:lineRule="auto" w:line="480" w:before="0" w:after="0"/>
        <w:ind w:firstLine="720" w:start="0" w:end="0"/>
        <w:jc w:val="start"/>
        <w:rPr>
          <w:rFonts w:ascii="Liberation Serif" w:hAnsi="Liberation Serif"/>
        </w:rPr>
      </w:pPr>
      <w:r>
        <w:rPr/>
        <w:t>The working conditions were brutal, beyond imagining. Throughout the Putumayo basin, indigenous people were enslaved, compelled to labor as rubber tappers, and massacred in great numbers. In what was known at the time as the Putumayo atrocities, but which is now called the Putumayo Genocide, tens of thousands of the indigenous inhabitants of the region were killed. One of the groups targeted, the Muinane people, were reduced from 2000 to just 20 as a result of the massacres. In 1993, their descendants in the Muinane census still numbered less than 150.</w:t>
      </w:r>
      <w:r>
        <w:rPr>
          <w:rStyle w:val="FootnoteReference"/>
        </w:rPr>
        <w:footnoteReference w:id="3"/>
      </w:r>
      <w:r>
        <w:rPr/>
        <w:t xml:space="preserve"> Exact figures are disputed, but </w:t>
      </w:r>
      <w:commentRangeStart w:id="2"/>
      <w:r>
        <w:rPr/>
        <w:t>Roger Casement</w:t>
      </w:r>
      <w:r>
        <w:rPr/>
      </w:r>
      <w:commentRangeEnd w:id="2"/>
      <w:r>
        <w:commentReference w:id="2"/>
      </w:r>
      <w:r>
        <w:rPr/>
        <w:t xml:space="preserve"> gives a conservative estimate of 30,000 total victims; </w:t>
      </w:r>
      <w:commentRangeStart w:id="3"/>
      <w:r>
        <w:rPr/>
        <w:t>the Putumayo region was depopulated by 90% during the rubber boom.</w:t>
      </w:r>
      <w:r>
        <w:rPr/>
      </w:r>
      <w:commentRangeEnd w:id="3"/>
      <w:r>
        <w:commentReference w:id="3"/>
      </w:r>
      <w:r>
        <w:rPr/>
        <w:t xml:space="preserve"> In addition to ouright massacres, thousands were killed by starvation, overwork, or were forcibly removed from their home region.</w:t>
      </w:r>
    </w:p>
    <w:p>
      <w:pPr>
        <w:pStyle w:val="Normal"/>
        <w:bidi w:val="0"/>
        <w:spacing w:lineRule="auto" w:line="480" w:before="0" w:after="0"/>
        <w:ind w:firstLine="720" w:start="0" w:end="0"/>
        <w:jc w:val="start"/>
        <w:rPr>
          <w:rFonts w:ascii="Liberation Serif" w:hAnsi="Liberation Serif"/>
        </w:rPr>
      </w:pPr>
      <w:r>
        <w:rPr/>
        <w:t xml:space="preserve">The major perpetrator of this genocide was a single company, the J. C. Arana and Hermanos Company which was later renamed the Peruvian Amazon Company (PAC) after receiving a significant investment of British capital in 1907. The origins of the company were relayed by W. E. Hardenburg, an adventurist and engineer who traveled to the Putumayo in search of a rubber fortune. He experienced the brutality of the PAC first hand, and was the first to spread awareness of the atrocities in English. According to Hardenburg, the company was helmed by Julio César Arana, who had originally come to Iquitos as a hat salesman. </w:t>
      </w:r>
      <w:r>
        <w:rPr>
          <w:b w:val="false"/>
          <w:bCs w:val="false"/>
        </w:rPr>
        <w:t>Julio César Arana began to work with small Colombian rubber interests in the late 1890s, and in 1903 started his own rubber company along with his brothers-in-law. He soon bought out his Colombian partners and attempted to push out the remainder of the Colombian competitors. Hardenburg tells us, based on his conversations with the Colombians, and on his later first hand experience, that Arana and his company were ruthless - when dealing with former partners, Arana "[took] advantage of their ignorance and stupidity to rob them scandalously."</w:t>
      </w:r>
      <w:r>
        <w:rPr>
          <w:rStyle w:val="FootnoteReference"/>
          <w:b w:val="false"/>
          <w:bCs w:val="false"/>
        </w:rPr>
        <w:footnoteReference w:id="4"/>
      </w:r>
      <w:r>
        <w:rPr>
          <w:b w:val="false"/>
          <w:bCs w:val="false"/>
        </w:rPr>
        <w:t xml:space="preserve"> When cunning was insufficient, Arana "forced José Cabrera, owner of Nueva Granada, to sell out to them at an insignificant price by threats of killing him, by shooting at him from ambush, by forcibly taking away his Indians [sic], and by the other methods for which this company is known."</w:t>
      </w:r>
      <w:r>
        <w:rPr>
          <w:rStyle w:val="FootnoteReference"/>
          <w:b w:val="false"/>
          <w:bCs w:val="false"/>
        </w:rPr>
        <w:footnoteReference w:id="5"/>
      </w:r>
      <w:r>
        <w:rPr>
          <w:b w:val="false"/>
          <w:bCs w:val="false"/>
        </w:rPr>
        <w:t xml:space="preserve"> </w:t>
      </w:r>
      <w:r>
        <w:rPr/>
        <w:commentReference w:id="4"/>
      </w:r>
    </w:p>
    <w:p>
      <w:pPr>
        <w:pStyle w:val="Normal"/>
        <w:bidi w:val="0"/>
        <w:spacing w:lineRule="auto" w:line="480"/>
        <w:jc w:val="start"/>
        <w:rPr>
          <w:rFonts w:ascii="Liberation Serif" w:hAnsi="Liberation Serif"/>
        </w:rPr>
      </w:pPr>
      <w:r>
        <w:rPr>
          <w:b w:val="false"/>
          <w:bCs w:val="false"/>
        </w:rPr>
        <w:tab/>
        <w:t xml:space="preserve">There is something significant in Hardenburg using the phrase "taking away </w:t>
      </w:r>
      <w:r>
        <w:rPr>
          <w:b w:val="false"/>
          <w:bCs w:val="false"/>
          <w:i/>
          <w:iCs/>
        </w:rPr>
        <w:t>his</w:t>
      </w:r>
      <w:r>
        <w:rPr>
          <w:b w:val="false"/>
          <w:bCs w:val="false"/>
        </w:rPr>
        <w:t xml:space="preserve"> Indians" that we will return to, but for now it's enough to note that over time Arana's methods became more and more terrible. While Hardenburg was visiting Colombian rubber estates in the Putumayo he heard stories of Arana's men attacking his white competitors, murdering their workers, enslaving their children and raping their wives. The PAC conducted raids on independent estates to frighten them out of the region and to steal their rubber stores. In some cases they appear to have been accompanied by Peruvian soldiers, evidently there to enforce Peru's claim to the region. </w:t>
      </w:r>
    </w:p>
    <w:p>
      <w:pPr>
        <w:pStyle w:val="Normal"/>
        <w:bidi w:val="0"/>
        <w:spacing w:lineRule="auto" w:line="480"/>
        <w:jc w:val="start"/>
        <w:rPr>
          <w:rFonts w:ascii="Liberation Serif" w:hAnsi="Liberation Serif"/>
        </w:rPr>
      </w:pPr>
      <w:r>
        <w:rPr>
          <w:b w:val="false"/>
          <w:bCs w:val="false"/>
        </w:rPr>
        <w:tab/>
        <w:t>Hardenburg and his traveling companions were captured in one of these raids and held for some days at one of Arana's estates. It was here that he realized the extent of Arana's criminality. Their violence was not aimed only at competitors, but was directed against the local indigenous population as well. Whereas the Colombian rubber harvesters had paid the native workers - underpaid, to be sure, and often in commodities rather than direct wages - the agents of the Peruvian Amazon Company compelled local indigenous groups to collect rubber by force. Slavery is the obvious term for this, but what was described by Hardenburg and then corroborated by the testimonies Casement collected later went far beyond a system of forcibly extracting labor from unfree subjects. It was a regime of terror. The indigenous Huitoto were forced to collect rubber and were provided only the barest amount of food. If they failed to collect enough rubber they were punished severely, and not only the men, but the women and children all bore the scars of the lash, which came to be known as the "marca de Arana."</w:t>
      </w:r>
      <w:r>
        <w:rPr>
          <w:rStyle w:val="FootnoteReference"/>
          <w:b w:val="false"/>
          <w:bCs w:val="false"/>
        </w:rPr>
        <w:footnoteReference w:id="6"/>
      </w:r>
      <w:r>
        <w:rPr>
          <w:b w:val="false"/>
          <w:bCs w:val="false"/>
        </w:rPr>
        <w:t xml:space="preserve"> When they grew too old or sick to work they were killed and fed to dogs. Beyond this, the company officers kept harems of girls as young as nine whom they raped and killed at will; they used children as target practice, or lit them on fire for amusement. </w:t>
      </w:r>
    </w:p>
    <w:p>
      <w:pPr>
        <w:pStyle w:val="Normal"/>
        <w:bidi w:val="0"/>
        <w:spacing w:lineRule="auto" w:line="480"/>
        <w:jc w:val="start"/>
        <w:rPr>
          <w:rFonts w:ascii="Liberation Serif" w:hAnsi="Liberation Serif"/>
        </w:rPr>
      </w:pPr>
      <w:r>
        <w:rPr>
          <w:b w:val="false"/>
          <w:bCs w:val="false"/>
        </w:rPr>
        <w:tab/>
        <w:t xml:space="preserve">In 1910, after Hardenburg's initial account had been published in the British newspaper </w:t>
      </w:r>
      <w:r>
        <w:rPr>
          <w:b w:val="false"/>
          <w:bCs w:val="false"/>
          <w:i/>
          <w:iCs/>
        </w:rPr>
        <w:t>Truth</w:t>
      </w:r>
      <w:r>
        <w:rPr>
          <w:b w:val="false"/>
          <w:bCs w:val="false"/>
          <w:i w:val="false"/>
          <w:iCs w:val="false"/>
        </w:rPr>
        <w:t>, Roger Casement was appointed by the UK Foreign Office to travel to the Putumayo to investigate several related matters: "whether any British subjects have suffered or are in distress, and if so from what causes, and whether they stand in need of relief," as well as "the methods of rubber collection and the treatment of the employés of the Company."</w:t>
      </w:r>
      <w:r>
        <w:rPr>
          <w:rStyle w:val="FootnoteReference"/>
          <w:b w:val="false"/>
          <w:bCs w:val="false"/>
          <w:i w:val="false"/>
          <w:iCs w:val="false"/>
        </w:rPr>
        <w:footnoteReference w:id="7"/>
      </w:r>
      <w:r>
        <w:rPr>
          <w:b w:val="false"/>
          <w:bCs w:val="false"/>
          <w:i w:val="false"/>
          <w:iCs w:val="false"/>
        </w:rPr>
        <w:t xml:space="preserve"> He was accompanied by a separate committee appointed by the Peruvian Amazon Company itself, which was tasked first with reporting "on the possibilities of commercial development of the company's properties" and secondly "to enquire into the present relations between the native employés and the agents of the company."</w:t>
      </w:r>
      <w:r>
        <w:rPr>
          <w:rStyle w:val="FootnoteReference"/>
          <w:b w:val="false"/>
          <w:bCs w:val="false"/>
          <w:i w:val="false"/>
          <w:iCs w:val="false"/>
        </w:rPr>
        <w:footnoteReference w:id="8"/>
      </w:r>
      <w:r>
        <w:rPr>
          <w:b w:val="false"/>
          <w:bCs w:val="false"/>
          <w:i w:val="false"/>
          <w:iCs w:val="false"/>
        </w:rPr>
        <w:t xml:space="preserve"> The British subjects whose welfare formed the primary object of Casements investigation were men and women from Barbados, recruited in 1904-5 and "shipped for Peru at the request of Señor Abel Alarco, at that time a partner of the firm in question," some of whom stayed with the company long after their initial two year contracts had expired.</w:t>
      </w:r>
      <w:r>
        <w:rPr>
          <w:rStyle w:val="FootnoteReference"/>
          <w:b w:val="false"/>
          <w:bCs w:val="false"/>
          <w:i w:val="false"/>
          <w:iCs w:val="false"/>
        </w:rPr>
        <w:footnoteReference w:id="9"/>
      </w:r>
      <w:r>
        <w:rPr>
          <w:b w:val="false"/>
          <w:bCs w:val="false"/>
          <w:i w:val="false"/>
          <w:iCs w:val="false"/>
        </w:rPr>
        <w:t xml:space="preserve"> Their testimonies provided the greatest part of the evidence submitted by Casement to the Foreign Office.</w:t>
      </w:r>
    </w:p>
    <w:p>
      <w:pPr>
        <w:pStyle w:val="Normal"/>
        <w:bidi w:val="0"/>
        <w:spacing w:lineRule="auto" w:line="480"/>
        <w:jc w:val="start"/>
        <w:rPr>
          <w:rFonts w:ascii="Liberation Serif" w:hAnsi="Liberation Serif"/>
        </w:rPr>
      </w:pPr>
      <w:r>
        <w:rPr>
          <w:b w:val="false"/>
          <w:bCs w:val="false"/>
          <w:i w:val="false"/>
          <w:iCs w:val="false"/>
        </w:rPr>
        <w:tab/>
        <w:t>Casement arrived in Iquitos on August 31st of 1910, and left for the Putumayo along with the commission from the PAC on September 14th. Casement stayed in the Amazon, visiting various stations within the Putumayo, interviewing company employees and observing the operations until December. His two page preliminary report notes that the charges brought by the men from Barbados against the company "were of the most atrocious kind, and added to the accumulating weight of evidence that we had gathered from station to station, and the condition of the Indian population as we had opportunity to observe it in passing, they left no doubt in our minds that the worst charges against the company's agents were true."</w:t>
      </w:r>
      <w:r>
        <w:rPr>
          <w:rStyle w:val="FootnoteReference"/>
          <w:b w:val="false"/>
          <w:bCs w:val="false"/>
          <w:i w:val="false"/>
          <w:iCs w:val="false"/>
        </w:rPr>
        <w:footnoteReference w:id="10"/>
      </w:r>
      <w:r>
        <w:rPr>
          <w:b w:val="false"/>
          <w:bCs w:val="false"/>
          <w:i w:val="false"/>
          <w:iCs w:val="false"/>
        </w:rPr>
        <w:t xml:space="preserve"> In the testimonies, however, the men from Barbados do not figure as mere witnesses to the company's white agents' atrocities against the native population. Rather they testify in part against themselves, revealing a subjectivity in which they are both the recipients and dealers of terror - active, if often reluctant, participants in the construction of a racialized labor hierarchy. </w:t>
      </w:r>
    </w:p>
    <w:p>
      <w:pPr>
        <w:pStyle w:val="Normal"/>
        <w:bidi w:val="0"/>
        <w:spacing w:lineRule="auto" w:line="480"/>
        <w:jc w:val="start"/>
        <w:rPr>
          <w:rFonts w:ascii="Liberation Serif" w:hAnsi="Liberation Serif"/>
        </w:rPr>
      </w:pPr>
      <w:r>
        <w:rPr>
          <w:b w:val="false"/>
          <w:bCs w:val="false"/>
        </w:rPr>
        <w:tab/>
        <w:t>Although the men from Barbados were initially told that they would be contracted as laborers, there were signs that this was false even before they arrived in Peru. When they arrived in Manaus on the way up the Amazon river they were warned "by outsiders that in the countries to which they were going they would not be employed as labourers, but would be armed and used to force the Indians to work for their employers."</w:t>
      </w:r>
      <w:r>
        <w:rPr>
          <w:rStyle w:val="FootnoteReference"/>
          <w:b w:val="false"/>
          <w:bCs w:val="false"/>
        </w:rPr>
        <w:footnoteReference w:id="11"/>
      </w:r>
      <w:r>
        <w:rPr>
          <w:b w:val="false"/>
          <w:bCs w:val="false"/>
        </w:rPr>
        <w:t xml:space="preserve"> Several of the men protested and asked for the British vice-consul to intervene and release them from their contracts. Their protests were ignored, however, and they "had to be taken on board the river steamer waiting to convey them to the Putumayo under police supervision."</w:t>
      </w:r>
      <w:r>
        <w:rPr>
          <w:rStyle w:val="FootnoteReference"/>
          <w:b w:val="false"/>
          <w:bCs w:val="false"/>
        </w:rPr>
        <w:footnoteReference w:id="12"/>
      </w:r>
      <w:r>
        <w:rPr>
          <w:b w:val="false"/>
          <w:bCs w:val="false"/>
        </w:rPr>
        <w:t xml:space="preserve"> Their suspicions were confirmed upon arrival in Putumayo, as the first group to arrive was immediately armed with rifles and ammunition and sent into the jungle on a raid against the indigenous Andokes people. This raid was in part an attempt to secure labor for the collection of rubber, but it served another purpose as well. The Andokes had previously attacked a group of Colombian settlers who had come to enslave them, and had stolen their rifles. The Barbadians were sent out "on what were termed punitive expeditions" to kill or capture the responsible native people and to recover the lost rifles. </w:t>
      </w:r>
    </w:p>
    <w:p>
      <w:pPr>
        <w:pStyle w:val="Normal"/>
        <w:bidi w:val="0"/>
        <w:spacing w:lineRule="auto" w:line="480"/>
        <w:jc w:val="start"/>
        <w:rPr>
          <w:rFonts w:ascii="Liberation Serif" w:hAnsi="Liberation Serif"/>
        </w:rPr>
      </w:pPr>
      <w:r>
        <w:rPr>
          <w:b w:val="false"/>
          <w:bCs w:val="false"/>
        </w:rPr>
        <w:tab/>
        <w:t>This was to become a pattern, in which the hired Barbadians would be placed between the indigenous people of the Putumayo and their white Colombian or Peruvian oppressors. They were given the jobs that were considered too dangerous or unpleasant for the whites. The rubber which was collected by the indigenous workers had to be carried on foot through difficult forest paths obstructed by deep mud, rivers, and fallen trees. The journey from the furthest rubber station to the river was 70 miles, and took four or five days to traverse. Casement notes that "The Indians were not supplied with food for this journey. They were guarded by armed men both going and returning, and Barbados men frequently were employed for this work, just as they were used, in the first instance, in forcing the Indians to collect the rubber in the forest and bring it into Matanzas."</w:t>
      </w:r>
      <w:r>
        <w:rPr>
          <w:rStyle w:val="FootnoteReference"/>
          <w:b w:val="false"/>
          <w:bCs w:val="false"/>
        </w:rPr>
        <w:footnoteReference w:id="13"/>
      </w:r>
      <w:r>
        <w:rPr>
          <w:b w:val="false"/>
          <w:bCs w:val="false"/>
        </w:rPr>
        <w:t xml:space="preserve"> This was the general pattern that the Barbadians' labor took: they were engaged both in capturing and disciplining native labor. They held the guns that separated indigenous families and forced them to work past the point of starvation. By the time Casement arrived, only 20 of more than 100 Barbadians remained in the company's employ, but "with the exception of three men at La Chorrera itself, whose duties were those of ordinary labour, all the men ... were employed in guarding or coercing, or in actively maltreating, Indians to force them to work and bring in india-rubber to the various sections."</w:t>
      </w:r>
      <w:r>
        <w:rPr>
          <w:rStyle w:val="FootnoteReference"/>
          <w:b w:val="false"/>
          <w:bCs w:val="false"/>
        </w:rPr>
        <w:footnoteReference w:id="14"/>
      </w:r>
    </w:p>
    <w:p>
      <w:pPr>
        <w:pStyle w:val="Normal"/>
        <w:bidi w:val="0"/>
        <w:spacing w:lineRule="auto" w:line="480"/>
        <w:jc w:val="start"/>
        <w:rPr>
          <w:rFonts w:ascii="Liberation Serif" w:hAnsi="Liberation Serif"/>
        </w:rPr>
      </w:pPr>
      <w:r>
        <w:rPr>
          <w:b w:val="false"/>
          <w:bCs w:val="false"/>
        </w:rPr>
        <w:tab/>
        <w:t>These men also took part in the spoils of slavery. Casement reports that "every so-called civilised employé receives from the agent of the company, on arrival, and Indian woman to be his temporary wife."</w:t>
      </w:r>
      <w:r>
        <w:rPr>
          <w:rStyle w:val="FootnoteReference"/>
          <w:b w:val="false"/>
          <w:bCs w:val="false"/>
        </w:rPr>
        <w:footnoteReference w:id="15"/>
      </w:r>
      <w:r>
        <w:rPr>
          <w:b w:val="false"/>
          <w:bCs w:val="false"/>
        </w:rPr>
        <w:t xml:space="preserve"> According to Casement, "[w]ith the Barbados men it was no doubt a more or less voluntary contract on each side," but I hesitate to speak of volition in this context. Regardless of their wishes, the women were considered "the direct gift or loan" of the company, and when a worker was reassigned to a different station, there was no guarantee that they would be able to bring their wife or children with them. One Barbadian, Joshua Dyall, evidently had 9 successive "wives" - a new woman was given to him every time he changed post. </w:t>
      </w:r>
    </w:p>
    <w:p>
      <w:pPr>
        <w:pStyle w:val="Normal"/>
        <w:bidi w:val="0"/>
        <w:spacing w:lineRule="auto" w:line="480"/>
        <w:jc w:val="start"/>
        <w:rPr>
          <w:rFonts w:ascii="Liberation Serif" w:hAnsi="Liberation Serif"/>
        </w:rPr>
      </w:pPr>
      <w:r>
        <w:rPr>
          <w:b w:val="false"/>
          <w:bCs w:val="false"/>
        </w:rPr>
        <w:tab/>
        <w:t>The company's interest in this system is clear. Casement notes that "[m]ost of the twenty men I actually encountered in the services of the company were in debt; that is to say, owing to their purchases from the company's stores of things they needed from time to time, either for their own wants or those of their Indian wives and possibly children, they had been debited with amounts which often considerably exceeded the wages credited to them."</w:t>
      </w:r>
      <w:r>
        <w:rPr>
          <w:rStyle w:val="FootnoteReference"/>
          <w:b w:val="false"/>
          <w:bCs w:val="false"/>
        </w:rPr>
        <w:footnoteReference w:id="16"/>
      </w:r>
      <w:r>
        <w:rPr>
          <w:b w:val="false"/>
          <w:bCs w:val="false"/>
        </w:rPr>
        <w:t xml:space="preserve"> Although the contract between the Barbadians and the company stipulated that in addition to salary, the workers would receive free medicine and food, in reality the men were forced to purchase these at inflated cost from the company stores. Furthermore, once the men were given wives they became responsible also for purchasing their food and medicine, with one official claiming that "their indebtedness in these accounts was 'for medicines required for the men's Indian wives.'"</w:t>
      </w:r>
      <w:r>
        <w:rPr>
          <w:rStyle w:val="FootnoteReference"/>
          <w:b w:val="false"/>
          <w:bCs w:val="false"/>
        </w:rPr>
        <w:footnoteReference w:id="17"/>
      </w:r>
      <w:r>
        <w:rPr>
          <w:b w:val="false"/>
          <w:bCs w:val="false"/>
        </w:rPr>
        <w:t xml:space="preserve"> These nominal familial ties served to put the workers in the company's debt, which both disallowed the Barbados men from leaving, and cheapened their labor, as the profits from the company store far outweighed their salaries. </w:t>
      </w:r>
    </w:p>
    <w:p>
      <w:pPr>
        <w:pStyle w:val="Normal"/>
        <w:bidi w:val="0"/>
        <w:spacing w:lineRule="auto" w:line="480"/>
        <w:jc w:val="start"/>
        <w:rPr>
          <w:rFonts w:ascii="Liberation Serif" w:hAnsi="Liberation Serif"/>
        </w:rPr>
      </w:pPr>
      <w:r>
        <w:rPr>
          <w:b w:val="false"/>
          <w:bCs w:val="false"/>
        </w:rPr>
        <w:tab/>
        <w:t>Food was a central question for workers in the Putumayo. When the food provided or sold by the company was insufficient, employees "were often forced to steal food from the Indians, or to go out into the forest and the surrounding plantations and look for it and rob it."</w:t>
      </w:r>
      <w:r>
        <w:rPr>
          <w:rStyle w:val="FootnoteReference"/>
          <w:b w:val="false"/>
          <w:bCs w:val="false"/>
        </w:rPr>
        <w:footnoteReference w:id="18"/>
      </w:r>
      <w:r>
        <w:rPr>
          <w:b w:val="false"/>
          <w:bCs w:val="false"/>
        </w:rPr>
        <w:t xml:space="preserve"> In some cases they had to forage their own food and survive on "a wild herb called by the Indians 'airambo'."</w:t>
      </w:r>
      <w:r>
        <w:rPr>
          <w:rStyle w:val="FootnoteReference"/>
          <w:b w:val="false"/>
          <w:bCs w:val="false"/>
        </w:rPr>
        <w:footnoteReference w:id="19"/>
      </w:r>
      <w:r>
        <w:rPr>
          <w:b w:val="false"/>
          <w:bCs w:val="false"/>
        </w:rPr>
        <w:t xml:space="preserve"> On the long marches through the jungle, "[n]o food is to be obtained ... except from the few Indians who may be dwelling in the neighborhood, and these poor people now have little enough for themselves."</w:t>
      </w:r>
      <w:r>
        <w:rPr>
          <w:rStyle w:val="FootnoteReference"/>
          <w:b w:val="false"/>
          <w:bCs w:val="false"/>
        </w:rPr>
        <w:footnoteReference w:id="20"/>
      </w:r>
      <w:r>
        <w:rPr>
          <w:b w:val="false"/>
          <w:bCs w:val="false"/>
        </w:rPr>
        <w:t xml:space="preserve"> Casement recounts the story of one Barbadian at a station with scarce food supplies. He applied to be transferred and "was glad to be sent to a sub-station where more food was obtainable, chiefly from the Indians, and where his duties mainly consisted in flogging these same Indians."</w:t>
      </w:r>
    </w:p>
    <w:p>
      <w:pPr>
        <w:pStyle w:val="Normal"/>
        <w:bidi w:val="0"/>
        <w:spacing w:lineRule="auto" w:line="480"/>
        <w:jc w:val="start"/>
        <w:rPr>
          <w:rFonts w:ascii="Liberation Serif" w:hAnsi="Liberation Serif"/>
        </w:rPr>
      </w:pPr>
      <w:r>
        <w:rPr>
          <w:b w:val="false"/>
          <w:bCs w:val="false"/>
        </w:rPr>
        <w:tab/>
        <w:t xml:space="preserve">As we can see, the men from Barbados were brought in as slave-drivers, but they were also themselves driven. In addition to outlining the debt they incurred and the conditions of starvation they faced, Casement recounts at length four cases in which the Barbadians were tortured and mistreated by the white company agents. Every station that the company owned had a set of stocks that had been built to punish the native workers who drew the ire of company agents. Although the stocks were much too small for the men from Barbados, they were often used as punishment for them too. In at least one case, a Barbadian man named Edward Crichlow was chained up in the stocks that he himself had built. In other instances, the Barbados men were lifted off the ground and suspended by their arms which had been tied behind their backs - in this posture they were beaten with tapir-hide whips or with machetes. In most cases these punishments were meted out after a minor quarrel with a white employee. It should be noted that the punishments given to the Barbadians, while extreme, were moderate versions of those given to the native population. Where the Barbadians would be held in stocks for a few hours to a few days, a native man would be held for weeks. Where the Barbadians were suspended and beaten, a native man would be hanged until dead. </w:t>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01T11:25:47Z" w:initials="">
    <w:p>
      <w:pPr>
        <w:overflowPunct w:val="true"/>
        <w:bidi w:val="0"/>
        <w:rPr/>
      </w:pPr>
      <w:r>
        <w:rPr>
          <w:rFonts w:eastAsia="DejaVu Sans" w:cs="Noto Sans Arabic"/>
          <w:kern w:val="0"/>
          <w:lang w:val="en-US" w:eastAsia="en-US" w:bidi="en-US"/>
        </w:rPr>
        <w:t>Cite this</w:t>
      </w:r>
    </w:p>
  </w:comment>
  <w:comment w:id="1" w:author="Unknown Author" w:date="2026-06-01T11:26:08Z" w:initials="">
    <w:p>
      <w:pPr>
        <w:overflowPunct w:val="true"/>
        <w:bidi w:val="0"/>
        <w:rPr/>
      </w:pPr>
      <w:r>
        <w:rPr>
          <w:rFonts w:eastAsia="DejaVu Sans" w:cs="Noto Sans Arabic"/>
          <w:kern w:val="0"/>
          <w:lang w:val="en-US" w:eastAsia="en-US" w:bidi="en-US"/>
        </w:rPr>
        <w:t>Cite this NOT TRUE</w:t>
      </w:r>
    </w:p>
  </w:comment>
  <w:comment w:id="2" w:author="Unknown Author" w:date="2026-06-01T11:26:48Z" w:initials="">
    <w:p>
      <w:pPr>
        <w:overflowPunct w:val="true"/>
        <w:bidi w:val="0"/>
        <w:rPr/>
      </w:pPr>
      <w:r>
        <w:rPr>
          <w:rFonts w:eastAsia="DejaVu Sans" w:cs="Noto Sans Arabic"/>
          <w:kern w:val="0"/>
          <w:lang w:val="en-US" w:eastAsia="en-US" w:bidi="en-US"/>
        </w:rPr>
        <w:t>Who?</w:t>
      </w:r>
    </w:p>
  </w:comment>
  <w:comment w:id="3" w:author="Unknown Author" w:date="2026-06-02T11:24:26Z" w:initials="">
    <w:p>
      <w:pPr>
        <w:overflowPunct w:val="false"/>
        <w:rPr/>
      </w:pPr>
      <w:r>
        <w:rPr>
          <w:rFonts w:eastAsia="DejaVu Sans" w:cs="Noto Sans Arabic"/>
          <w:kern w:val="0"/>
          <w:lang w:val="en-US" w:eastAsia="en-US" w:bidi="en-US"/>
        </w:rPr>
        <w:t>cite</w:t>
      </w:r>
    </w:p>
  </w:comment>
  <w:comment w:id="4" w:author="Unknown Author" w:date="2026-06-01T11:44:29Z" w:initials="">
    <w:p>
      <w:pPr>
        <w:overflowPunct w:val="true"/>
        <w:bidi w:val="0"/>
        <w:rPr/>
      </w:pPr>
      <w:r>
        <w:rPr>
          <w:rFonts w:eastAsia="DejaVu Sans" w:cs="Noto Sans Arabic"/>
          <w:kern w:val="0"/>
          <w:lang w:val="en-US" w:eastAsia="en-US" w:bidi="en-US"/>
        </w:rPr>
        <w:t>Find some better way to draw this out of the source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7"/>
    <w:r>
      <w:rPr/>
      <w:fldChar w:fldCharType="begin"/>
    </w:r>
    <w:r>
      <w:rPr/>
      <w:instrText xml:space="preserve"> PAGE </w:instrText>
    </w:r>
    <w:r>
      <w:rPr/>
      <w:fldChar w:fldCharType="separate"/>
    </w:r>
    <w:r>
      <w:rPr/>
      <w:t>9</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7"/>
    <w:r>
      <w:rPr/>
      <w:fldChar w:fldCharType="begin"/>
    </w:r>
    <w:r>
      <w:rPr/>
      <w:instrText xml:space="preserve"> PAGE </w:instrText>
    </w:r>
    <w:r>
      <w:rPr/>
      <w:fldChar w:fldCharType="separate"/>
    </w:r>
    <w:r>
      <w:rPr/>
      <w:t>9</w:t>
    </w:r>
    <w:r>
      <w:rPr/>
      <w:fldChar w:fldCharType="end"/>
    </w:r>
    <w:bookmarkEnd w:id="1"/>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start"/>
        <w:rPr/>
      </w:pPr>
      <w:r>
        <w:rPr>
          <w:rStyle w:val="FootnoteCharacters"/>
        </w:rPr>
        <w:footnoteRef/>
      </w:r>
      <w:r>
        <w:rPr/>
        <w:tab/>
        <w:t xml:space="preserve">W. E. Hardenburg, </w:t>
      </w:r>
      <w:r>
        <w:rPr>
          <w:i/>
        </w:rPr>
        <w:t>The Putumayo: The Devil’s Paradise</w:t>
      </w:r>
      <w:r>
        <w:rPr/>
        <w:t>, ed. C. R. Enock (T. Fisher Unwin, 1912), 94-5.</w:t>
      </w:r>
    </w:p>
  </w:footnote>
  <w:footnote w:id="3">
    <w:p>
      <w:pPr>
        <w:pStyle w:val="FootnoteText"/>
        <w:bidi w:val="0"/>
        <w:jc w:val="start"/>
        <w:rPr/>
      </w:pPr>
      <w:r>
        <w:rPr>
          <w:rStyle w:val="FootnoteCharacters"/>
        </w:rPr>
        <w:footnoteRef/>
      </w:r>
      <w:r>
        <w:rPr/>
        <w:tab/>
        <w:t xml:space="preserve">Juan Alvaro Echeverri, “The Putumayo Indians and the Rubber Boom,” </w:t>
      </w:r>
      <w:r>
        <w:rPr>
          <w:i/>
        </w:rPr>
        <w:t>Irish Journal of Anthropology</w:t>
      </w:r>
      <w:r>
        <w:rPr/>
        <w:t xml:space="preserve"> 14, no. 2 (2011): 13–18.</w:t>
      </w:r>
    </w:p>
  </w:footnote>
  <w:footnote w:id="4">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5">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6">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179-80.</w:t>
      </w:r>
    </w:p>
  </w:footnote>
  <w:footnote w:id="7">
    <w:p>
      <w:pPr>
        <w:pStyle w:val="FootnoteText"/>
        <w:bidi w:val="0"/>
        <w:jc w:val="start"/>
        <w:rPr>
          <w:shd w:fill="auto" w:val="clear"/>
        </w:rPr>
      </w:pPr>
      <w:r>
        <w:rPr>
          <w:rStyle w:val="FootnoteCharacters"/>
        </w:rPr>
        <w:footnoteRef/>
      </w:r>
      <w:r>
        <w:rPr>
          <w:shd w:fill="auto" w:val="clear"/>
        </w:rPr>
        <w:tab/>
        <w:t xml:space="preserve">Roger Casement, </w:t>
      </w:r>
      <w:r>
        <w:rPr>
          <w:i/>
          <w:shd w:fill="auto" w:val="clear"/>
        </w:rPr>
        <w:t>Correspondence Respecting the Treatment of British Colonial Subjects and Native Indians Employed in the Collection of Rubber in the Putumayo District : July 1912</w:t>
      </w:r>
      <w:r>
        <w:rPr>
          <w:shd w:fill="auto" w:val="clear"/>
        </w:rPr>
        <w:t>, Miscellaneous ; No. 8 (1912) (His Majesty’s Stationery Office, 1912), 1.</w:t>
      </w:r>
    </w:p>
  </w:footnote>
  <w:footnote w:id="8">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9">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7.</w:t>
      </w:r>
    </w:p>
  </w:footnote>
  <w:footnote w:id="10">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3.</w:t>
      </w:r>
    </w:p>
  </w:footnote>
  <w:footnote w:id="11">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w:t>
      </w:r>
    </w:p>
  </w:footnote>
  <w:footnote w:id="12">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w:t>
      </w:r>
    </w:p>
  </w:footnote>
  <w:footnote w:id="13">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11-12.</w:t>
      </w:r>
    </w:p>
  </w:footnote>
  <w:footnote w:id="14">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12.</w:t>
      </w:r>
    </w:p>
  </w:footnote>
  <w:footnote w:id="15">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6">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7">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19.</w:t>
      </w:r>
    </w:p>
  </w:footnote>
  <w:footnote w:id="18">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12.</w:t>
      </w:r>
    </w:p>
  </w:footnote>
  <w:footnote w:id="19">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20.</w:t>
      </w:r>
    </w:p>
  </w:footnote>
  <w:footnote w:id="20">
    <w:p>
      <w:pPr>
        <w:pStyle w:val="FootnoteText"/>
        <w:bidi w:val="0"/>
        <w:jc w:val="star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11-12.</w:t>
      </w:r>
    </w:p>
  </w:footnote>
</w:footnotes>
</file>

<file path=word/settings.xml><?xml version="1.0" encoding="utf-8"?>
<w:settings xmlns:w="http://schemas.openxmlformats.org/wordprocessingml/2006/main">
  <w:zoom w:percent="68"/>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160</TotalTime>
  <Application>LibreOffice/24.2.7.2$Linux_X86_64 LibreOffice_project/420$Build-2</Application>
  <AppVersion>15.0000</AppVersion>
  <Pages>9</Pages>
  <Words>2631</Words>
  <Characters>13285</Characters>
  <CharactersWithSpaces>15899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2026-06-01T11:23:12Z</dcterms:created>
  <dc:creator/>
  <dc:description/>
  <dc:language>en-US</dc:language>
  <cp:lastModifiedBy/>
  <dcterms:modified xsi:type="dcterms:W3CDTF">2026-06-18T09:54:55Z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