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Liberation Serif" w:hAnsi="Liberation Serif"/>
        </w:rPr>
      </w:pPr>
      <w:r>
        <w:rPr>
          <w:b/>
          <w:bCs/>
        </w:rPr>
        <w:t>The Putumayo and Reproduction</w:t>
      </w:r>
    </w:p>
    <w:p>
      <w:pPr>
        <w:pStyle w:val="Normal"/>
        <w:bidi w:val="0"/>
        <w:spacing w:lineRule="auto" w:line="480"/>
        <w:jc w:val="start"/>
        <w:rPr>
          <w:rFonts w:ascii="Liberation Serif" w:hAnsi="Liberation Serif"/>
        </w:rPr>
      </w:pPr>
      <w:r>
        <w:rPr>
          <w:b w:val="false"/>
          <w:bCs w:val="false"/>
        </w:rPr>
        <w:tab/>
        <w:t xml:space="preserve">What was the purpose of this brutality? Contemporary accounts are shot through with attempts to make sense of something so offensive to sense and reason. It seems to go directly against the considerations we have seen operating in both Michigan factories and the rubber fields of the lower Amazon: maintaining an active and renewable labor pool, and stimulating the consumption of commodities as well as their production. Genocide is an eradication of a people, not their reproduction, and the native people enslaved by the company were not significant consumers of food commodities, as they were barely given enough food to survive. My framework, however, emphasizes not only the reproduction of people or workers, but the reproduction of the relations of production. From this perspective, we see that the genocide contributed to </w:t>
      </w:r>
      <w:commentRangeStart w:id="0"/>
      <w:r>
        <w:rPr>
          <w:b w:val="false"/>
          <w:bCs w:val="false"/>
        </w:rPr>
        <w:t>the establishment and maintenance of a racially stratified labor force, the transfer of property from indigenous communities to profit-seeking enterprises, and even some small amount of commodity circulation by the Barbadian wage workers</w:t>
      </w:r>
      <w:r>
        <w:rPr>
          <w:b w:val="false"/>
          <w:bCs w:val="false"/>
        </w:rPr>
      </w:r>
      <w:commentRangeEnd w:id="0"/>
      <w:r>
        <w:commentReference w:id="0"/>
      </w:r>
      <w:r>
        <w:rPr>
          <w:b w:val="false"/>
          <w:bCs w:val="false"/>
        </w:rPr>
        <w:t xml:space="preserve"> - although this commodity consumption was still much smaller in extent than in the Brazilian Amazon.</w:t>
      </w:r>
    </w:p>
    <w:p>
      <w:pPr>
        <w:pStyle w:val="Normal"/>
        <w:bidi w:val="0"/>
        <w:spacing w:lineRule="auto" w:line="480"/>
        <w:jc w:val="start"/>
        <w:rPr>
          <w:rFonts w:ascii="Liberation Serif" w:hAnsi="Liberation Serif"/>
        </w:rPr>
      </w:pPr>
      <w:r>
        <w:rPr/>
      </w:r>
    </w:p>
    <w:p>
      <w:pPr>
        <w:pStyle w:val="Normal"/>
        <w:bidi w:val="0"/>
        <w:spacing w:lineRule="auto" w:line="480"/>
        <w:jc w:val="start"/>
        <w:rPr>
          <w:i/>
          <w:i/>
          <w:iCs/>
        </w:rPr>
      </w:pPr>
      <w:r>
        <w:rPr>
          <w:b w:val="false"/>
          <w:bCs w:val="false"/>
          <w:i/>
          <w:iCs/>
        </w:rPr>
        <w:t>Labor Discipline</w:t>
      </w:r>
    </w:p>
    <w:p>
      <w:pPr>
        <w:pStyle w:val="Normal"/>
        <w:bidi w:val="0"/>
        <w:spacing w:lineRule="auto" w:line="480"/>
        <w:jc w:val="start"/>
        <w:rPr>
          <w:rFonts w:ascii="Liberation Serif" w:hAnsi="Liberation Serif"/>
        </w:rPr>
      </w:pPr>
      <w:r>
        <w:rPr>
          <w:b w:val="false"/>
          <w:bCs w:val="false"/>
        </w:rPr>
        <w:tab/>
        <w:t>Casement makes the argument in his report that the PAC terrorized and enslaved the Huitoto people as a method of extracting their labor: "</w:t>
      </w:r>
      <w:r>
        <w:rPr>
          <w:b w:val="false"/>
          <w:bCs w:val="false"/>
          <w:i w:val="false"/>
          <w:iCs w:val="false"/>
          <w:shd w:fill="auto" w:val="clear"/>
        </w:rPr>
        <w:t xml:space="preserve">The object of the “ civilised ” intruders, in the first instance, was not to annihilate the Indians, but to “ conquistar,” </w:t>
      </w:r>
      <w:r>
        <w:rPr>
          <w:b w:val="false"/>
          <w:bCs w:val="false"/>
          <w:i/>
          <w:iCs/>
          <w:shd w:fill="auto" w:val="clear"/>
        </w:rPr>
        <w:t>i.e.</w:t>
      </w:r>
      <w:r>
        <w:rPr>
          <w:b w:val="false"/>
          <w:bCs w:val="false"/>
          <w:i w:val="false"/>
          <w:iCs w:val="false"/>
          <w:shd w:fill="auto" w:val="clear"/>
        </w:rPr>
        <w:t>, to subjugate them, and put them to what was termed civilised, or at any rate profitable, occupation to their subduers.</w:t>
      </w:r>
      <w:r>
        <w:rPr>
          <w:b w:val="false"/>
          <w:bCs w:val="false"/>
        </w:rPr>
        <w:t>"</w:t>
      </w:r>
      <w:r>
        <w:rPr>
          <w:rStyle w:val="FootnoteReference"/>
          <w:b w:val="false"/>
          <w:bCs w:val="false"/>
        </w:rPr>
        <w:footnoteReference w:id="2"/>
      </w:r>
      <w:r>
        <w:rPr>
          <w:b w:val="false"/>
          <w:bCs w:val="false"/>
        </w:rPr>
        <w:t xml:space="preserve"> In this region, it was not rubber, but labor which was scarce. The Barbadians were brought in to offset some of the dangers and difficulties of the slaving raids, and overseeing the native workers on their long marches through the forest. Due to the expense of transporting the rubber from the Putumayo to market, the PAC combined debt peonage with extreme violence to maintain a docile and compliant labor force.  However, there are several issues with a purely economic explanation. As Michael Taussig claims, torture-as-labor-discipline, while not incorrect, can only be a partial explanation, as "terror and torture do not derive only from market pressure (which we can regard here as a trigger) but also from the process of cultural construction of evil as well."</w:t>
      </w:r>
      <w:r>
        <w:rPr>
          <w:rStyle w:val="FootnoteReference"/>
          <w:b w:val="false"/>
          <w:bCs w:val="false"/>
        </w:rPr>
        <w:footnoteReference w:id="3"/>
      </w:r>
      <w:r>
        <w:rPr>
          <w:b w:val="false"/>
          <w:bCs w:val="false"/>
        </w:rPr>
        <w:t xml:space="preserve"> </w:t>
      </w:r>
      <w:commentRangeStart w:id="1"/>
      <w:r>
        <w:rPr>
          <w:b w:val="false"/>
          <w:bCs w:val="false"/>
        </w:rPr>
        <w:t xml:space="preserve">Indeed, the violence employed by the PAC was not only directed at the native workers, but at their entire communities and even the salaried Barbadian employees. More significantly, the brutality of the PAC undermined the workforce by starving, maiming, and ultimately slaughtering thousands of would-be rubber tappers. </w:t>
      </w:r>
      <w:commentRangeEnd w:id="1"/>
      <w:r>
        <w:commentReference w:id="1"/>
      </w:r>
      <w:r>
        <w:rPr>
          <w:b w:val="false"/>
          <w:bCs w:val="false"/>
        </w:rPr>
      </w:r>
    </w:p>
    <w:p>
      <w:pPr>
        <w:pStyle w:val="Normal"/>
        <w:bidi w:val="0"/>
        <w:spacing w:lineRule="auto" w:line="480"/>
        <w:jc w:val="start"/>
        <w:rPr>
          <w:rFonts w:ascii="Liberation Serif" w:hAnsi="Liberation Serif"/>
        </w:rPr>
      </w:pPr>
      <w:r>
        <w:rPr>
          <w:b w:val="false"/>
          <w:bCs w:val="false"/>
        </w:rPr>
        <w:tab/>
        <w:t xml:space="preserve">Given the apparent insensibility of the genocide from an economic standpoint, it is easy to see why scholars have considered it a pre-capitalist relic. Seen within the proper context, however, it is clear that the brutality of the PAC was an element of the ongoing process of racial stratification that is a constituent component of the capitalist world. </w:t>
      </w:r>
      <w:r>
        <w:rPr>
          <w:b w:val="false"/>
          <w:bCs w:val="false"/>
          <w:i w:val="false"/>
          <w:iCs w:val="false"/>
        </w:rPr>
        <w:t>The horror of the Putumayo genocide can here be placed within the much longer project of what Michael Taussig calls the "</w:t>
      </w:r>
      <w:r>
        <w:rPr>
          <w:b w:val="false"/>
          <w:bCs w:val="false"/>
        </w:rPr>
        <w:t>construction of colonial reality that occurred in the New World... where the Indian and the African became subject to an initially far smaller number of Christians."</w:t>
      </w:r>
      <w:r>
        <w:rPr>
          <w:rStyle w:val="FootnoteReference"/>
          <w:b w:val="false"/>
          <w:bCs w:val="false"/>
        </w:rPr>
        <w:footnoteReference w:id="4"/>
      </w:r>
      <w:r>
        <w:rPr>
          <w:b w:val="false"/>
          <w:bCs w:val="false"/>
        </w:rPr>
        <w:t xml:space="preserve"> The brutality of the PAC's methods were crucial in the elaboration, not only of a new kind of man, but of new kinds of family and a new kind of society built on a rigid racial hierarchy. Terror played a fundamental role in this elaboration: terror "which as well as being a physiological state is also a social fact and a cultural construction whose baroque dimensions allow it to serve as the mediator</w:t>
      </w:r>
      <w:r>
        <w:rPr>
          <w:b w:val="false"/>
          <w:bCs w:val="false"/>
          <w:i/>
          <w:iCs/>
        </w:rPr>
        <w:t xml:space="preserve"> par excellence</w:t>
      </w:r>
      <w:r>
        <w:rPr>
          <w:b w:val="false"/>
          <w:bCs w:val="false"/>
          <w:i w:val="false"/>
          <w:iCs w:val="false"/>
        </w:rPr>
        <w:t xml:space="preserve"> of colonial hegemony."</w:t>
      </w:r>
      <w:r>
        <w:rPr>
          <w:rStyle w:val="FootnoteReference"/>
          <w:b w:val="false"/>
          <w:bCs w:val="false"/>
          <w:i w:val="false"/>
          <w:iCs w:val="false"/>
        </w:rPr>
        <w:footnoteReference w:id="5"/>
      </w:r>
      <w:r>
        <w:rPr>
          <w:b w:val="false"/>
          <w:bCs w:val="false"/>
          <w:i/>
          <w:iCs/>
        </w:rPr>
        <w:t xml:space="preserve"> </w:t>
      </w:r>
    </w:p>
    <w:p>
      <w:pPr>
        <w:pStyle w:val="Normal"/>
        <w:bidi w:val="0"/>
        <w:spacing w:lineRule="auto" w:line="480"/>
        <w:jc w:val="start"/>
        <w:rPr>
          <w:rFonts w:ascii="Liberation Serif" w:hAnsi="Liberation Serif"/>
        </w:rPr>
      </w:pPr>
      <w:r>
        <w:rPr>
          <w:b w:val="false"/>
          <w:bCs w:val="false"/>
          <w:i w:val="false"/>
          <w:iCs w:val="false"/>
        </w:rPr>
        <w:tab/>
        <w:t>The actions of the Peruvian Amazon Company can be seen as a continuation of colonial policy against indigenous peoples in the Americas. The discussion of how to frame their actions is in a sense a continuation of the Valladolid debate: an attempt by European conquering powers to, as Jason Moore says "justify and enable the profit-driven conquest, appropriation, and exploitation of humans and the rest of nature so as to sustain the endless accumulation of capital."</w:t>
      </w:r>
      <w:r>
        <w:rPr>
          <w:rStyle w:val="FootnoteReference"/>
          <w:b w:val="false"/>
          <w:bCs w:val="false"/>
          <w:i w:val="false"/>
          <w:iCs w:val="false"/>
        </w:rPr>
        <w:footnoteReference w:id="6"/>
      </w:r>
      <w:r>
        <w:rPr>
          <w:b w:val="false"/>
          <w:bCs w:val="false"/>
          <w:i w:val="false"/>
          <w:iCs w:val="false"/>
        </w:rPr>
        <w:t xml:space="preserve"> </w:t>
      </w:r>
      <w:r>
        <w:rPr>
          <w:b w:val="false"/>
          <w:bCs w:val="false"/>
          <w:i w:val="false"/>
          <w:iCs w:val="false"/>
          <w:shd w:fill="FFFF00" w:val="clear"/>
        </w:rPr>
        <w:t>[brutality invoked to prove the inhumanity and the need for reprisal]</w:t>
      </w:r>
      <w:r>
        <w:rPr>
          <w:b w:val="false"/>
          <w:bCs w:val="false"/>
          <w:i w:val="false"/>
          <w:iCs w:val="false"/>
        </w:rPr>
        <w:t xml:space="preserve"> This was indeed a Civilising Project by a "civilising company" in that it was an attempt to impose a civilizational order that not only extracted cheap labor from its racialized subjects, but that actively devalued both indigenous populations and their ways of life, as well as the natural world. </w:t>
      </w:r>
    </w:p>
    <w:p>
      <w:pPr>
        <w:pStyle w:val="Normal"/>
        <w:bidi w:val="0"/>
        <w:spacing w:lineRule="auto" w:line="480"/>
        <w:jc w:val="start"/>
        <w:rPr>
          <w:rFonts w:ascii="Liberation Serif" w:hAnsi="Liberation Serif"/>
        </w:rPr>
      </w:pPr>
      <w:r>
        <w:rPr>
          <w:b w:val="false"/>
          <w:bCs w:val="false"/>
          <w:i w:val="false"/>
          <w:iCs w:val="false"/>
        </w:rPr>
        <w:tab/>
        <w:t xml:space="preserve">In his introductory remarks to the republication of Peruvian Judge Valcarcel's </w:t>
      </w:r>
      <w:r>
        <w:rPr>
          <w:b w:val="false"/>
          <w:bCs w:val="false"/>
          <w:i/>
          <w:iCs/>
        </w:rPr>
        <w:t>El Proceso del Putumayo</w:t>
      </w:r>
      <w:r>
        <w:rPr>
          <w:b w:val="false"/>
          <w:bCs w:val="false"/>
          <w:i w:val="false"/>
          <w:iCs w:val="false"/>
        </w:rPr>
        <w:t>, Alberto Chirif outlines a long lineage of resistance by Indigenous Amazonians to European colonization. He identifies three successive periods in which different justifications were claimed for the domination of the indigenous Americans.</w:t>
      </w:r>
      <w:r>
        <w:rPr>
          <w:rStyle w:val="FootnoteReference"/>
          <w:b w:val="false"/>
          <w:bCs w:val="false"/>
          <w:i w:val="false"/>
          <w:iCs w:val="false"/>
        </w:rPr>
        <w:footnoteReference w:id="7"/>
      </w:r>
      <w:r>
        <w:rPr>
          <w:b w:val="false"/>
          <w:bCs w:val="false"/>
          <w:i w:val="false"/>
          <w:iCs w:val="false"/>
        </w:rPr>
        <w:t xml:space="preserve"> Initially, the indigenous peoples were subjugated and enslaved by Europeans on the grounds that they were no human, but after the papal bull of 1537 which declared their humanity, the justification shifted. The natives peoples of the Americas were now considered human but atheists, and the west was justified in taking responsibility for their salvation. Finally, with the development of secularism in the 19th century, the theory of evolution was taken up by the advocates of western civilization who framed indigenous peoples as savage enemies of civilization. However, as Chirif notes, each of these successive justifications for conquest were in reality cumulative - they built on each other to further the civilizing project.</w:t>
      </w:r>
      <w:r>
        <w:rPr>
          <w:rStyle w:val="FootnoteReference"/>
          <w:b w:val="false"/>
          <w:bCs w:val="false"/>
          <w:i w:val="false"/>
          <w:iCs w:val="false"/>
        </w:rPr>
        <w:footnoteReference w:id="8"/>
      </w:r>
      <w:r>
        <w:rPr>
          <w:b w:val="false"/>
          <w:bCs w:val="false"/>
          <w:i w:val="false"/>
          <w:iCs w:val="false"/>
        </w:rPr>
        <w:t xml:space="preserve"> In the development of this logic, any action that the indigenous peoples took was framed negatively. If they fought back they were considered as either subhuman or heathen savages, and if they didn't then they had "weakness of character and docility of temperament." Moments of resistance especially were incorporated into the civilizing narrative as justifying the brutal methods of subjugation.</w:t>
      </w:r>
    </w:p>
    <w:p>
      <w:pPr>
        <w:pStyle w:val="Normal"/>
        <w:bidi w:val="0"/>
        <w:spacing w:lineRule="auto" w:line="480"/>
        <w:jc w:val="start"/>
        <w:rPr>
          <w:rFonts w:ascii="Liberation Serif" w:hAnsi="Liberation Serif"/>
        </w:rPr>
      </w:pPr>
      <w:r>
        <w:rPr>
          <w:b w:val="false"/>
          <w:bCs w:val="false"/>
          <w:i w:val="false"/>
          <w:iCs w:val="false"/>
        </w:rPr>
        <w:tab/>
        <w:t>In the case of Peru, the state was interested in incorporating the resource-rich Amazon into the national economy, as it was being under-utilized by its inhabitants.</w:t>
      </w:r>
      <w:r>
        <w:rPr>
          <w:rStyle w:val="FootnoteReference"/>
          <w:b w:val="false"/>
          <w:bCs w:val="false"/>
          <w:i w:val="false"/>
          <w:iCs w:val="false"/>
        </w:rPr>
        <w:footnoteReference w:id="9"/>
      </w:r>
      <w:r>
        <w:rPr>
          <w:b w:val="false"/>
          <w:bCs w:val="false"/>
          <w:i w:val="false"/>
          <w:iCs w:val="false"/>
        </w:rPr>
        <w:t xml:space="preserve"> In the 1860s, Peru began to assert its presence in the rain forest, and in 1866 sent a steamship along the Putumayo to determine its navigability. In August the steamship was attacked by the region's inhabitants, and two men were killed. In response, a second team was sent out with the express purpose of demonstrating the superiority of the Peruvians. This demonstration took the form of a massacre: an unrecorded number of dead men, along with three women and fourteen children taken prisoner. The place was renamed by the Peruvians the "port of Punishment."</w:t>
      </w:r>
      <w:r>
        <w:rPr>
          <w:rStyle w:val="FootnoteReference"/>
          <w:b w:val="false"/>
          <w:bCs w:val="false"/>
          <w:i w:val="false"/>
          <w:iCs w:val="false"/>
        </w:rPr>
        <w:footnoteReference w:id="10"/>
      </w:r>
      <w:r>
        <w:rPr>
          <w:b w:val="false"/>
          <w:bCs w:val="false"/>
          <w:i w:val="false"/>
          <w:iCs w:val="false"/>
        </w:rPr>
        <w:t xml:space="preserve"> </w:t>
      </w:r>
    </w:p>
    <w:p>
      <w:pPr>
        <w:pStyle w:val="Normal"/>
        <w:bidi w:val="0"/>
        <w:spacing w:lineRule="auto" w:line="480"/>
        <w:jc w:val="start"/>
        <w:rPr>
          <w:rFonts w:ascii="Liberation Serif" w:hAnsi="Liberation Serif"/>
        </w:rPr>
      </w:pPr>
      <w:r>
        <w:rPr>
          <w:b w:val="false"/>
          <w:bCs w:val="false"/>
          <w:i w:val="false"/>
          <w:iCs w:val="false"/>
        </w:rPr>
        <w:tab/>
        <w:t>This pattern of indigenous resistance to Peruvian incursion being met with overwhelming violence was continued in the Putumayo. As we have seen the first task of the Barbadians after they arrived in the Putumayo was to conduct a series of retaliatory raids on the Andokes people. These raids was characterized in two ways - on the one hand they were intended to "open up what were styled trade relations" with the Andokes people, but at the same time they were explicitly "termed punitive expeditions," payback for the theft of rifles and the killing of civilized Colombians.</w:t>
      </w:r>
      <w:r>
        <w:rPr>
          <w:rStyle w:val="FootnoteReference"/>
          <w:b w:val="false"/>
          <w:bCs w:val="false"/>
          <w:i w:val="false"/>
          <w:iCs w:val="false"/>
        </w:rPr>
        <w:footnoteReference w:id="11"/>
      </w:r>
      <w:r>
        <w:rPr>
          <w:b w:val="false"/>
          <w:bCs w:val="false"/>
          <w:i w:val="false"/>
          <w:iCs w:val="false"/>
        </w:rPr>
        <w:t xml:space="preserve"> The resistance of the Andokes people was used as justification for slaving expeditions: the phrase "trade relations" was a euphemism for the attempt to "capture Indians and compel them to come in and work for Señor Sanchez."</w:t>
      </w:r>
      <w:r>
        <w:rPr>
          <w:rStyle w:val="FootnoteReference"/>
          <w:b w:val="false"/>
          <w:bCs w:val="false"/>
          <w:i w:val="false"/>
          <w:iCs w:val="false"/>
        </w:rPr>
        <w:footnoteReference w:id="12"/>
      </w:r>
      <w:r>
        <w:rPr>
          <w:b w:val="false"/>
          <w:bCs w:val="false"/>
          <w:i w:val="false"/>
          <w:iCs w:val="false"/>
        </w:rPr>
        <w:t xml:space="preserve"> The primary norm of civilized society, trade, was synonymous with the enslavement of the uncivilized. </w:t>
      </w:r>
    </w:p>
    <w:p>
      <w:pPr>
        <w:pStyle w:val="Normal"/>
        <w:bidi w:val="0"/>
        <w:spacing w:lineRule="auto" w:line="480"/>
        <w:jc w:val="start"/>
        <w:rPr>
          <w:rFonts w:ascii="Liberation Serif" w:hAnsi="Liberation Serif"/>
        </w:rPr>
      </w:pPr>
      <w:r>
        <w:rPr>
          <w:b w:val="false"/>
          <w:bCs w:val="false"/>
          <w:i w:val="false"/>
          <w:iCs w:val="false"/>
        </w:rPr>
        <w:tab/>
        <w:t>Like the Andokes people, the Huitoto also attempted to steal rifles from their enslavers. Casement's report narrates the story of an unnamed 'capitán' of the Huitoto who was being held prisoner at the Matanzas station. After another native worker managed to multiple times escape capture, this capitán sent his son on an errand to bring him a rifle that the had secreted away in his house in the forest. The son was caught smuggling the rifle into the station and was hanged. The father was subsequently also hanged, but not before being beaten with machetes. One of the Barbadian workers, an Augustus Walcott, expressed some mild sympathy with the natives, remarking that "this was not the way to punish people" and that "it was a brutal act."</w:t>
      </w:r>
      <w:r>
        <w:rPr>
          <w:rStyle w:val="FootnoteReference"/>
          <w:b w:val="false"/>
          <w:bCs w:val="false"/>
          <w:i w:val="false"/>
          <w:iCs w:val="false"/>
        </w:rPr>
        <w:footnoteReference w:id="13"/>
      </w:r>
      <w:r>
        <w:rPr>
          <w:b w:val="false"/>
          <w:bCs w:val="false"/>
          <w:i w:val="false"/>
          <w:iCs w:val="false"/>
        </w:rPr>
        <w:t xml:space="preserve"> Walcott was threatened with punishment for making this comment, and for an evidently unrelated incident was himself later beaten with machetes and hanged - but by his hands rather than his neck, and so he survived.</w:t>
      </w:r>
    </w:p>
    <w:p>
      <w:pPr>
        <w:pStyle w:val="Normal"/>
        <w:bidi w:val="0"/>
        <w:spacing w:lineRule="auto" w:line="480"/>
        <w:jc w:val="start"/>
        <w:rPr>
          <w:rFonts w:ascii="Liberation Serif" w:hAnsi="Liberation Serif"/>
        </w:rPr>
      </w:pPr>
      <w:r>
        <w:rPr>
          <w:b w:val="false"/>
          <w:bCs w:val="false"/>
          <w:i w:val="false"/>
          <w:iCs w:val="false"/>
        </w:rPr>
        <w:tab/>
        <w:t>This expression of sympathy between the Barbadians and the Putumayo natives was not isolated, but such expressions were overwhelmed by conflict between them. Of course the Barbadians were mostly employed in violently forcing the natives to work, and the fact that they seem to have been compelled to do so by the violence visited on their own heads does not negate the fact that they behaved brutally towards the native workers. They were therefore occasionally the targets of acts of resistance. Although rifles were not easy to come by for the native peoples, they had other methods of resisting enslavement and death. Some simply ran away and evaded capture, but they also enacted positive means of self defense, attacking and wounding the company's employees. Casement notes that the Andokes and Boras peoples were sometimes successful in killing their would-be capturers, and he says that one Barbadian man, Clifford Quintin, had been wounded in one of his feet when they met. "This wound has been caused by a splinter of wood, probably poisoned, placed in the ground by the Indians in order to obstruct the approach of their dwelling places, in the hope of thereby hindering the armed raids made upon them to compel them to work rubber."</w:t>
      </w:r>
      <w:r>
        <w:rPr>
          <w:rStyle w:val="FootnoteReference"/>
          <w:b w:val="false"/>
          <w:bCs w:val="false"/>
          <w:i w:val="false"/>
          <w:iCs w:val="false"/>
        </w:rPr>
        <w:footnoteReference w:id="14"/>
      </w:r>
      <w:r>
        <w:rPr>
          <w:b w:val="false"/>
          <w:bCs w:val="false"/>
          <w:i w:val="false"/>
          <w:iCs w:val="false"/>
        </w:rPr>
        <w:t xml:space="preserve"> The employment of such means of defense around their homes was not merely retaliatory violence, but was quite literally a defense of their homes, and communities - their patterns of life.</w:t>
      </w:r>
    </w:p>
    <w:p>
      <w:pPr>
        <w:pStyle w:val="Normal"/>
        <w:bidi w:val="0"/>
        <w:spacing w:lineRule="auto" w:line="480"/>
        <w:jc w:val="start"/>
        <w:rPr>
          <w:rFonts w:ascii="Liberation Serif" w:hAnsi="Liberation Serif"/>
        </w:rPr>
      </w:pPr>
      <w:r>
        <w:rPr>
          <w:b w:val="false"/>
          <w:bCs w:val="false"/>
          <w:i w:val="false"/>
          <w:iCs w:val="false"/>
        </w:rPr>
        <w:tab/>
        <w:t>But the patterns of life among the native communities were precisely the target of colonial violence - it was the 'savagery' that would be wiped out by civilization. Taussig notes that the practices and culture of the native Putumayans were interpreted very differently by the Peruvians and Casement. Casement emphasizes the irrationality of fearing the Putumayans, indicating that their communities were fractured and they were both too poorly armed and too docile to provide much resistance. But among Peruvian and Colombian settlers, the natives were seen as almost mythically dangerous. When the Colombian slavers were killed by the people they tried to enslave, Casement's informant says that the only reason they did not eat them was "that Indians 'had a repugnance to eating white men, whom they hated too much.'"</w:t>
      </w:r>
      <w:r>
        <w:rPr>
          <w:rStyle w:val="FootnoteReference"/>
          <w:b w:val="false"/>
          <w:bCs w:val="false"/>
          <w:i w:val="false"/>
          <w:iCs w:val="false"/>
        </w:rPr>
        <w:footnoteReference w:id="15"/>
      </w:r>
      <w:r>
        <w:rPr>
          <w:b w:val="false"/>
          <w:bCs w:val="false"/>
          <w:i w:val="false"/>
          <w:iCs w:val="false"/>
        </w:rPr>
        <w:t xml:space="preserve"> Even the lack of cannibalism in this instance was somehow twisted into evidence of savagery.</w:t>
      </w:r>
    </w:p>
    <w:p>
      <w:pPr>
        <w:pStyle w:val="Normal"/>
        <w:bidi w:val="0"/>
        <w:spacing w:lineRule="auto" w:line="480"/>
        <w:jc w:val="start"/>
        <w:rPr>
          <w:rFonts w:ascii="Liberation Serif" w:hAnsi="Liberation Serif"/>
        </w:rPr>
      </w:pPr>
      <w:r>
        <w:rPr>
          <w:b w:val="false"/>
          <w:bCs w:val="false"/>
          <w:i w:val="false"/>
          <w:iCs w:val="false"/>
        </w:rPr>
        <w:tab/>
        <w:t>Thus resistance to colonial expansion was turned into fodder for the intensification of colonial activity. It was portrayed as uncivilized 'savagery' or 'malas acciones' and used to justify a far greater degree of brutality. This pattern, in which resistance to colonial violence is metabolized by the colonial beast and revisited on the indigenous population, is accompanied by a great mythmaking. Taussig notes two related themes around which these myths coalesce: "the horrors of the jungle, and the horrors of savagery."</w:t>
      </w:r>
      <w:r>
        <w:rPr>
          <w:rStyle w:val="FootnoteReference"/>
          <w:b w:val="false"/>
          <w:bCs w:val="false"/>
          <w:i w:val="false"/>
          <w:iCs w:val="false"/>
        </w:rPr>
        <w:footnoteReference w:id="16"/>
      </w:r>
      <w:r>
        <w:rPr>
          <w:b w:val="false"/>
          <w:bCs w:val="false"/>
          <w:i w:val="false"/>
          <w:iCs w:val="false"/>
        </w:rPr>
        <w:t xml:space="preserve"> The Amazon jungle was a place of horrors which degrades those who enter, and the people who have made it their home are, naturally horrific themselves. In the context of Peru's project of civilizing the jungle, the native population took on a "powerfully ambiguous image, a seesawing, bifocalized, and hazy composite of the animal and the human. In their human or human-like form, the wild Indians could all the better reflect back to the colonists the vast and baroque projections of human wildness that the colonists needed to establish their reality as civilized (not to mention business-like) people."</w:t>
      </w:r>
      <w:r>
        <w:rPr>
          <w:rStyle w:val="FootnoteReference"/>
          <w:b w:val="false"/>
          <w:bCs w:val="false"/>
          <w:i w:val="false"/>
          <w:iCs w:val="false"/>
        </w:rPr>
        <w:footnoteReference w:id="17"/>
      </w:r>
      <w:r>
        <w:rPr>
          <w:b w:val="false"/>
          <w:bCs w:val="false"/>
          <w:i w:val="false"/>
          <w:iCs w:val="false"/>
        </w:rPr>
        <w:t xml:space="preserve"> In their hybrid identity, the native peoples of the Amazon served a dual purpose for the rubber companies: they were both the engines of civilization as laborers, and the object of civilization as savages in want of pacification.</w:t>
      </w:r>
    </w:p>
    <w:p>
      <w:pPr>
        <w:pStyle w:val="Normal"/>
        <w:bidi w:val="0"/>
        <w:spacing w:lineRule="auto" w:line="480"/>
        <w:jc w:val="start"/>
        <w:rPr>
          <w:rFonts w:ascii="Liberation Serif" w:hAnsi="Liberation Serif"/>
        </w:rPr>
      </w:pPr>
      <w:r>
        <w:rPr>
          <w:b w:val="false"/>
          <w:bCs w:val="false"/>
          <w:i w:val="false"/>
          <w:iCs w:val="false"/>
        </w:rPr>
        <w:tab/>
        <w:t>For the companies and state actors engaged in the project of civilizing the jungle, the acts of resistance by the indigenous Amazonians were crucial, in that they provided justification for the project itself. The fact of their pacification and employment as laborers meanwhile - which should be considered not a natural state a la Casement, but a state created and enforced by unimaginable violence - provided proof of the project's success. Both the resistance of the Putumayo peoples and the violent reprisal were elements in the project of genocide-as-accumulation. They figured into its creation as well as into its reproduction and maintenance.</w:t>
      </w:r>
    </w:p>
    <w:p>
      <w:pPr>
        <w:pStyle w:val="Normal"/>
        <w:bidi w:val="0"/>
        <w:spacing w:lineRule="auto" w:line="480"/>
        <w:jc w:val="start"/>
        <w:rPr>
          <w:rFonts w:ascii="Liberation Serif" w:hAnsi="Liberation Serif"/>
        </w:rPr>
      </w:pPr>
      <w:r>
        <w:rPr>
          <w:b w:val="false"/>
          <w:bCs w:val="false"/>
          <w:i w:val="false"/>
          <w:iCs w:val="false"/>
        </w:rPr>
        <w:tab/>
      </w:r>
      <w:commentRangeStart w:id="2"/>
      <w:r>
        <w:rPr>
          <w:b w:val="false"/>
          <w:bCs w:val="false"/>
          <w:i w:val="false"/>
          <w:iCs w:val="false"/>
        </w:rPr>
        <w:t xml:space="preserve">It is important to note here that even the liberal humanism which opposed the genocide, such as Hardenburg's, was still fully committed to the construction of colonial hegemony. This comes through clearly in certain passages both of his book, and in the introduction to his book written by a friend and fellow engineer Charles R. Enock. </w:t>
      </w:r>
      <w:r>
        <w:rPr>
          <w:b w:val="false"/>
          <w:bCs w:val="false"/>
          <w:i w:val="false"/>
          <w:iCs w:val="false"/>
        </w:rPr>
      </w:r>
      <w:commentRangeEnd w:id="2"/>
      <w:r>
        <w:commentReference w:id="2"/>
      </w:r>
      <w:r>
        <w:rPr>
          <w:b w:val="false"/>
          <w:bCs w:val="false"/>
          <w:i w:val="false"/>
          <w:iCs w:val="false"/>
        </w:rPr>
        <w:t xml:space="preserve">Both authors object to the brutality of the PAC's actions against the indigenous Putumayans, but remain committed to a racial hierarchy that positions non white people as in need of the edifying power of labor discipline. Enock in particular views peoples of the Putumayo as "worthy of preservation" in so far as they are docile and free from immorality. He projects an explicit framework of racial classification in which some peoples are more valued than others. He initially rejects the prevailing racialization of the indigenous Putumayans, saying that "[t]hese people, although known as </w:t>
      </w:r>
      <w:r>
        <w:rPr>
          <w:b w:val="false"/>
          <w:bCs w:val="false"/>
          <w:i/>
          <w:iCs/>
        </w:rPr>
        <w:t>infieles</w:t>
      </w:r>
      <w:r>
        <w:rPr>
          <w:b w:val="false"/>
          <w:bCs w:val="false"/>
          <w:i w:val="false"/>
          <w:iCs w:val="false"/>
        </w:rPr>
        <w:t xml:space="preserve"> and </w:t>
      </w:r>
      <w:r>
        <w:rPr>
          <w:b w:val="false"/>
          <w:bCs w:val="false"/>
          <w:i/>
          <w:iCs/>
        </w:rPr>
        <w:t>salvages</w:t>
      </w:r>
      <w:r>
        <w:rPr>
          <w:b w:val="false"/>
          <w:bCs w:val="false"/>
          <w:i w:val="false"/>
          <w:iCs w:val="false"/>
        </w:rPr>
        <w:t xml:space="preserve"> - that is, 'un-faithed' and 'savage' - cannot be described as savages in the ordinary sense of the term. They have nothing in common with the bloody savages of Africa and other parts of the world." </w:t>
      </w:r>
    </w:p>
    <w:p>
      <w:pPr>
        <w:pStyle w:val="Normal"/>
        <w:bidi w:val="0"/>
        <w:spacing w:lineRule="auto" w:line="480"/>
        <w:jc w:val="start"/>
        <w:rPr>
          <w:rFonts w:ascii="Liberation Serif" w:hAnsi="Liberation Serif"/>
        </w:rPr>
      </w:pPr>
      <w:r>
        <w:rPr>
          <w:b w:val="false"/>
          <w:bCs w:val="false"/>
          <w:i w:val="false"/>
          <w:iCs w:val="false"/>
        </w:rPr>
        <w:tab/>
        <w:t xml:space="preserve">Even Enock's praise is built on the devaluation of other races, but faint as it is he cannot hold onto it for long. A mere two pages later he attempts to describe the various peoples in Peru, saying "[t]he highland and coast people were those who formed the population under the Inca government, and under whose control they had reached a high degree of aboriginal civilisation; whilst the indigenes of the forests were more or less roving bands of savages, dwelling on the river banks, without other forms of government than that of the </w:t>
      </w:r>
      <w:r>
        <w:rPr>
          <w:b w:val="false"/>
          <w:bCs w:val="false"/>
          <w:i/>
          <w:iCs/>
        </w:rPr>
        <w:t>curacas</w:t>
      </w:r>
      <w:r>
        <w:rPr>
          <w:b w:val="false"/>
          <w:bCs w:val="false"/>
          <w:i w:val="false"/>
          <w:iCs w:val="false"/>
        </w:rPr>
        <w:t xml:space="preserve">, or petty chiefs of families or tribe." As evidence of the virtue of the people in the coastal region, Enock says they live under an intelligible structure, in which "every village contains its </w:t>
      </w:r>
      <w:r>
        <w:rPr>
          <w:b w:val="false"/>
          <w:bCs w:val="false"/>
          <w:i/>
          <w:iCs/>
        </w:rPr>
        <w:t>iglesia</w:t>
      </w:r>
      <w:r>
        <w:rPr>
          <w:b w:val="false"/>
          <w:bCs w:val="false"/>
          <w:i w:val="false"/>
          <w:iCs w:val="false"/>
        </w:rPr>
        <w:t xml:space="preserve"> and village priest."</w:t>
      </w:r>
      <w:r>
        <w:rPr>
          <w:rStyle w:val="FootnoteReference"/>
          <w:b w:val="false"/>
          <w:bCs w:val="false"/>
          <w:i w:val="false"/>
          <w:iCs w:val="false"/>
        </w:rPr>
        <w:footnoteReference w:id="18"/>
      </w:r>
      <w:r>
        <w:rPr>
          <w:b w:val="false"/>
          <w:bCs w:val="false"/>
          <w:i w:val="false"/>
          <w:iCs w:val="false"/>
        </w:rPr>
        <w:t xml:space="preserve"> In perhaps the most bizarre expression of his racial calculus, Enock develops an explanation of why the Peruvian 'Christians' would commit such terrible crimes, and why the English stockholders should to some extent be exudes. To quote somewhat at length: </w:t>
      </w:r>
    </w:p>
    <w:p>
      <w:pPr>
        <w:pStyle w:val="Normal"/>
        <w:bidi w:val="0"/>
        <w:spacing w:lineRule="auto" w:line="480"/>
        <w:ind w:hanging="0" w:start="1080"/>
        <w:jc w:val="start"/>
        <w:rPr>
          <w:rFonts w:ascii="Liberation Serif" w:hAnsi="Liberation Serif"/>
        </w:rPr>
      </w:pPr>
      <w:r>
        <w:rPr/>
        <w:t xml:space="preserve">"Apart from topographical considerations, the sinister occurrences on the Putumayo are, to some extent, the result of a sinister human element - the Spanish and Portuguese character. The remarkable trait of callousness to human suffering which the Iberian people of Portugal and Spain - themselves a mixture of Moor, Goth, Semite, Vantal, and other peoples - introduced into the Latin American race is here shown in its intensity, and is augmented by a further Spanish quality. The Spaniard often regards the Indians as </w:t>
      </w:r>
      <w:r>
        <w:rPr>
          <w:i/>
          <w:iCs/>
        </w:rPr>
        <w:t>animals</w:t>
      </w:r>
      <w:r>
        <w:rPr>
          <w:i w:val="false"/>
          <w:iCs w:val="false"/>
        </w:rPr>
        <w:t>. Other European people may have abused the Indians of America, but none have that peculiar Spanish attitude towards them of frankly considering them as non-human.[ ... ]</w:t>
      </w:r>
      <w:r>
        <w:rPr/>
        <w:t xml:space="preserve">There is yet a further trait of the Latin American which to the Anglo-Saxon mind is almost inexplicable. This is the pleasure in the torture of the Indian as a </w:t>
      </w:r>
      <w:r>
        <w:rPr>
          <w:i/>
          <w:iCs/>
        </w:rPr>
        <w:t>diversion</w:t>
      </w:r>
      <w:r>
        <w:rPr>
          <w:i w:val="false"/>
          <w:iCs w:val="false"/>
        </w:rPr>
        <w:t>, not merely as a vengeance or 'punishment.'</w:t>
      </w:r>
      <w:r>
        <w:rPr/>
        <w:t>"</w:t>
      </w:r>
      <w:r>
        <w:rPr>
          <w:rStyle w:val="FootnoteReference"/>
        </w:rPr>
        <w:footnoteReference w:id="19"/>
      </w:r>
    </w:p>
    <w:p>
      <w:pPr>
        <w:pStyle w:val="Normal"/>
        <w:bidi w:val="0"/>
        <w:spacing w:lineRule="auto" w:line="480"/>
        <w:jc w:val="start"/>
        <w:rPr>
          <w:rFonts w:ascii="Liberation Serif" w:hAnsi="Liberation Serif"/>
        </w:rPr>
      </w:pPr>
      <w:r>
        <w:rPr>
          <w:b w:val="false"/>
          <w:bCs w:val="false"/>
          <w:i w:val="false"/>
          <w:iCs w:val="false"/>
        </w:rPr>
        <w:t xml:space="preserve">The explanation? That the Peruvians carry bad Iberian blood, blood of a lower class. Enock's analysis exists within a rigid racial hierarchy - even his criticism of ethnic cleansing reinforces colonial hierarchy. This is a criticism not </w:t>
      </w:r>
      <w:r>
        <w:rPr>
          <w:b w:val="false"/>
          <w:bCs w:val="false"/>
          <w:i/>
          <w:iCs/>
        </w:rPr>
        <w:t>of</w:t>
      </w:r>
      <w:r>
        <w:rPr>
          <w:b w:val="false"/>
          <w:bCs w:val="false"/>
          <w:i w:val="false"/>
          <w:iCs w:val="false"/>
        </w:rPr>
        <w:t xml:space="preserve">, but </w:t>
      </w:r>
      <w:r>
        <w:rPr>
          <w:b w:val="false"/>
          <w:bCs w:val="false"/>
          <w:i/>
          <w:iCs/>
        </w:rPr>
        <w:t>internal to</w:t>
      </w:r>
      <w:r>
        <w:rPr>
          <w:b w:val="false"/>
          <w:bCs w:val="false"/>
          <w:i w:val="false"/>
          <w:iCs w:val="false"/>
        </w:rPr>
        <w:t xml:space="preserve"> the Civilising Project.</w:t>
      </w:r>
    </w:p>
    <w:p>
      <w:pPr>
        <w:pStyle w:val="Normal"/>
        <w:bidi w:val="0"/>
        <w:spacing w:lineRule="auto" w:line="480"/>
        <w:jc w:val="start"/>
        <w:rPr>
          <w:rFonts w:ascii="Liberation Serif" w:hAnsi="Liberation Serif"/>
        </w:rPr>
      </w:pPr>
      <w:r>
        <w:rPr>
          <w:b w:val="false"/>
          <w:bCs w:val="false"/>
          <w:i w:val="false"/>
          <w:iCs w:val="false"/>
        </w:rPr>
        <w:tab/>
        <w:t>As we can see, both the genocide itself and the critical viewpoint embodied by Hardenburg and Enock share a common goal: the pacification of the indigenous population, and the production of rubber for the world market. Although Enock and Hardenburg balked at the the violence of the genocide, the worldview they shared is precisely that which created it. The genocide cannot be reduced either to an attempt at labor discipline nor to simple bloodlust. The brutality of the individual perpetrators of the genocide may have been motivated by a capricious love for violence, but it took place in and was conditioned by the context of accumulation. The extermination of the Putumayo peoples was instrumentalized by the forces of capital. The next section will look at another target of destruction: the land itself and the natural conditions which shaped the PAC's violence.</w:t>
      </w:r>
    </w:p>
    <w:p>
      <w:pPr>
        <w:pStyle w:val="Normal"/>
        <w:bidi w:val="0"/>
        <w:spacing w:lineRule="auto" w:line="480"/>
        <w:jc w:val="start"/>
        <w:rPr>
          <w:rFonts w:ascii="Liberation Serif" w:hAnsi="Liberation Serif"/>
        </w:rPr>
      </w:pPr>
      <w:r>
        <w:rPr/>
      </w:r>
    </w:p>
    <w:p>
      <w:pPr>
        <w:pStyle w:val="Normal"/>
        <w:bidi w:val="0"/>
        <w:spacing w:lineRule="auto" w:line="480"/>
        <w:jc w:val="start"/>
        <w:rPr>
          <w:rFonts w:ascii="Liberation Serif" w:hAnsi="Liberation Serif"/>
          <w:i/>
          <w:i/>
          <w:iCs/>
        </w:rPr>
      </w:pPr>
      <w:commentRangeStart w:id="3"/>
      <w:r>
        <w:rPr>
          <w:b w:val="false"/>
          <w:bCs w:val="false"/>
          <w:i/>
          <w:iCs/>
        </w:rPr>
        <w:t>Land</w:t>
      </w:r>
      <w:commentRangeEnd w:id="3"/>
      <w:r>
        <w:commentReference w:id="3"/>
      </w:r>
      <w:r>
        <w:rPr>
          <w:b w:val="false"/>
          <w:bCs w:val="false"/>
          <w:i/>
          <w:iCs/>
        </w:rPr>
      </w:r>
    </w:p>
    <w:p>
      <w:pPr>
        <w:pStyle w:val="Normal"/>
        <w:bidi w:val="0"/>
        <w:spacing w:lineRule="auto" w:line="480"/>
        <w:jc w:val="start"/>
        <w:rPr>
          <w:rFonts w:ascii="Liberation Serif" w:hAnsi="Liberation Serif"/>
        </w:rPr>
      </w:pPr>
      <w:r>
        <w:rPr>
          <w:b w:val="false"/>
          <w:bCs w:val="false"/>
          <w:i w:val="false"/>
          <w:iCs w:val="false"/>
        </w:rPr>
        <w:tab/>
      </w:r>
      <w:commentRangeStart w:id="4"/>
      <w:r>
        <w:rPr>
          <w:b w:val="false"/>
          <w:bCs w:val="false"/>
          <w:i/>
          <w:iCs/>
        </w:rPr>
        <w:t>Land</w:t>
      </w:r>
      <w:commentRangeEnd w:id="4"/>
      <w:r>
        <w:commentReference w:id="4"/>
      </w:r>
      <w:r>
        <w:rPr>
          <w:b w:val="false"/>
          <w:bCs w:val="false"/>
          <w:i/>
          <w:iCs/>
        </w:rPr>
      </w:r>
    </w:p>
    <w:p>
      <w:pPr>
        <w:pStyle w:val="Normal"/>
        <w:bidi w:val="0"/>
        <w:spacing w:lineRule="auto" w:line="480"/>
        <w:jc w:val="start"/>
        <w:rPr>
          <w:rFonts w:ascii="Liberation Serif" w:hAnsi="Liberation Serif"/>
        </w:rPr>
      </w:pPr>
      <w:r>
        <w:rPr>
          <w:b w:val="false"/>
          <w:bCs w:val="false"/>
          <w:i w:val="false"/>
          <w:iCs w:val="false"/>
        </w:rPr>
        <w:tab/>
        <w:t xml:space="preserve">Thesis: The exploitation of indigenous peoples is inextricably tied up in the exploitation of nature. </w:t>
      </w:r>
    </w:p>
    <w:p>
      <w:pPr>
        <w:pStyle w:val="Normal"/>
        <w:bidi w:val="0"/>
        <w:spacing w:lineRule="auto" w:line="480"/>
        <w:jc w:val="start"/>
        <w:rPr>
          <w:rFonts w:ascii="Liberation Serif" w:hAnsi="Liberation Serif"/>
        </w:rPr>
      </w:pPr>
      <w:r>
        <w:rPr>
          <w:b/>
          <w:bCs/>
          <w:i w:val="false"/>
          <w:iCs w:val="false"/>
        </w:rPr>
        <w:t>Point 1: Rationalization</w:t>
      </w:r>
    </w:p>
    <w:p>
      <w:pPr>
        <w:pStyle w:val="Normal"/>
        <w:bidi w:val="0"/>
        <w:spacing w:lineRule="auto" w:line="480"/>
        <w:jc w:val="start"/>
        <w:rPr>
          <w:rFonts w:ascii="Liberation Serif" w:hAnsi="Liberation Serif"/>
        </w:rPr>
      </w:pPr>
      <w:r>
        <w:rPr>
          <w:b w:val="false"/>
          <w:bCs w:val="false"/>
          <w:i w:val="false"/>
          <w:iCs w:val="false"/>
        </w:rPr>
        <w:tab/>
        <w:t>It is instructive to briefly turn back to the perspective of the anti-genocide humanism of Hardenburg and Enock. Their conception of racial hierarchy is accompanied by a certain instrumental view of nature. Like the indigenous populations, the Amazon basin itself is an untamed and untapped source of wealth which</w:t>
      </w:r>
      <w:commentRangeStart w:id="5"/>
      <w:r>
        <w:rPr>
          <w:b w:val="false"/>
          <w:bCs w:val="false"/>
          <w:i w:val="false"/>
          <w:iCs w:val="false"/>
        </w:rPr>
        <w:t xml:space="preserve"> only needs to be subject to the rationalizing discipline of capital.</w:t>
      </w:r>
      <w:r>
        <w:rPr>
          <w:b w:val="false"/>
          <w:bCs w:val="false"/>
          <w:i w:val="false"/>
          <w:iCs w:val="false"/>
        </w:rPr>
      </w:r>
      <w:commentRangeEnd w:id="5"/>
      <w:r>
        <w:commentReference w:id="5"/>
      </w:r>
      <w:r>
        <w:rPr>
          <w:b w:val="false"/>
          <w:bCs w:val="false"/>
          <w:i w:val="false"/>
          <w:iCs w:val="false"/>
        </w:rPr>
        <w:t xml:space="preserve"> </w:t>
      </w:r>
      <w:r>
        <w:rPr/>
        <w:t>As they describe the natural space of the Putumayo basin and its inhabitants, they do so as surveyors and engineers, cataloging every natural and human element in terms of their potential to produce profit. Enock writes: "In the Peruvian Montaña, in its upper regions, Nature has been lavish of her products and opportunities. The rancher who should take up his abode there, with a small amount of capital, can rapidly acquire estates and wealth.... It is sufficient to cut down and burn the brush and scratch the soil and sow any seed, to recover return of a hundred for one."</w:t>
      </w:r>
      <w:r>
        <w:rPr>
          <w:rStyle w:val="FootnoteReference"/>
        </w:rPr>
        <w:footnoteReference w:id="20"/>
      </w:r>
      <w:r>
        <w:rPr/>
        <w:t xml:space="preserve"> And a page later: "The whole Amazon Valley, when it shall have been opened up, will prove to be one of the most valuable parts of the earth's surface."</w:t>
      </w:r>
      <w:r>
        <w:rPr>
          <w:rStyle w:val="FootnoteReference"/>
        </w:rPr>
        <w:footnoteReference w:id="21"/>
      </w:r>
      <w:r>
        <w:rPr/>
        <w:t xml:space="preserve"> What's odd about these quotes is that they are sandwiched between the diatribes against the "savages" of North and South America and the extended musings on the racial mixing of Spanish and Latin American races. It's written in a scattered way, as if Enock can't decide between the relative importance of accumulation and expounding his racial theories.</w:t>
      </w:r>
    </w:p>
    <w:p>
      <w:pPr>
        <w:pStyle w:val="Normal"/>
        <w:bidi w:val="0"/>
        <w:spacing w:lineRule="auto" w:line="480"/>
        <w:jc w:val="start"/>
        <w:rPr>
          <w:rFonts w:ascii="Liberation Serif" w:hAnsi="Liberation Serif"/>
        </w:rPr>
      </w:pPr>
      <w:r>
        <w:rPr>
          <w:b w:val="false"/>
          <w:bCs w:val="false"/>
          <w:i w:val="false"/>
          <w:iCs w:val="false"/>
        </w:rPr>
        <w:tab/>
        <w:t>Hardenburg's account is somewhat more focused on profit, as his journey was planned explicitly as an expedition to find potential areas of investment. He wanted to take advantage of the rubber boom, but kept a keen eye on any potentially profitable ventures. He similarly discusses the suitability of the region for agriculture, noting that "[a] part of the valley is low and swampy, but the rest is good, rich soil, quite suitable for agricultural purposes, and covered with a thick, short grass. Although all the encircling mountains are clad with forests, the valley is, at present, cleared and ready for cultivation."</w:t>
      </w:r>
      <w:r>
        <w:rPr>
          <w:rStyle w:val="FootnoteReference"/>
          <w:b w:val="false"/>
          <w:bCs w:val="false"/>
          <w:i w:val="false"/>
          <w:iCs w:val="false"/>
        </w:rPr>
        <w:footnoteReference w:id="22"/>
      </w:r>
      <w:r>
        <w:rPr>
          <w:b w:val="false"/>
          <w:bCs w:val="false"/>
          <w:i w:val="false"/>
          <w:iCs w:val="false"/>
        </w:rPr>
        <w:t xml:space="preserve"> As he travels down the river, he takes samples of rocks that might indicate the presence of valuable minerals.</w:t>
      </w:r>
    </w:p>
    <w:p>
      <w:pPr>
        <w:pStyle w:val="Normal"/>
        <w:bidi w:val="0"/>
        <w:spacing w:lineRule="auto" w:line="480"/>
        <w:jc w:val="start"/>
        <w:rPr>
          <w:rFonts w:ascii="Liberation Serif" w:hAnsi="Liberation Serif"/>
        </w:rPr>
      </w:pPr>
      <w:r>
        <w:rPr/>
      </w:r>
    </w:p>
    <w:p>
      <w:pPr>
        <w:pStyle w:val="Normal"/>
        <w:bidi w:val="0"/>
        <w:spacing w:lineRule="auto" w:line="480"/>
        <w:jc w:val="start"/>
        <w:rPr>
          <w:rFonts w:ascii="Liberation Serif" w:hAnsi="Liberation Serif"/>
        </w:rPr>
      </w:pPr>
      <w:commentRangeStart w:id="6"/>
      <w:r>
        <w:rPr>
          <w:b/>
          <w:bCs/>
          <w:i w:val="false"/>
          <w:iCs w:val="false"/>
        </w:rPr>
        <w:t>Point 2: Difficulties of the Region</w:t>
      </w:r>
      <w:commentRangeEnd w:id="6"/>
      <w:r>
        <w:commentReference w:id="6"/>
      </w:r>
      <w:r>
        <w:rPr>
          <w:b/>
          <w:bCs/>
          <w:i w:val="false"/>
          <w:iCs w:val="false"/>
        </w:rPr>
      </w:r>
    </w:p>
    <w:p>
      <w:pPr>
        <w:pStyle w:val="Normal"/>
        <w:bidi w:val="0"/>
        <w:spacing w:lineRule="auto" w:line="480"/>
        <w:jc w:val="start"/>
        <w:rPr>
          <w:rFonts w:ascii="Liberation Serif" w:hAnsi="Liberation Serif"/>
        </w:rPr>
      </w:pPr>
      <w:r>
        <w:rPr>
          <w:b w:val="false"/>
          <w:bCs w:val="false"/>
          <w:i w:val="false"/>
          <w:iCs w:val="false"/>
        </w:rPr>
        <w:tab/>
        <w:t>It was rubber, of course, which stood out as the most profitable venture in the Putumayo. However, the latex producing trees were in general much more difficult to manage than those in the lower Amazon. As mentioned in the previous chapter, there are several species of latex producing plants:</w:t>
      </w:r>
      <w:r>
        <w:rPr>
          <w:rStyle w:val="FootnoteReference"/>
          <w:b w:val="false"/>
          <w:bCs w:val="false"/>
          <w:i w:val="false"/>
          <w:iCs w:val="false"/>
        </w:rPr>
        <w:footnoteReference w:id="23"/>
      </w:r>
      <w:r>
        <w:rPr>
          <w:b w:val="false"/>
          <w:bCs w:val="false"/>
          <w:i w:val="false"/>
          <w:iCs w:val="false"/>
        </w:rPr>
        <w:t xml:space="preserve"> </w:t>
      </w:r>
      <w:r>
        <w:rPr>
          <w:b w:val="false"/>
          <w:bCs w:val="false"/>
          <w:i/>
          <w:iCs/>
        </w:rPr>
        <w:t>Guayule</w:t>
      </w:r>
      <w:r>
        <w:rPr>
          <w:b w:val="false"/>
          <w:bCs w:val="false"/>
          <w:i w:val="false"/>
          <w:iCs w:val="false"/>
        </w:rPr>
        <w:t xml:space="preserve"> which can grow in the US and which produces hypoallergenic rubber;</w:t>
      </w:r>
      <w:r>
        <w:rPr>
          <w:rStyle w:val="FootnoteReference"/>
          <w:b w:val="false"/>
          <w:bCs w:val="false"/>
          <w:i w:val="false"/>
          <w:iCs w:val="false"/>
        </w:rPr>
        <w:footnoteReference w:id="24"/>
      </w:r>
      <w:r>
        <w:rPr>
          <w:b w:val="false"/>
          <w:bCs w:val="false"/>
          <w:i w:val="false"/>
          <w:iCs w:val="false"/>
        </w:rPr>
        <w:t xml:space="preserve"> </w:t>
      </w:r>
      <w:r>
        <w:rPr>
          <w:b w:val="false"/>
          <w:bCs w:val="false"/>
          <w:i/>
          <w:iCs/>
        </w:rPr>
        <w:t>Landolphia Owariensis</w:t>
      </w:r>
      <w:r>
        <w:rPr>
          <w:b w:val="false"/>
          <w:bCs w:val="false"/>
          <w:i w:val="false"/>
          <w:iCs w:val="false"/>
        </w:rPr>
        <w:t>, an "fragile and easily killed" African vine which served as the principle source of rubber collected during the Congo Genocide;</w:t>
      </w:r>
      <w:r>
        <w:rPr>
          <w:rStyle w:val="FootnoteReference"/>
          <w:b w:val="false"/>
          <w:bCs w:val="false"/>
          <w:i w:val="false"/>
          <w:iCs w:val="false"/>
        </w:rPr>
        <w:footnoteReference w:id="25"/>
      </w:r>
      <w:r>
        <w:rPr>
          <w:b w:val="false"/>
          <w:bCs w:val="false"/>
          <w:i w:val="false"/>
          <w:iCs w:val="false"/>
        </w:rPr>
        <w:t xml:space="preserve"> </w:t>
      </w:r>
      <w:r>
        <w:rPr>
          <w:b w:val="false"/>
          <w:bCs w:val="false"/>
          <w:i/>
          <w:iCs/>
        </w:rPr>
        <w:t>Cryptostegia,</w:t>
      </w:r>
      <w:r>
        <w:rPr>
          <w:b w:val="false"/>
          <w:bCs w:val="false"/>
          <w:i w:val="false"/>
          <w:iCs w:val="false"/>
        </w:rPr>
        <w:t xml:space="preserve"> which was native to Madagascar but was prohibitively labor intensive to tap;</w:t>
      </w:r>
      <w:r>
        <w:rPr>
          <w:rStyle w:val="FootnoteReference"/>
          <w:b w:val="false"/>
          <w:bCs w:val="false"/>
          <w:i w:val="false"/>
          <w:iCs w:val="false"/>
        </w:rPr>
        <w:footnoteReference w:id="26"/>
      </w:r>
      <w:r>
        <w:rPr>
          <w:b w:val="false"/>
          <w:bCs w:val="false"/>
          <w:i w:val="false"/>
          <w:iCs w:val="false"/>
        </w:rPr>
        <w:t xml:space="preserve"> and literally hundreds more, including the common dandelion. Among the world's latex producing plants </w:t>
      </w:r>
      <w:r>
        <w:rPr>
          <w:b w:val="false"/>
          <w:bCs w:val="false"/>
          <w:i/>
          <w:iCs/>
        </w:rPr>
        <w:t>Hevea Brasiliensis</w:t>
      </w:r>
      <w:r>
        <w:rPr>
          <w:b w:val="false"/>
          <w:bCs w:val="false"/>
          <w:i w:val="false"/>
          <w:iCs w:val="false"/>
        </w:rPr>
        <w:t xml:space="preserve"> is by far the most productive and most widely processed, but even in its native Amazon it competed with the </w:t>
      </w:r>
      <w:r>
        <w:rPr>
          <w:b w:val="false"/>
          <w:bCs w:val="false"/>
          <w:i/>
          <w:iCs/>
        </w:rPr>
        <w:t>Castilla</w:t>
      </w:r>
      <w:r>
        <w:rPr>
          <w:b w:val="false"/>
          <w:bCs w:val="false"/>
          <w:i w:val="false"/>
          <w:iCs w:val="false"/>
        </w:rPr>
        <w:t xml:space="preserve"> plant. In fact, </w:t>
      </w:r>
      <w:r>
        <w:rPr>
          <w:b w:val="false"/>
          <w:bCs w:val="false"/>
          <w:i/>
          <w:iCs/>
        </w:rPr>
        <w:t>Castilla</w:t>
      </w:r>
      <w:r>
        <w:rPr>
          <w:b w:val="false"/>
          <w:bCs w:val="false"/>
          <w:i w:val="false"/>
          <w:iCs w:val="false"/>
        </w:rPr>
        <w:t xml:space="preserve"> processing predated </w:t>
      </w:r>
      <w:r>
        <w:rPr>
          <w:b w:val="false"/>
          <w:bCs w:val="false"/>
          <w:i/>
          <w:iCs/>
        </w:rPr>
        <w:t xml:space="preserve">Hevea </w:t>
      </w:r>
      <w:r>
        <w:rPr>
          <w:b w:val="false"/>
          <w:bCs w:val="false"/>
          <w:i w:val="false"/>
          <w:iCs w:val="false"/>
        </w:rPr>
        <w:t xml:space="preserve">among indigenous peoples, and was initially much more common with several unique advantages. The most important of these was that </w:t>
      </w:r>
      <w:r>
        <w:rPr>
          <w:b w:val="false"/>
          <w:bCs w:val="false"/>
          <w:i/>
          <w:iCs/>
        </w:rPr>
        <w:t>Castilla</w:t>
      </w:r>
      <w:r>
        <w:rPr>
          <w:b w:val="false"/>
          <w:bCs w:val="false"/>
          <w:i w:val="false"/>
          <w:iCs w:val="false"/>
        </w:rPr>
        <w:t xml:space="preserve"> trees have a much higher short term production, as the "free flow of latex from the tapping cuts ... gave more rubber with less labor than was possible with Hevea."</w:t>
      </w:r>
      <w:r>
        <w:rPr>
          <w:rStyle w:val="FootnoteReference"/>
          <w:b w:val="false"/>
          <w:bCs w:val="false"/>
          <w:i w:val="false"/>
          <w:iCs w:val="false"/>
        </w:rPr>
        <w:footnoteReference w:id="27"/>
      </w:r>
      <w:r>
        <w:rPr>
          <w:b w:val="false"/>
          <w:bCs w:val="false"/>
          <w:i w:val="false"/>
          <w:iCs w:val="false"/>
        </w:rPr>
        <w:t xml:space="preserve"> Unfortunately, "they will not produce such yields if tapped more frequently than once or twice per year,"</w:t>
      </w:r>
      <w:r>
        <w:rPr>
          <w:rStyle w:val="FootnoteReference"/>
          <w:b w:val="false"/>
          <w:bCs w:val="false"/>
          <w:i w:val="false"/>
          <w:iCs w:val="false"/>
        </w:rPr>
        <w:footnoteReference w:id="28"/>
      </w:r>
      <w:r>
        <w:rPr>
          <w:b w:val="false"/>
          <w:bCs w:val="false"/>
          <w:i w:val="false"/>
          <w:iCs w:val="false"/>
        </w:rPr>
        <w:t xml:space="preserve"> and in South America it was harvested "by felling and circling the trunks,"</w:t>
      </w:r>
      <w:r>
        <w:rPr>
          <w:rStyle w:val="FootnoteReference"/>
          <w:b w:val="false"/>
          <w:bCs w:val="false"/>
          <w:i w:val="false"/>
          <w:iCs w:val="false"/>
        </w:rPr>
        <w:footnoteReference w:id="29"/>
      </w:r>
      <w:r>
        <w:rPr>
          <w:b w:val="false"/>
          <w:bCs w:val="false"/>
          <w:i w:val="false"/>
          <w:iCs w:val="false"/>
        </w:rPr>
        <w:t xml:space="preserve"> destroying the trees. </w:t>
      </w:r>
    </w:p>
    <w:p>
      <w:pPr>
        <w:pStyle w:val="Normal"/>
        <w:bidi w:val="0"/>
        <w:spacing w:lineRule="auto" w:line="480"/>
        <w:jc w:val="start"/>
        <w:rPr>
          <w:rFonts w:ascii="Liberation Serif" w:hAnsi="Liberation Serif"/>
        </w:rPr>
      </w:pPr>
      <w:r>
        <w:rPr/>
        <w:tab/>
        <w:t xml:space="preserve">In general in 19th century, </w:t>
      </w:r>
      <w:r>
        <w:rPr>
          <w:i/>
          <w:iCs/>
        </w:rPr>
        <w:t>Hevea</w:t>
      </w:r>
      <w:r>
        <w:rPr/>
        <w:t xml:space="preserve"> latex was more common in the eastern Amazon, and </w:t>
      </w:r>
      <w:r>
        <w:rPr>
          <w:i/>
          <w:iCs/>
        </w:rPr>
        <w:t>Castilla</w:t>
      </w:r>
      <w:r>
        <w:rPr/>
        <w:t xml:space="preserve"> in the west. However because the harvesting of </w:t>
      </w:r>
      <w:r>
        <w:rPr>
          <w:i/>
          <w:iCs/>
        </w:rPr>
        <w:t xml:space="preserve">Castilla </w:t>
      </w:r>
      <w:r>
        <w:rPr>
          <w:i w:val="false"/>
          <w:iCs w:val="false"/>
        </w:rPr>
        <w:t xml:space="preserve">latex often destroyed the tree, it began to die out in the wild by the end of the nineteenth century. When </w:t>
      </w:r>
      <w:r>
        <w:rPr/>
        <w:t xml:space="preserve">Hardenburg traveled through Colombia and Peru in 1907 and 1908 he was told that "the whole region of the Upper Putumayo had once abounded in </w:t>
      </w:r>
      <w:r>
        <w:rPr>
          <w:i/>
          <w:iCs/>
        </w:rPr>
        <w:t>caucho negro,</w:t>
      </w:r>
      <w:r>
        <w:rPr/>
        <w:t xml:space="preserve">" the local name for the rubber produced by </w:t>
      </w:r>
      <w:r>
        <w:rPr>
          <w:i/>
          <w:iCs/>
        </w:rPr>
        <w:t>Castilla</w:t>
      </w:r>
      <w:r>
        <w:rPr>
          <w:i w:val="false"/>
          <w:iCs w:val="false"/>
        </w:rPr>
        <w:t xml:space="preserve"> tree, "but that at the present date very little remained, owing to the fierce onslaughts of the </w:t>
      </w:r>
      <w:r>
        <w:rPr>
          <w:i/>
          <w:iCs/>
        </w:rPr>
        <w:t xml:space="preserve">caucheros </w:t>
      </w:r>
      <w:r>
        <w:rPr>
          <w:i w:val="false"/>
          <w:iCs w:val="false"/>
        </w:rPr>
        <w:t>many years ago."</w:t>
      </w:r>
      <w:r>
        <w:rPr>
          <w:rStyle w:val="FootnoteReference"/>
          <w:i w:val="false"/>
          <w:iCs w:val="false"/>
        </w:rPr>
        <w:footnoteReference w:id="30"/>
      </w:r>
      <w:r>
        <w:rPr>
          <w:i w:val="false"/>
          <w:iCs w:val="false"/>
        </w:rPr>
        <w:t xml:space="preserve"> Thus there had been a shift to </w:t>
      </w:r>
      <w:r>
        <w:rPr>
          <w:i/>
          <w:iCs/>
        </w:rPr>
        <w:t>Hevea</w:t>
      </w:r>
      <w:r>
        <w:rPr>
          <w:i w:val="false"/>
          <w:iCs w:val="false"/>
        </w:rPr>
        <w:t xml:space="preserve">, but there are several ways in which </w:t>
      </w:r>
      <w:r>
        <w:rPr>
          <w:i/>
          <w:iCs/>
        </w:rPr>
        <w:t>Hevea</w:t>
      </w:r>
      <w:r>
        <w:rPr>
          <w:i w:val="false"/>
          <w:iCs w:val="false"/>
        </w:rPr>
        <w:t xml:space="preserve"> production in the Putumayo region was inferior to that in the lower Amazon.</w:t>
      </w:r>
    </w:p>
    <w:p>
      <w:pPr>
        <w:pStyle w:val="Normal"/>
        <w:bidi w:val="0"/>
        <w:spacing w:lineRule="auto" w:line="480"/>
        <w:jc w:val="start"/>
        <w:rPr>
          <w:rFonts w:ascii="Liberation Serif" w:hAnsi="Liberation Serif"/>
        </w:rPr>
      </w:pPr>
      <w:r>
        <w:rPr>
          <w:i w:val="false"/>
          <w:iCs w:val="false"/>
        </w:rPr>
        <w:tab/>
        <w:t xml:space="preserve">In the first place, there are several species in the genus </w:t>
      </w:r>
      <w:r>
        <w:rPr>
          <w:i/>
          <w:iCs/>
        </w:rPr>
        <w:t>Hevea</w:t>
      </w:r>
      <w:r>
        <w:rPr>
          <w:i w:val="false"/>
          <w:iCs w:val="false"/>
        </w:rPr>
        <w:t xml:space="preserve">, not all of which are as productive as the </w:t>
      </w:r>
      <w:r>
        <w:rPr>
          <w:i/>
          <w:iCs/>
        </w:rPr>
        <w:t>Hevea Brasiliensis</w:t>
      </w:r>
      <w:r>
        <w:rPr>
          <w:i w:val="false"/>
          <w:iCs w:val="false"/>
        </w:rPr>
        <w:t xml:space="preserve"> which grows in the east. The species that grow in the Putumayo are </w:t>
      </w:r>
      <w:r>
        <w:rPr>
          <w:i/>
          <w:iCs/>
        </w:rPr>
        <w:t>Hevea guianensis</w:t>
      </w:r>
      <w:r>
        <w:rPr>
          <w:i w:val="false"/>
          <w:iCs w:val="false"/>
        </w:rPr>
        <w:t xml:space="preserve"> and </w:t>
      </w:r>
      <w:r>
        <w:rPr>
          <w:i/>
          <w:iCs/>
        </w:rPr>
        <w:t>Hevea benthamiana</w:t>
      </w:r>
      <w:r>
        <w:rPr>
          <w:i w:val="false"/>
          <w:iCs w:val="false"/>
        </w:rPr>
        <w:t xml:space="preserve">, which are the "most productive and highest quality varieties within the category of weak rubber," but which in the rest of the Amazon are less exploited than </w:t>
      </w:r>
      <w:r>
        <w:rPr>
          <w:i/>
          <w:iCs/>
        </w:rPr>
        <w:t>Hevea Brasiliensis</w:t>
      </w:r>
      <w:r>
        <w:rPr>
          <w:i w:val="false"/>
          <w:iCs w:val="false"/>
        </w:rPr>
        <w:t xml:space="preserve"> "due to their low production and the occasionally sticky character of their latex which makes their rubber undesirable on the market."</w:t>
      </w:r>
      <w:r>
        <w:rPr>
          <w:rStyle w:val="FootnoteReference"/>
          <w:i w:val="false"/>
          <w:iCs w:val="false"/>
        </w:rPr>
        <w:footnoteReference w:id="31"/>
      </w:r>
      <w:r>
        <w:rPr>
          <w:i w:val="false"/>
          <w:iCs w:val="false"/>
        </w:rPr>
        <w:t xml:space="preserve"> From July 1901 to June 1902, 1.4 million kilograms of rubber passed through Iquitos, of which only a third was classified as high quality,</w:t>
      </w:r>
      <w:r>
        <w:rPr>
          <w:rStyle w:val="FootnoteReference"/>
          <w:i w:val="false"/>
          <w:iCs w:val="false"/>
        </w:rPr>
        <w:footnoteReference w:id="32"/>
      </w:r>
      <w:r>
        <w:rPr>
          <w:i w:val="false"/>
          <w:iCs w:val="false"/>
        </w:rPr>
        <w:t xml:space="preserve"> compared to about half in Brazil.</w:t>
      </w:r>
      <w:r>
        <w:rPr>
          <w:rStyle w:val="FootnoteReference"/>
          <w:i w:val="false"/>
          <w:iCs w:val="false"/>
        </w:rPr>
        <w:footnoteReference w:id="33"/>
      </w:r>
      <w:r>
        <w:rPr>
          <w:i w:val="false"/>
          <w:iCs w:val="false"/>
        </w:rPr>
        <w:t xml:space="preserve"> During the final period of Amazonian dominance on the world rubber market, roughly 1900 to 1914, fine rubber averaged a 36% premium over lower quality rubber, peaking at more than double the value in 1910.</w:t>
      </w:r>
      <w:r>
        <w:rPr>
          <w:rStyle w:val="FootnoteReference"/>
          <w:i w:val="false"/>
          <w:iCs w:val="false"/>
        </w:rPr>
        <w:footnoteReference w:id="34"/>
      </w:r>
    </w:p>
    <w:p>
      <w:pPr>
        <w:pStyle w:val="Normal"/>
        <w:bidi w:val="0"/>
        <w:spacing w:lineRule="auto" w:line="480"/>
        <w:jc w:val="start"/>
        <w:rPr>
          <w:rFonts w:ascii="Liberation Serif" w:hAnsi="Liberation Serif"/>
        </w:rPr>
      </w:pPr>
      <w:r>
        <w:rPr>
          <w:i w:val="false"/>
          <w:iCs w:val="false"/>
        </w:rPr>
        <w:tab/>
        <w:t xml:space="preserve">All of this indicates that if the Putumayo was going to compete with the rest of the Amazon, it would not be in the realm of quality. The Putumayo could produce rubber, but given its lower quality and consequently its lower price, to be profitable it would have to drive down the costs of production. This is evident in the methods of labor discipline employed by the PAC: the forced labor, the sub-starvation-level provisions, and the </w:t>
      </w:r>
      <w:commentRangeStart w:id="7"/>
      <w:r>
        <w:rPr>
          <w:i w:val="false"/>
          <w:iCs w:val="false"/>
        </w:rPr>
        <w:t>debt relation</w:t>
      </w:r>
      <w:r>
        <w:rPr>
          <w:i w:val="false"/>
          <w:iCs w:val="false"/>
        </w:rPr>
      </w:r>
      <w:commentRangeEnd w:id="7"/>
      <w:r>
        <w:commentReference w:id="7"/>
      </w:r>
      <w:r>
        <w:rPr>
          <w:i w:val="false"/>
          <w:iCs w:val="false"/>
        </w:rPr>
        <w:t xml:space="preserve"> all served to depress the cost of labor and therefore the cost of producing rubber. </w:t>
      </w:r>
      <w:r>
        <w:rPr>
          <w:i w:val="false"/>
          <w:iCs w:val="false"/>
          <w:shd w:fill="FFFF00" w:val="clear"/>
        </w:rPr>
        <w:t>[finish this para]</w:t>
      </w:r>
    </w:p>
    <w:p>
      <w:pPr>
        <w:pStyle w:val="Normal"/>
        <w:bidi w:val="0"/>
        <w:spacing w:lineRule="auto" w:line="480"/>
        <w:jc w:val="start"/>
        <w:rPr>
          <w:rFonts w:ascii="Liberation Serif" w:hAnsi="Liberation Serif"/>
        </w:rPr>
      </w:pPr>
      <w:r>
        <w:rPr/>
        <w:tab/>
        <w:t xml:space="preserve">The increased difficulty of harvesting rubber in the Putumayo vis-a-vis the rest of the Amazon appears to have been a compounding factor. In describing the harvesting patterns of tappers in the lower Amazon, Weinstein indicates that they operated several looping trails that stayed close to the vicinity of their domocile. These trails were around </w:t>
      </w:r>
      <w:r>
        <w:rPr>
          <w:shd w:fill="FFFF00" w:val="clear"/>
        </w:rPr>
        <w:t>[x kilometers - find in weinstein]</w:t>
      </w:r>
      <w:r>
        <w:rPr>
          <w:shd w:fill="auto" w:val="clear"/>
        </w:rPr>
        <w:t xml:space="preserve"> and the tappers would alternate between the trails on subsequent days and carry their rubber to their </w:t>
      </w:r>
      <w:commentRangeStart w:id="8"/>
      <w:r>
        <w:rPr>
          <w:i/>
          <w:iCs/>
          <w:shd w:fill="auto" w:val="clear"/>
        </w:rPr>
        <w:t>maistries</w:t>
      </w:r>
      <w:r>
        <w:rPr>
          <w:i/>
          <w:iCs/>
          <w:shd w:fill="auto" w:val="clear"/>
        </w:rPr>
      </w:r>
      <w:commentRangeEnd w:id="8"/>
      <w:r>
        <w:commentReference w:id="8"/>
      </w:r>
      <w:r>
        <w:rPr>
          <w:shd w:fill="auto" w:val="clear"/>
        </w:rPr>
        <w:t xml:space="preserve"> on the local waterways. </w:t>
      </w:r>
      <w:r>
        <w:rPr>
          <w:shd w:fill="FFFF00" w:val="clear"/>
        </w:rPr>
        <w:t>[insert something about long treks, forced]</w:t>
      </w:r>
    </w:p>
    <w:p>
      <w:pPr>
        <w:pStyle w:val="Normal"/>
        <w:bidi w:val="0"/>
        <w:spacing w:lineRule="auto" w:line="480"/>
        <w:jc w:val="start"/>
        <w:rPr>
          <w:rFonts w:ascii="Liberation Serif" w:hAnsi="Liberation Serif"/>
        </w:rPr>
      </w:pPr>
      <w:r>
        <w:rPr/>
      </w:r>
    </w:p>
    <w:p>
      <w:pPr>
        <w:pStyle w:val="Normal"/>
        <w:bidi w:val="0"/>
        <w:spacing w:lineRule="auto" w:line="480"/>
        <w:jc w:val="start"/>
        <w:rPr>
          <w:rFonts w:ascii="Liberation Serif" w:hAnsi="Liberation Serif"/>
        </w:rPr>
      </w:pPr>
      <w:r>
        <w:rPr>
          <w:b/>
          <w:bCs/>
          <w:i w:val="false"/>
          <w:iCs w:val="false"/>
        </w:rPr>
        <w:t>Point 3: Solution to point 2 (PAC Land Valuation, assets, building etc)</w:t>
      </w:r>
    </w:p>
    <w:p>
      <w:pPr>
        <w:pStyle w:val="Normal"/>
        <w:bidi w:val="0"/>
        <w:spacing w:lineRule="auto" w:line="480"/>
        <w:jc w:val="start"/>
        <w:rPr>
          <w:b w:val="false"/>
          <w:bCs w:val="false"/>
          <w:highlight w:val="none"/>
          <w:shd w:fill="FFFF00" w:val="clear"/>
        </w:rPr>
      </w:pPr>
      <w:r>
        <w:rPr>
          <w:b w:val="false"/>
          <w:bCs w:val="false"/>
          <w:i w:val="false"/>
          <w:iCs w:val="false"/>
          <w:shd w:fill="FFFF00" w:val="clear"/>
        </w:rPr>
        <w:t>[instead of working the land to produce food, they stole it from natives and shipped it in from elsewhere. furniture and other capital goods.]</w:t>
      </w:r>
    </w:p>
    <w:p>
      <w:pPr>
        <w:pStyle w:val="Normal"/>
        <w:bidi w:val="0"/>
        <w:spacing w:lineRule="auto" w:line="480"/>
        <w:jc w:val="start"/>
        <w:rPr>
          <w:rFonts w:ascii="Liberation Serif" w:hAnsi="Liberation Serif"/>
        </w:rPr>
      </w:pPr>
      <w:r>
        <w:rPr>
          <w:b w:val="false"/>
          <w:bCs w:val="false"/>
        </w:rPr>
        <w:tab/>
        <w:t>Recent scholarship into the corporate structure and accounting practices of the PAC have provided valuable insight into the methods used to conduct profitable business in the unique economic considerations that differentiated the region from the rest of the Amazon. Although the debt-bondage relation that characterized Amazonian wild rubber production was operative in the Putumayo, it served a somewhat different purpose. Whereas in the lower Amazon, the debt relation allowed workers some level of autonomy, as has been argued convincingly by Barbara Weinstein, we have seen that in the Putumayo it served to mask the extreme levels of unfreedom that actually prevailed. This was e</w:t>
      </w:r>
      <w:commentRangeStart w:id="9"/>
      <w:r>
        <w:rPr>
          <w:b w:val="false"/>
          <w:bCs w:val="false"/>
        </w:rPr>
        <w:t xml:space="preserve">specially important for Arana's solicitation of capital investment in Britain, as the debt relation served to add a veneer of legality to a system of enslavement that otherwise would have deterred British capital investment. </w:t>
      </w:r>
      <w:r>
        <w:rPr>
          <w:b w:val="false"/>
          <w:bCs w:val="false"/>
        </w:rPr>
      </w:r>
      <w:commentRangeEnd w:id="9"/>
      <w:r>
        <w:commentReference w:id="9"/>
      </w:r>
      <w:r>
        <w:rPr>
          <w:b w:val="false"/>
          <w:bCs w:val="false"/>
        </w:rPr>
        <w:t xml:space="preserve">As the Putumayo region was contested territory between Colombia and Peru, land deeds were scarce, and the PAC was required to establish the legitimacy of its claim to the land it was exploiting. The debt relation and control over the indigenous population served as a crucial element in their assertion of land rights. </w:t>
      </w:r>
    </w:p>
    <w:p>
      <w:pPr>
        <w:pStyle w:val="Normal"/>
        <w:bidi w:val="0"/>
        <w:spacing w:lineRule="auto" w:line="480"/>
        <w:jc w:val="start"/>
        <w:rPr>
          <w:rFonts w:ascii="Liberation Serif" w:hAnsi="Liberation Serif"/>
        </w:rPr>
      </w:pPr>
      <w:r>
        <w:rPr>
          <w:b w:val="false"/>
          <w:bCs w:val="false"/>
        </w:rPr>
        <w:tab/>
        <w:t>Stephen Walker's recent article "The Peruvian Amazon Company: An Accounting Perspective" makes the case that the debt-bondage relation is one of many accounting practices which should be "no longer perceived as a purely technical endeavor that is isolated from the organizational and social context in which it is practiced. Accounting information is now comprehended as socially constructed, as value laden, and the production of accounts is recognized as a highly political process."</w:t>
      </w:r>
      <w:r>
        <w:rPr>
          <w:rStyle w:val="FootnoteReference"/>
          <w:b w:val="false"/>
          <w:bCs w:val="false"/>
        </w:rPr>
        <w:footnoteReference w:id="35"/>
      </w:r>
      <w:r>
        <w:rPr>
          <w:b w:val="false"/>
          <w:bCs w:val="false"/>
        </w:rPr>
        <w:t xml:space="preserve"> There were several anomalies in the PAC's accounting practices, each of which contributed both to the extension of control over the native population, and to disguising the violent nature of this control. Among these anomalies were the valuation of land not based on ownership rights but on access to the land's inhabitants, capital outlays for </w:t>
      </w:r>
      <w:r>
        <w:rPr>
          <w:b w:val="false"/>
          <w:bCs w:val="false"/>
          <w:i/>
          <w:iCs/>
        </w:rPr>
        <w:t>Gastos de Conquistacion</w:t>
      </w:r>
      <w:r>
        <w:rPr>
          <w:b w:val="false"/>
          <w:bCs w:val="false"/>
          <w:i w:val="false"/>
          <w:iCs w:val="false"/>
        </w:rPr>
        <w:t xml:space="preserve"> (expenses of conquest), and the charging of arbitrary debts to the Indigenous workers and treating these debts as company assets.</w:t>
      </w:r>
    </w:p>
    <w:p>
      <w:pPr>
        <w:pStyle w:val="Normal"/>
        <w:bidi w:val="0"/>
        <w:spacing w:lineRule="auto" w:line="480"/>
        <w:jc w:val="start"/>
        <w:rPr>
          <w:rFonts w:ascii="Liberation Serif" w:hAnsi="Liberation Serif"/>
        </w:rPr>
      </w:pPr>
      <w:r>
        <w:rPr>
          <w:b w:val="false"/>
          <w:bCs w:val="false"/>
          <w:i w:val="false"/>
          <w:iCs w:val="false"/>
        </w:rPr>
        <w:tab/>
        <w:t>As Hardenburg had witnessed firsthand, the PAC came into possession of many of its estates through the "</w:t>
      </w:r>
      <w:r>
        <w:rPr>
          <w:b w:val="false"/>
          <w:bCs w:val="false"/>
          <w:i w:val="false"/>
          <w:iCs w:val="false"/>
          <w:shd w:fill="auto" w:val="clear"/>
        </w:rPr>
        <w:t>systematic persecution of ... Colombian establishments ... with the object of making them abandon the region and then taking possession of their properties."</w:t>
      </w:r>
      <w:r>
        <w:rPr>
          <w:rStyle w:val="FootnoteReference"/>
          <w:b w:val="false"/>
          <w:bCs w:val="false"/>
          <w:i w:val="false"/>
          <w:iCs w:val="false"/>
          <w:shd w:fill="auto" w:val="clear"/>
        </w:rPr>
        <w:footnoteReference w:id="36"/>
      </w:r>
      <w:r>
        <w:rPr>
          <w:b w:val="false"/>
          <w:bCs w:val="false"/>
          <w:i w:val="false"/>
          <w:iCs w:val="false"/>
          <w:shd w:fill="auto" w:val="clear"/>
        </w:rPr>
        <w:t xml:space="preserve"> Casement confirms this point, but notes that the Colombians had also been settlers who exploited the native population, and he frequently mentions them as parties to raids and massacres of the indigenous people. The Colombians' purpose in dealing with any Indigenous community was the same as the PAC: "enslaving that tribe and forcing it to work rubber for them."</w:t>
      </w:r>
      <w:r>
        <w:rPr>
          <w:rStyle w:val="FootnoteReference"/>
          <w:b w:val="false"/>
          <w:bCs w:val="false"/>
          <w:i w:val="false"/>
          <w:iCs w:val="false"/>
          <w:shd w:fill="auto" w:val="clear"/>
        </w:rPr>
        <w:footnoteReference w:id="37"/>
      </w:r>
      <w:r>
        <w:rPr>
          <w:b w:val="false"/>
          <w:bCs w:val="false"/>
        </w:rPr>
        <w:t xml:space="preserve"> </w:t>
      </w:r>
      <w:commentRangeStart w:id="10"/>
      <w:r>
        <w:rPr>
          <w:b w:val="false"/>
          <w:bCs w:val="false"/>
        </w:rPr>
        <w:t>Although "[i]</w:t>
      </w:r>
      <w:r>
        <w:rPr>
          <w:b w:val="false"/>
          <w:bCs w:val="false"/>
          <w:i w:val="false"/>
          <w:iCs w:val="false"/>
          <w:shd w:fill="auto" w:val="clear"/>
        </w:rPr>
        <w:t>n some cases these Colombian settlers appear to have held concessions from their government,</w:t>
      </w:r>
      <w:r>
        <w:rPr>
          <w:b w:val="false"/>
          <w:bCs w:val="false"/>
        </w:rPr>
        <w:t>" in the contested region of the Putumayo the legality of land titles was shaky. At any rate by the time the estates passed into the hands of the Peruvians, the majority of their estates did not have legal titles, and "[t]he PAC's chairman conceded that the company held only squatter's rights."</w:t>
      </w:r>
      <w:r>
        <w:rPr>
          <w:rStyle w:val="FootnoteReference"/>
          <w:b w:val="false"/>
          <w:bCs w:val="false"/>
        </w:rPr>
        <w:footnoteReference w:id="38"/>
      </w:r>
      <w:r>
        <w:rPr>
          <w:b w:val="false"/>
          <w:bCs w:val="false"/>
        </w:rPr>
        <w:t xml:space="preserve"> The PAC's rights to the estates had been asserted by extra-legal means and persisted through the overwhelming use of force against anyone who might challenge them - native or Colombian.</w:t>
      </w:r>
      <w:commentRangeEnd w:id="10"/>
      <w:r>
        <w:commentReference w:id="10"/>
      </w:r>
      <w:r>
        <w:rPr>
          <w:b w:val="false"/>
          <w:bCs w:val="false"/>
        </w:rPr>
      </w:r>
    </w:p>
    <w:p>
      <w:pPr>
        <w:pStyle w:val="Normal"/>
        <w:bidi w:val="0"/>
        <w:spacing w:lineRule="auto" w:line="480"/>
        <w:jc w:val="start"/>
        <w:rPr>
          <w:rFonts w:ascii="Liberation Serif" w:hAnsi="Liberation Serif"/>
        </w:rPr>
      </w:pPr>
      <w:r>
        <w:rPr>
          <w:b w:val="false"/>
          <w:bCs w:val="false"/>
        </w:rPr>
        <w:tab/>
        <w:t>Far more important than a legal claim to title over the Putumayo was the ability to effectively exploit the land's inhabitants. Whereas land assets are often tallied on a per-acre basis, "PAC accounting practices suggested that valuation was primarily understood to be a function of the presence of exploitable labor."</w:t>
      </w:r>
      <w:r>
        <w:rPr>
          <w:rStyle w:val="FootnoteReference"/>
          <w:b w:val="false"/>
          <w:bCs w:val="false"/>
        </w:rPr>
        <w:footnoteReference w:id="39"/>
      </w:r>
      <w:r>
        <w:rPr>
          <w:b w:val="false"/>
          <w:bCs w:val="false"/>
        </w:rPr>
        <w:t xml:space="preserve"> </w:t>
      </w:r>
      <w:commentRangeStart w:id="11"/>
      <w:r>
        <w:rPr>
          <w:b w:val="false"/>
          <w:bCs w:val="false"/>
          <w:strike/>
        </w:rPr>
        <w:t>Unlike in the lower Amazon, where labor was scarce, in the Putumayo "there was a strategic advantage constituted by the large Indian population that had not been decimated by the advances of slave traffickers and Luso-Brazilian settlers of the seventeenth and eighteenth centuries."</w:t>
      </w:r>
      <w:r>
        <w:rPr>
          <w:rStyle w:val="FootnoteReference"/>
          <w:b w:val="false"/>
          <w:bCs w:val="false"/>
          <w:strike/>
        </w:rPr>
        <w:footnoteReference w:id="40"/>
      </w:r>
      <w:r>
        <w:rPr>
          <w:b w:val="false"/>
          <w:bCs w:val="false"/>
          <w:strike/>
        </w:rPr>
        <w:t xml:space="preserve"> </w:t>
      </w:r>
      <w:r>
        <w:rPr>
          <w:b w:val="false"/>
          <w:bCs w:val="false"/>
          <w:strike/>
        </w:rPr>
      </w:r>
      <w:commentRangeEnd w:id="11"/>
      <w:r>
        <w:commentReference w:id="11"/>
      </w:r>
      <w:r>
        <w:rPr>
          <w:b w:val="false"/>
          <w:bCs w:val="false"/>
        </w:rPr>
        <w:t xml:space="preserve">In a region spanning half a continent that was full of rubber, it was primarily the presence of ready workers that would not have to be imported that made the Putumayo valuable. </w:t>
      </w:r>
    </w:p>
    <w:p>
      <w:pPr>
        <w:pStyle w:val="Normal"/>
        <w:bidi w:val="0"/>
        <w:spacing w:lineRule="auto" w:line="480"/>
        <w:jc w:val="start"/>
        <w:rPr>
          <w:rFonts w:ascii="Liberation Serif" w:hAnsi="Liberation Serif"/>
        </w:rPr>
      </w:pPr>
      <w:r>
        <w:rPr>
          <w:b w:val="false"/>
          <w:bCs w:val="false"/>
        </w:rPr>
        <w:tab/>
        <w:t>Workers would not have to be imported, but</w:t>
      </w:r>
      <w:r>
        <w:rPr>
          <w:b w:val="false"/>
          <w:bCs w:val="false"/>
        </w:rPr>
        <w:t xml:space="preserve"> as we have seen</w:t>
      </w:r>
      <w:r>
        <w:rPr>
          <w:b w:val="false"/>
          <w:bCs w:val="false"/>
        </w:rPr>
        <w:t xml:space="preserve"> the native Putumayans did not accept enslavement quietly. In fact, their resistance cost the company signifcantly. In order to subdue the indigenous population, the PAC brought in Black Barbadian migrants to serve as overseers, and layed out significant capital on </w:t>
      </w:r>
      <w:r>
        <w:rPr>
          <w:b w:val="false"/>
          <w:bCs w:val="false"/>
          <w:i/>
          <w:iCs/>
        </w:rPr>
        <w:t>gastos de conquistacion</w:t>
      </w:r>
      <w:r>
        <w:rPr>
          <w:b w:val="false"/>
          <w:bCs w:val="false"/>
          <w:i w:val="false"/>
          <w:iCs w:val="false"/>
        </w:rPr>
        <w:t>. These armaments, though not representing a large portion of the company's assets, were significant enough to appear on a 1909 financial audit of the PAC, where they were lumped into a category of "office furniture, armaments, and moveable plant."</w:t>
      </w:r>
      <w:r>
        <w:rPr>
          <w:rStyle w:val="FootnoteReference"/>
          <w:b w:val="false"/>
          <w:bCs w:val="false"/>
          <w:i w:val="false"/>
          <w:iCs w:val="false"/>
        </w:rPr>
        <w:footnoteReference w:id="41"/>
      </w:r>
      <w:r>
        <w:rPr>
          <w:b w:val="false"/>
          <w:bCs w:val="false"/>
          <w:i w:val="false"/>
          <w:iCs w:val="false"/>
        </w:rPr>
        <w:t xml:space="preserve"> The head of the PAC, J.C. Arana, argued that "conquest referred to attracting Indians, a process of converting uncivilized people to a realtionship of exchange," but a later investigative committee "affirmed that the </w:t>
      </w:r>
      <w:r>
        <w:rPr>
          <w:b w:val="false"/>
          <w:bCs w:val="false"/>
          <w:i/>
          <w:iCs/>
        </w:rPr>
        <w:t>Gastos de Conquistacion</w:t>
      </w:r>
      <w:r>
        <w:rPr>
          <w:b w:val="false"/>
          <w:bCs w:val="false"/>
          <w:i w:val="false"/>
          <w:iCs w:val="false"/>
        </w:rPr>
        <w:t xml:space="preserve"> represented the cost of the manhunts and slave raids, which 'were regarded as preliminary expenses' of starting a section for collecting rubber."</w:t>
      </w:r>
      <w:r>
        <w:rPr>
          <w:rStyle w:val="FootnoteReference"/>
          <w:b w:val="false"/>
          <w:bCs w:val="false"/>
          <w:i w:val="false"/>
          <w:iCs w:val="false"/>
        </w:rPr>
        <w:footnoteReference w:id="42"/>
      </w:r>
      <w:r>
        <w:rPr>
          <w:b w:val="false"/>
          <w:bCs w:val="false"/>
          <w:i w:val="false"/>
          <w:iCs w:val="false"/>
        </w:rPr>
        <w:t xml:space="preserve"> </w:t>
      </w:r>
    </w:p>
    <w:p>
      <w:pPr>
        <w:pStyle w:val="Normal"/>
        <w:bidi w:val="0"/>
        <w:spacing w:lineRule="auto" w:line="480"/>
        <w:jc w:val="start"/>
        <w:rPr>
          <w:rFonts w:ascii="Liberation Serif" w:hAnsi="Liberation Serif"/>
        </w:rPr>
      </w:pPr>
      <w:r>
        <w:rPr>
          <w:b w:val="false"/>
          <w:bCs w:val="false"/>
          <w:i w:val="false"/>
          <w:iCs w:val="false"/>
        </w:rPr>
        <w:tab/>
        <w:t>The appearance of a large amount of munitions on a list of company assets offers us a glimpse into the violence that underpinned the operations of the PAC. It is a sort of economic residue of non-economic compulsion, and it demonstrates a tension at the heart of the wild rubber industry. In order to cheaply extract rubber from the Putumayo region, the company employed genocidal violence against the local population. But in order to participate in the global economy, all assets had to be accounted for and framed as legitimate - and so the guns were lumped in with office furniture. The contradiction between the violence of the gun and the quieter compulsion of the balance sheet is a fundamental dynamic of global capitalism that plays out in the subjugation of peripheral regions and the tranformation of people into workers.</w:t>
      </w:r>
    </w:p>
    <w:p>
      <w:pPr>
        <w:pStyle w:val="Normal"/>
        <w:bidi w:val="0"/>
        <w:spacing w:lineRule="auto" w:line="480"/>
        <w:jc w:val="start"/>
        <w:rPr>
          <w:highlight w:val="none"/>
          <w:shd w:fill="FFFF00" w:val="clear"/>
        </w:rPr>
      </w:pPr>
      <w:r>
        <w:rPr>
          <w:b w:val="false"/>
          <w:bCs w:val="false"/>
          <w:i w:val="false"/>
          <w:iCs w:val="false"/>
          <w:shd w:fill="FFFF00" w:val="clear"/>
        </w:rPr>
        <w:t>[something about the state, as well as the aftermath, and arana getting paid by the colombians]</w:t>
      </w:r>
    </w:p>
    <w:p>
      <w:pPr>
        <w:pStyle w:val="Normal"/>
        <w:bidi w:val="0"/>
        <w:spacing w:lineRule="auto" w:line="480"/>
        <w:jc w:val="start"/>
        <w:rPr>
          <w:rFonts w:ascii="Liberation Serif" w:hAnsi="Liberation Serif"/>
          <w:b w:val="false"/>
          <w:bCs w:val="false"/>
          <w:highlight w:val="none"/>
          <w:shd w:fill="FFFF00" w:val="clear"/>
        </w:rPr>
      </w:pPr>
      <w:r>
        <w:rPr>
          <w:b w:val="false"/>
          <w:bCs w:val="false"/>
          <w:i w:val="false"/>
          <w:iCs w:val="false"/>
          <w:shd w:fill="FFFF00" w:val="clear"/>
        </w:rPr>
        <w:t>[what to do with the stuff below:]</w:t>
      </w:r>
    </w:p>
    <w:p>
      <w:pPr>
        <w:pStyle w:val="Normal"/>
        <w:bidi w:val="0"/>
        <w:spacing w:lineRule="auto" w:line="480"/>
        <w:jc w:val="start"/>
        <w:rPr>
          <w:rFonts w:ascii="Liberation Serif" w:hAnsi="Liberation Serif"/>
        </w:rPr>
      </w:pPr>
      <w:r>
        <w:rPr>
          <w:b w:val="false"/>
          <w:bCs w:val="false"/>
          <w:i w:val="false"/>
          <w:iCs w:val="false"/>
        </w:rPr>
        <w:tab/>
        <w:t xml:space="preserve">The outsized stock of weapons kept on the PAC undermine the frequent characterizations such as those made by Casement that the Amazonian peoples were "by nature docile and obedient" and whose "weakness of character and docility of temperament are not match for the dominating ability of those with European blood in their veins." While Casement may have been trying to garner sympathy by framing the indigenous groups as passive victims, in reality the native Putumayans actively resisted colonization. This resistance would then be used by the oppressors as justification for violent reprisal. </w:t>
      </w:r>
    </w:p>
    <w:p>
      <w:pPr>
        <w:pStyle w:val="Normal"/>
        <w:bidi w:val="0"/>
        <w:spacing w:lineRule="auto" w:line="480"/>
        <w:jc w:val="start"/>
        <w:rPr>
          <w:rFonts w:ascii="Liberation Serif" w:hAnsi="Liberation Serif"/>
        </w:rPr>
      </w:pPr>
      <w:r>
        <w:rPr/>
      </w:r>
    </w:p>
    <w:p>
      <w:pPr>
        <w:pStyle w:val="Normal"/>
        <w:bidi w:val="0"/>
        <w:spacing w:lineRule="auto" w:line="480"/>
        <w:jc w:val="start"/>
        <w:rPr>
          <w:rFonts w:ascii="Liberation Serif" w:hAnsi="Liberation Serif"/>
        </w:rPr>
      </w:pPr>
      <w:r>
        <w:rPr/>
      </w:r>
    </w:p>
    <w:p>
      <w:pPr>
        <w:pStyle w:val="Normal"/>
        <w:bidi w:val="0"/>
        <w:spacing w:lineRule="auto" w:line="480"/>
        <w:jc w:val="start"/>
        <w:rPr>
          <w:rFonts w:ascii="Liberation Serif" w:hAnsi="Liberation Serif"/>
        </w:rPr>
      </w:pPr>
      <w:r>
        <w:rPr>
          <w:b w:val="false"/>
          <w:bCs w:val="false"/>
          <w:i w:val="false"/>
          <w:iCs w:val="false"/>
        </w:rPr>
        <w:t>Point 4: State Interest</w:t>
      </w:r>
    </w:p>
    <w:p>
      <w:pPr>
        <w:pStyle w:val="Normal"/>
        <w:bidi w:val="0"/>
        <w:spacing w:lineRule="auto" w:line="480"/>
        <w:jc w:val="start"/>
        <w:rPr>
          <w:rFonts w:ascii="Liberation Serif" w:hAnsi="Liberation Serif"/>
        </w:rPr>
      </w:pPr>
      <w:r>
        <w:rPr>
          <w:b w:val="false"/>
          <w:bCs w:val="false"/>
        </w:rPr>
        <w:t>[something like - in an area where land claims are contested, they can be reinforced by violence. state was interested in this etc.]</w:t>
      </w:r>
    </w:p>
    <w:p>
      <w:pPr>
        <w:pStyle w:val="Normal"/>
        <w:bidi w:val="0"/>
        <w:spacing w:lineRule="auto" w:line="480"/>
        <w:jc w:val="start"/>
        <w:rPr>
          <w:rFonts w:ascii="Liberation Serif" w:hAnsi="Liberation Serif"/>
        </w:rPr>
      </w:pPr>
      <w:r>
        <w:rPr/>
      </w:r>
    </w:p>
    <w:p>
      <w:pPr>
        <w:pStyle w:val="Normal"/>
        <w:bidi w:val="0"/>
        <w:spacing w:lineRule="auto" w:line="480"/>
        <w:jc w:val="start"/>
        <w:rPr>
          <w:rFonts w:ascii="Liberation Serif" w:hAnsi="Liberation Serif"/>
        </w:rPr>
      </w:pPr>
      <w:r>
        <w:rPr/>
      </w:r>
    </w:p>
    <w:p>
      <w:pPr>
        <w:pStyle w:val="Normal"/>
        <w:bidi w:val="0"/>
        <w:spacing w:lineRule="auto" w:line="480"/>
        <w:jc w:val="start"/>
        <w:rPr>
          <w:rFonts w:ascii="Liberation Serif" w:hAnsi="Liberation Serif"/>
        </w:rPr>
      </w:pPr>
      <w:r>
        <w:rPr/>
      </w:r>
    </w:p>
    <w:p>
      <w:pPr>
        <w:pStyle w:val="Normal"/>
        <w:bidi w:val="0"/>
        <w:spacing w:lineRule="auto" w:line="480"/>
        <w:jc w:val="start"/>
        <w:rPr>
          <w:rFonts w:ascii="Liberation Serif" w:hAnsi="Liberation Serif"/>
        </w:rPr>
      </w:pPr>
      <w:r>
        <w:rPr>
          <w:i/>
          <w:iCs/>
          <w:shd w:fill="FFFF00" w:val="clear"/>
        </w:rPr>
        <w:t>Social Reproduction of Genocide</w:t>
      </w:r>
    </w:p>
    <w:p>
      <w:pPr>
        <w:pStyle w:val="Normal"/>
        <w:bidi w:val="0"/>
        <w:spacing w:lineRule="auto" w:line="480"/>
        <w:jc w:val="start"/>
        <w:rPr>
          <w:rFonts w:ascii="Liberation Serif" w:hAnsi="Liberation Serif"/>
        </w:rPr>
      </w:pPr>
      <w:commentRangeStart w:id="12"/>
      <w:r>
        <w:rPr>
          <w:b w:val="false"/>
          <w:bCs w:val="false"/>
          <w:i w:val="false"/>
          <w:iCs w:val="false"/>
        </w:rPr>
        <w:tab/>
      </w:r>
      <w:commentRangeStart w:id="13"/>
      <w:r>
        <w:rPr>
          <w:b w:val="false"/>
          <w:bCs w:val="false"/>
          <w:i w:val="false"/>
          <w:iCs w:val="false"/>
        </w:rPr>
        <w:t>Additionally, early diagnoses of labor scarcity in the Putumayo are contested. A contemporary newspaper article mentions that as "labour and women are both scarce, and as there is a strong demand for one and the other, bands of armed men are constantly organised for sudden descents upon groups or communities of the savages,"</w:t>
      </w:r>
      <w:r>
        <w:rPr>
          <w:rStyle w:val="FootnoteReference"/>
          <w:b w:val="false"/>
          <w:bCs w:val="false"/>
          <w:i w:val="false"/>
          <w:iCs w:val="false"/>
        </w:rPr>
        <w:footnoteReference w:id="43"/>
      </w:r>
      <w:r>
        <w:rPr>
          <w:b w:val="false"/>
          <w:bCs w:val="false"/>
          <w:i w:val="false"/>
          <w:iCs w:val="false"/>
        </w:rPr>
        <w:t xml:space="preserve"> but more recent analysis indicates that, at least relative to the lower Amazon, the Putumayo had a "a strategic advantage constituted by the large Indian population that had not been decimated by the advances of slave traffickers and Luso-Brazilian settlers of the seventeenth and eighteenth centuries."</w:t>
      </w:r>
      <w:r>
        <w:rPr>
          <w:rStyle w:val="FootnoteReference"/>
          <w:b w:val="false"/>
          <w:bCs w:val="false"/>
          <w:i w:val="false"/>
          <w:iCs w:val="false"/>
        </w:rPr>
        <w:footnoteReference w:id="44"/>
      </w:r>
      <w:r>
        <w:rPr>
          <w:b w:val="false"/>
          <w:bCs w:val="false"/>
          <w:i w:val="false"/>
          <w:iCs w:val="false"/>
        </w:rPr>
        <w:t xml:space="preserve"> </w:t>
      </w:r>
      <w:commentRangeStart w:id="14"/>
      <w:r>
        <w:rPr>
          <w:b w:val="false"/>
          <w:bCs w:val="false"/>
          <w:i w:val="false"/>
          <w:iCs w:val="false"/>
        </w:rPr>
        <w:t>Insofar as labor was imported, it was not employed in rubber gathering, but in overseeing and disciplining enslaved laborers.</w:t>
      </w:r>
      <w:r>
        <w:rPr>
          <w:rStyle w:val="FootnoteReference"/>
          <w:b w:val="false"/>
          <w:bCs w:val="false"/>
          <w:i w:val="false"/>
          <w:iCs w:val="false"/>
        </w:rPr>
        <w:footnoteReference w:id="45"/>
      </w:r>
      <w:r>
        <w:rPr>
          <w:b w:val="false"/>
          <w:bCs w:val="false"/>
          <w:i w:val="false"/>
          <w:iCs w:val="false"/>
        </w:rPr>
        <w:t xml:space="preserve"> </w:t>
      </w:r>
      <w:r>
        <w:rPr>
          <w:b w:val="false"/>
          <w:bCs w:val="false"/>
          <w:i w:val="false"/>
          <w:iCs w:val="false"/>
        </w:rPr>
      </w:r>
      <w:commentRangeEnd w:id="14"/>
      <w:r>
        <w:commentReference w:id="14"/>
      </w:r>
      <w:r>
        <w:rPr>
          <w:b w:val="false"/>
          <w:bCs w:val="false"/>
          <w:i w:val="false"/>
          <w:iCs w:val="false"/>
        </w:rPr>
        <w:t>Thus we cannot explain the brutality of the Putumayo genocide solely as a response to the scarcity of labor.</w:t>
      </w:r>
      <w:r>
        <w:rPr>
          <w:b w:val="false"/>
          <w:bCs w:val="false"/>
          <w:i w:val="false"/>
          <w:iCs w:val="false"/>
        </w:rPr>
      </w:r>
      <w:commentRangeEnd w:id="13"/>
      <w:r>
        <w:commentReference w:id="13"/>
      </w:r>
      <w:commentRangeEnd w:id="12"/>
      <w:r>
        <w:commentReference w:id="12"/>
      </w:r>
      <w:r>
        <w:rPr>
          <w:b w:val="false"/>
          <w:bCs w:val="false"/>
          <w:i w:val="false"/>
          <w:iCs w:val="false"/>
        </w:rPr>
      </w:r>
    </w:p>
    <w:p>
      <w:pPr>
        <w:pStyle w:val="Normal"/>
        <w:bidi w:val="0"/>
        <w:spacing w:lineRule="auto" w:line="480"/>
        <w:jc w:val="start"/>
        <w:rPr>
          <w:rFonts w:ascii="Liberation Serif" w:hAnsi="Liberation Serif"/>
        </w:rPr>
      </w:pPr>
      <w:r>
        <w:rPr/>
      </w:r>
    </w:p>
    <w:p>
      <w:pPr>
        <w:pStyle w:val="Normal"/>
        <w:bidi w:val="0"/>
        <w:spacing w:lineRule="auto" w:line="480"/>
        <w:jc w:val="start"/>
        <w:rPr>
          <w:highlight w:val="none"/>
          <w:shd w:fill="FFFF00" w:val="clear"/>
        </w:rPr>
      </w:pPr>
      <w:r>
        <w:rPr>
          <w:b w:val="false"/>
          <w:bCs w:val="false"/>
          <w:shd w:fill="FFFF00" w:val="clear"/>
        </w:rPr>
        <w:t>[as an explanation: the nature of the rubber that had to be killed to be harvested undermined the profitability of sustainable practices]</w:t>
      </w:r>
    </w:p>
    <w:p>
      <w:pPr>
        <w:pStyle w:val="Normal"/>
        <w:bidi w:val="0"/>
        <w:spacing w:lineRule="auto" w:line="480"/>
        <w:jc w:val="start"/>
        <w:rPr>
          <w:rFonts w:ascii="Liberation Serif" w:hAnsi="Liberation Serif"/>
        </w:rPr>
      </w:pPr>
      <w:r>
        <w:rPr>
          <w:b w:val="false"/>
          <w:bCs w:val="false"/>
        </w:rPr>
        <w:tab/>
      </w:r>
      <w:commentRangeStart w:id="15"/>
      <w:r>
        <w:rPr>
          <w:b w:val="false"/>
          <w:bCs w:val="false"/>
        </w:rPr>
        <w:t xml:space="preserve">As a social system, the Putumayo genocide was relatively short lived. It might seem odd to speak of the reproduction of a system that cannibalized itself in just a few short years, but the concept of social reproduction includes not only the generational, but also the daily scale. In the Putumayo, the long-term stable reproduction of the system of rubber collection in was sacrificed in order to intensify the short term collection of rubber. This is true both of the consumption of the rubber commodity and the consumption of labor. But in other ways, the Putumayo genocide contributed to the long-term reproduction of the capitalist world-economy itself. This is most clear in the way that the destruction of local food production opened up the Putumayo as a market for non-perishable goods, especially tinned meats from abroad. There are several key aspects of social reproduction to be examined here: the reproduction of labor, both short- and long-term; the extension of company control over labor, including the reproductive labor of employee's families; the reproduction of the rubber commodity; and the development of a market where sundry goods were bought and sold. </w:t>
      </w:r>
    </w:p>
    <w:p>
      <w:pPr>
        <w:pStyle w:val="Normal"/>
        <w:bidi w:val="0"/>
        <w:spacing w:lineRule="auto" w:line="480"/>
        <w:jc w:val="start"/>
        <w:rPr>
          <w:rFonts w:ascii="Liberation Serif" w:hAnsi="Liberation Serif"/>
        </w:rPr>
      </w:pPr>
      <w:r>
        <w:rPr>
          <w:b w:val="false"/>
          <w:bCs w:val="false"/>
        </w:rPr>
        <w:tab/>
        <w:t xml:space="preserve">It is a primary concern of every society how it will reproduce itself. The production of the necessary means of subsistence and their distribution and consumption are central to the structure of every social order. A defining feature of capitalism is the extent to which the production and consumption of the ordinary means of subsistence are divorced and mediated through exchange. Capitalist workers do not generally consume the direct products of their labor, but must exchange what they produce for a wage which will then allow them to purchase their daily needs - which are products of someone else's labor. Production and consumption become mediated through exchange, and therefore the worker's means of reproducing him- or her-self is likewise mediated through exchange. </w:t>
      </w:r>
    </w:p>
    <w:p>
      <w:pPr>
        <w:pStyle w:val="Normal"/>
        <w:bidi w:val="0"/>
        <w:spacing w:lineRule="auto" w:line="480"/>
        <w:jc w:val="start"/>
        <w:rPr>
          <w:rFonts w:ascii="Liberation Serif" w:hAnsi="Liberation Serif"/>
        </w:rPr>
      </w:pPr>
      <w:r>
        <w:rPr>
          <w:b w:val="false"/>
          <w:bCs w:val="false"/>
        </w:rPr>
        <w:tab/>
        <w:t xml:space="preserve">The act of purchasing what one needs to survive contributes to the reproduction of capitalism in two distinct ways. First, and most obviously, it allows workers to renew their labor power. They can eat the calories they expended and rest in rented rooms, and cloth themselves from the elements so that they may be able to show up to work again at full power. If their wage is high enough, they can purchase also what is necessary to raise children, and to ensure a steady stream of labor even after their death. It is a very common situation, however, that wages are not sufficient for generational reproduction. In a scenario where labor is relatively more abundant than jobs, competition can drive wages below the point of the renewal of labor, and so the workers must either die out or be subsidized by some other entity such as the state, the family, or the church. In cases where no such subsidy exists, a steady stream of labor is often supplied by immigration or by force. </w:t>
      </w:r>
    </w:p>
    <w:p>
      <w:pPr>
        <w:pStyle w:val="Normal"/>
        <w:bidi w:val="0"/>
        <w:spacing w:lineRule="auto" w:line="480"/>
        <w:jc w:val="start"/>
        <w:rPr>
          <w:rFonts w:ascii="Liberation Serif" w:hAnsi="Liberation Serif"/>
        </w:rPr>
      </w:pPr>
      <w:r>
        <w:rPr>
          <w:b w:val="false"/>
          <w:bCs w:val="false"/>
        </w:rPr>
        <w:tab/>
        <w:t xml:space="preserve">The second contribution of the act of purchase to the reproduction of capitalism is in a sense more fundamental, at least from the standpoint of capital. When the worker purchases some commodity for consumption, this represents the endpoint of the production process: the moment of purchase is also the moment of profit for the capitalist. In this exchange the worker receives what they need to live as a worker, and the capitalist also receives what they need to live </w:t>
      </w:r>
      <w:r>
        <w:rPr>
          <w:b w:val="false"/>
          <w:bCs w:val="false"/>
          <w:i/>
          <w:iCs/>
        </w:rPr>
        <w:t>as a capitalist</w:t>
      </w:r>
      <w:r>
        <w:rPr>
          <w:b w:val="false"/>
          <w:bCs w:val="false"/>
          <w:i w:val="false"/>
          <w:iCs w:val="false"/>
        </w:rPr>
        <w:t xml:space="preserve">, for this is the moment that their profit is realized, their entire </w:t>
      </w:r>
      <w:r>
        <w:rPr>
          <w:b w:val="false"/>
          <w:bCs w:val="false"/>
          <w:i/>
          <w:iCs/>
        </w:rPr>
        <w:t>raison d'etre</w:t>
      </w:r>
      <w:r>
        <w:rPr>
          <w:b w:val="false"/>
          <w:bCs w:val="false"/>
          <w:i w:val="false"/>
          <w:iCs w:val="false"/>
        </w:rPr>
        <w:t>. It is precisely this dual significance of the purchases of the worker that motivated the creation of a class of consuming workers under Fordism. But things were otherwise in Putumayo.</w:t>
      </w:r>
      <w:commentRangeEnd w:id="15"/>
      <w:r>
        <w:commentReference w:id="15"/>
      </w:r>
      <w:r>
        <w:rPr>
          <w:b w:val="false"/>
          <w:bCs w:val="false"/>
          <w:i w:val="false"/>
          <w:iCs w:val="false"/>
        </w:rPr>
      </w:r>
    </w:p>
    <w:p>
      <w:pPr>
        <w:pStyle w:val="Normal"/>
        <w:bidi w:val="0"/>
        <w:spacing w:lineRule="auto" w:line="480"/>
        <w:jc w:val="start"/>
        <w:rPr>
          <w:highlight w:val="none"/>
          <w:shd w:fill="FFFF00" w:val="clear"/>
        </w:rPr>
      </w:pPr>
      <w:r>
        <w:rPr>
          <w:b w:val="false"/>
          <w:bCs w:val="false"/>
          <w:shd w:fill="FFFF00" w:val="clear"/>
        </w:rPr>
        <w:t>[lacuna]</w:t>
      </w:r>
    </w:p>
    <w:p>
      <w:pPr>
        <w:pStyle w:val="Normal"/>
        <w:bidi w:val="0"/>
        <w:spacing w:lineRule="auto" w:line="480"/>
        <w:jc w:val="start"/>
        <w:rPr>
          <w:rFonts w:ascii="Liberation Serif" w:hAnsi="Liberation Serif"/>
        </w:rPr>
      </w:pPr>
      <w:r>
        <w:rPr>
          <w:b w:val="false"/>
          <w:bCs w:val="false"/>
        </w:rPr>
        <w:tab/>
        <w:t>Whatever its immediate cause, the erosion of subsistence labor served a vital role in the reproduction of capitalism as a global system. The purchase and consumption of imported goods served the extension of the valorization of production in the Global North. Marx writes of the agricultural revolution in Europe that "[t]he expropriation and eviction of a part of the agricultural population not only set free for industrial capital the workers, their means of subsistence and the materials of their labour; it also created the home market."</w:t>
      </w:r>
      <w:r>
        <w:rPr>
          <w:rStyle w:val="FootnoteReference"/>
          <w:b w:val="false"/>
          <w:bCs w:val="false"/>
        </w:rPr>
        <w:footnoteReference w:id="46"/>
      </w:r>
      <w:r>
        <w:rPr>
          <w:b w:val="false"/>
          <w:bCs w:val="false"/>
        </w:rPr>
        <w:t xml:space="preserve"> The means of subsistence that were formerly provided outside the market by the reproductive labor of the family and community have been turned into commodities; they "are now transformed into articles of manufacture, the markets for which are found precisely in the country districts."</w:t>
      </w:r>
      <w:r>
        <w:rPr>
          <w:rStyle w:val="FootnoteReference"/>
          <w:b w:val="false"/>
          <w:bCs w:val="false"/>
        </w:rPr>
        <w:footnoteReference w:id="47"/>
      </w:r>
      <w:r>
        <w:rPr>
          <w:b w:val="false"/>
          <w:bCs w:val="false"/>
        </w:rPr>
        <w:t xml:space="preserve"> Marx is speaking of the division between the town and country side in Europe, but the dynamic holds true on the global scale: the peripheral countries which provided raw materials to the manufacturing companies of the capitalist core, themselves served as markets for the core's finished goods. </w:t>
      </w:r>
    </w:p>
    <w:p>
      <w:pPr>
        <w:pStyle w:val="Normal"/>
        <w:bidi w:val="0"/>
        <w:spacing w:lineRule="auto" w:line="480"/>
        <w:jc w:val="start"/>
        <w:rPr>
          <w:rFonts w:ascii="Liberation Serif" w:hAnsi="Liberation Serif"/>
        </w:rPr>
      </w:pPr>
      <w:r>
        <w:rPr>
          <w:b w:val="false"/>
          <w:bCs w:val="false"/>
        </w:rPr>
        <w:tab/>
        <w:t>The importation of tinned foodstuffs and other commodities into the Putumayo was a moment in the global reconfiguration of the dynamics of capital's reproduction. Historian Geoff Bertram, in a study of Peruvian imports, classifies the use cases of imported goods in several categories. Consumer goods imports, such as food, clothing, medicine, and other commodities, fluctuated between 30% and 40% of imports between 1891 and 1930. The value of this category rose from about 5,000 soles in the 1890s to consistently over 50,000 in the 1920s.</w:t>
      </w:r>
      <w:r>
        <w:rPr>
          <w:rStyle w:val="FootnoteReference"/>
          <w:b w:val="false"/>
          <w:bCs w:val="false"/>
        </w:rPr>
        <w:footnoteReference w:id="48"/>
      </w:r>
      <w:r>
        <w:rPr>
          <w:b w:val="false"/>
          <w:bCs w:val="false"/>
        </w:rPr>
        <w:t xml:space="preserve"> This was by far the largest absolute growth of any import category during these years. Other categories, such as manufacturing inputs and fuel fell as a proportion of total imports, while agricultural inputs, such as livestock feed grew slightly. The biggest proportional growth in imports was capital goods such as agricultural equipment and machinery - from less than 5% to over 15%.</w:t>
      </w:r>
    </w:p>
    <w:p>
      <w:pPr>
        <w:pStyle w:val="Normal"/>
        <w:bidi w:val="0"/>
        <w:spacing w:lineRule="auto" w:line="480"/>
        <w:jc w:val="start"/>
        <w:rPr>
          <w:rFonts w:ascii="Liberation Serif" w:hAnsi="Liberation Serif"/>
        </w:rPr>
      </w:pPr>
      <w:r>
        <w:rPr>
          <w:b w:val="false"/>
          <w:bCs w:val="false"/>
        </w:rPr>
        <w:tab/>
        <w:t>During this period, the United States grew to be by far Peru's greatest trading partner.  In the 1890s, the US accounted for barely 10% of imports to Peru and most years that decade received a yet smaller proportion of its exports. By the mid 1910s, the US accounted for over 50% of Peru's trading, both imports and exports.</w:t>
      </w:r>
      <w:r>
        <w:rPr>
          <w:rStyle w:val="FootnoteReference"/>
          <w:b w:val="false"/>
          <w:bCs w:val="false"/>
        </w:rPr>
        <w:footnoteReference w:id="49"/>
      </w:r>
      <w:r>
        <w:rPr>
          <w:b w:val="false"/>
          <w:bCs w:val="false"/>
        </w:rPr>
        <w:t xml:space="preserve"> The US was displacing the United Kingdom, which fell from over a third of imports and half of exports to about 20% of each over the same period. Some of this change was the result of trade disruptions during the first world war, but the trend of declining trade with Britain and increasing trade with the US had been well established prior to the war.</w:t>
      </w:r>
    </w:p>
    <w:p>
      <w:pPr>
        <w:pStyle w:val="Normal"/>
        <w:bidi w:val="0"/>
        <w:spacing w:lineRule="auto" w:line="480"/>
        <w:jc w:val="start"/>
        <w:rPr>
          <w:rFonts w:ascii="Liberation Serif" w:hAnsi="Liberation Serif"/>
        </w:rPr>
      </w:pPr>
      <w:r>
        <w:rPr>
          <w:b w:val="false"/>
          <w:bCs w:val="false"/>
          <w:i w:val="false"/>
          <w:iCs w:val="false"/>
        </w:rPr>
        <w:tab/>
        <w:t>Exemplary of this dynamic of Peru importing US consumer goods was the meat packing industry. Centered in Chicago, the meatpacking industry was highly rationalized - the automation of Chicago slaughterhouses had even provided inspiration for the automotive assembly line. This industry was growing rapidly during the late 19th and early 20th centuries, and in 1909 over 88 million animals were slaughtered for food, mostly hogs and cows but also sheep.</w:t>
      </w:r>
      <w:r>
        <w:rPr>
          <w:rStyle w:val="FootnoteReference"/>
          <w:b w:val="false"/>
          <w:bCs w:val="false"/>
          <w:i w:val="false"/>
          <w:iCs w:val="false"/>
        </w:rPr>
        <w:footnoteReference w:id="50"/>
      </w:r>
      <w:r>
        <w:rPr>
          <w:b w:val="false"/>
          <w:bCs w:val="false"/>
          <w:i w:val="false"/>
          <w:iCs w:val="false"/>
        </w:rPr>
        <w:t xml:space="preserve"> This massive operation fed the meatpacking business, and in 1910 exports were in excess of $130 million.</w:t>
      </w:r>
      <w:r>
        <w:rPr>
          <w:rStyle w:val="FootnoteReference"/>
          <w:b w:val="false"/>
          <w:bCs w:val="false"/>
          <w:i w:val="false"/>
          <w:iCs w:val="false"/>
        </w:rPr>
        <w:footnoteReference w:id="51"/>
      </w:r>
      <w:r>
        <w:rPr>
          <w:b w:val="false"/>
          <w:bCs w:val="false"/>
          <w:i w:val="false"/>
          <w:iCs w:val="false"/>
        </w:rPr>
        <w:t xml:space="preserve"> Much of this was canned, salted, pickled or otherwise cured meat - precisely the goods sold at exorbitant prices to the Barbadian workers in the Putumayo.</w:t>
      </w:r>
    </w:p>
    <w:p>
      <w:pPr>
        <w:pStyle w:val="Normal"/>
        <w:bidi w:val="0"/>
        <w:spacing w:lineRule="auto" w:line="480"/>
        <w:jc w:val="start"/>
        <w:rPr>
          <w:highlight w:val="none"/>
          <w:shd w:fill="FFFF00" w:val="clear"/>
        </w:rPr>
      </w:pPr>
      <w:r>
        <w:rPr>
          <w:b w:val="false"/>
          <w:bCs w:val="false"/>
          <w:i w:val="false"/>
          <w:iCs w:val="false"/>
          <w:shd w:fill="FFFF00" w:val="clear"/>
        </w:rPr>
        <w:t>[lacuna]</w:t>
      </w:r>
    </w:p>
    <w:p>
      <w:pPr>
        <w:pStyle w:val="Normal"/>
        <w:bidi w:val="0"/>
        <w:spacing w:lineRule="auto" w:line="480"/>
        <w:jc w:val="start"/>
        <w:rPr>
          <w:rFonts w:ascii="Liberation Serif" w:hAnsi="Liberation Serif"/>
        </w:rPr>
      </w:pPr>
      <w:r>
        <w:rPr>
          <w:b w:val="false"/>
          <w:bCs w:val="false"/>
          <w:i w:val="false"/>
          <w:iCs w:val="false"/>
        </w:rPr>
        <w:tab/>
      </w:r>
      <w:commentRangeStart w:id="16"/>
      <w:r>
        <w:rPr>
          <w:b w:val="false"/>
          <w:bCs w:val="false"/>
          <w:i w:val="false"/>
          <w:iCs w:val="false"/>
        </w:rPr>
        <w:t xml:space="preserve">We have seen in previous chapters that in the factories of Michigan, only a portion of the workforce was paid well enough to consume commodities on an enlarged scale: the workforce was stratified along racial lines into well-paid white wage-workers and under-paid Black and immigrant wage-workers. The poorer workers still consumed commodities, but to a lesser extent, and their consumption was supplemented by informal and reproductive labor, such as family gardens. In Putumayo a stratification was enforced, but between under-paid Black wage-workers and native slaves. </w:t>
      </w:r>
      <w:commentRangeEnd w:id="16"/>
      <w:r>
        <w:commentReference w:id="16"/>
      </w:r>
      <w:r>
        <w:rPr>
          <w:b w:val="false"/>
          <w:bCs w:val="false"/>
          <w:i w:val="false"/>
          <w:iCs w:val="false"/>
        </w:rPr>
      </w:r>
    </w:p>
    <w:p>
      <w:pPr>
        <w:pStyle w:val="Normal"/>
        <w:bidi w:val="0"/>
        <w:spacing w:lineRule="auto" w:line="480"/>
        <w:jc w:val="start"/>
        <w:rPr>
          <w:rFonts w:ascii="Liberation Serif" w:hAnsi="Liberation Serif"/>
        </w:rPr>
      </w:pPr>
      <w:r>
        <w:rPr>
          <w:b w:val="false"/>
          <w:bCs w:val="false"/>
          <w:i w:val="false"/>
          <w:iCs w:val="false"/>
        </w:rPr>
        <w:tab/>
      </w:r>
      <w:commentRangeStart w:id="17"/>
      <w:r>
        <w:rPr>
          <w:b w:val="false"/>
          <w:bCs w:val="false"/>
          <w:i w:val="false"/>
          <w:iCs w:val="false"/>
        </w:rPr>
        <w:t>As enslaved people, the native Putumayans were almost entirely left out of the wage-relation and thus excluded from purchasing commodities. Although there was sometimes a nominal system of barter whereby natives traded some rubber for sundry goods from the colonists, this served only to establish a debt against the natives. This debt could never be paid off, and was merely a veneer which covered the system of violent coercion. The economic compulsion of the wage was replaced by the direct compulsion of the whip and so labor was cheapened, but at the cost of removing from capital's ambit a potential market. Further, the genocidal viciousness of the slave drivers undermined both the short term and long term reproduction of labor, meaning that labor renewal was largely effected by constant slaving raids.</w:t>
      </w:r>
    </w:p>
    <w:p>
      <w:pPr>
        <w:pStyle w:val="Normal"/>
        <w:bidi w:val="0"/>
        <w:spacing w:lineRule="auto" w:line="480"/>
        <w:jc w:val="start"/>
        <w:rPr>
          <w:rFonts w:ascii="Liberation Serif" w:hAnsi="Liberation Serif"/>
        </w:rPr>
      </w:pPr>
      <w:r>
        <w:rPr>
          <w:b w:val="false"/>
          <w:bCs w:val="false"/>
          <w:i w:val="false"/>
          <w:iCs w:val="false"/>
        </w:rPr>
        <w:tab/>
        <w:t xml:space="preserve">The system of slavery on the Putumayo destroyed the generational reproduction of native labor, and pushed the daily reproduction to a minimum. Families were separated, with men forced to collect rubber and women and children being taken by company men as sex slaves. For the working men, Hardenburg states that their food was "given to them once a day, at noon; it consisted of a handful of </w:t>
      </w:r>
      <w:r>
        <w:rPr>
          <w:b w:val="false"/>
          <w:bCs w:val="false"/>
          <w:i/>
          <w:iCs/>
        </w:rPr>
        <w:t>fariña</w:t>
      </w:r>
      <w:r>
        <w:rPr>
          <w:b w:val="false"/>
          <w:bCs w:val="false"/>
          <w:i w:val="false"/>
          <w:iCs w:val="false"/>
        </w:rPr>
        <w:t xml:space="preserve"> and a tin of sardines - when there were any - for each group of four Indians, nothing more. And this was to sustain them for twenty-four hours, sixteen of which were spent at the hardest kind of labour."</w:t>
      </w:r>
      <w:r>
        <w:rPr>
          <w:rStyle w:val="FootnoteReference"/>
          <w:b w:val="false"/>
          <w:bCs w:val="false"/>
          <w:i w:val="false"/>
          <w:iCs w:val="false"/>
        </w:rPr>
        <w:footnoteReference w:id="52"/>
      </w:r>
      <w:r>
        <w:rPr>
          <w:b w:val="false"/>
          <w:bCs w:val="false"/>
          <w:i w:val="false"/>
          <w:iCs w:val="false"/>
        </w:rPr>
        <w:t xml:space="preserve"> On the long marches through the forest, the workers were given no food at all. When the workers inevitably fell ill, they were not given medicine, but were "exposed to the burning rays of the vertical sun and the cold rains and heavy dews of early morning until death released them from their sufferings. Then their companions carried their cold corpses ... to the river."</w:t>
      </w:r>
      <w:r>
        <w:rPr>
          <w:rStyle w:val="FootnoteReference"/>
          <w:b w:val="false"/>
          <w:bCs w:val="false"/>
          <w:i w:val="false"/>
          <w:iCs w:val="false"/>
        </w:rPr>
        <w:footnoteReference w:id="53"/>
      </w:r>
      <w:r>
        <w:rPr>
          <w:b w:val="false"/>
          <w:bCs w:val="false"/>
          <w:i w:val="false"/>
          <w:iCs w:val="false"/>
        </w:rPr>
        <w:t xml:space="preserve"> The renewal of the labor force depended entirely on a steady stream of newly enslaved workers from a population that was, like the rubber trees, fast dwindling.</w:t>
      </w:r>
      <w:commentRangeEnd w:id="17"/>
      <w:r>
        <w:commentReference w:id="17"/>
      </w:r>
      <w:r>
        <w:rPr>
          <w:b w:val="false"/>
          <w:bCs w:val="false"/>
          <w:i w:val="false"/>
          <w:iCs w:val="false"/>
        </w:rPr>
      </w:r>
    </w:p>
    <w:p>
      <w:pPr>
        <w:pStyle w:val="Normal"/>
        <w:bidi w:val="0"/>
        <w:spacing w:lineRule="auto" w:line="480"/>
        <w:jc w:val="start"/>
        <w:rPr>
          <w:rFonts w:ascii="Liberation Serif" w:hAnsi="Liberation Serif"/>
        </w:rPr>
      </w:pPr>
      <w:r>
        <w:rPr>
          <w:b w:val="false"/>
          <w:bCs w:val="false"/>
          <w:i w:val="false"/>
          <w:iCs w:val="false"/>
        </w:rPr>
        <w:tab/>
      </w:r>
      <w:commentRangeStart w:id="18"/>
      <w:r>
        <w:rPr>
          <w:b w:val="false"/>
          <w:bCs w:val="false"/>
          <w:i w:val="false"/>
          <w:iCs w:val="false"/>
        </w:rPr>
        <w:t>Although the native Putumayans were not allowed to labor to meet their own needs, they were compelled to do reproductive labor for the company. In addition to collecting rubber, both men and women were forced to work to provide food and shelter for their enslavers. Casement notes that "[w]hether it was food-stuffs that were required, labour for building houses or planting cassava, sugar-came, maize, or other produce for the needs of each station, or the collection of india-rubber, the Indians had to satisfy all the demands of the so-called commercial establishment which had planted itself in their midsts."</w:t>
      </w:r>
      <w:r>
        <w:rPr>
          <w:rStyle w:val="FootnoteReference"/>
          <w:b w:val="false"/>
          <w:bCs w:val="false"/>
          <w:i w:val="false"/>
          <w:iCs w:val="false"/>
        </w:rPr>
        <w:footnoteReference w:id="54"/>
      </w:r>
      <w:r>
        <w:rPr>
          <w:b w:val="false"/>
          <w:bCs w:val="false"/>
          <w:i w:val="false"/>
          <w:iCs w:val="false"/>
        </w:rPr>
        <w:t xml:space="preserve"> Indeed all of the houses at the rubber stations were built by the natives: </w:t>
      </w:r>
    </w:p>
    <w:p>
      <w:pPr>
        <w:pStyle w:val="Normal"/>
        <w:bidi w:val="0"/>
        <w:spacing w:lineRule="auto" w:line="480"/>
        <w:ind w:start="720"/>
        <w:jc w:val="start"/>
        <w:rPr>
          <w:rFonts w:ascii="Liberation Serif" w:hAnsi="Liberation Serif"/>
        </w:rPr>
      </w:pPr>
      <w:r>
        <w:rPr>
          <w:b w:val="false"/>
          <w:bCs w:val="false"/>
          <w:i w:val="false"/>
          <w:iCs w:val="false"/>
        </w:rPr>
        <w:t>The white settlers in the forest from the first compelled the Indians to build houses for them. The plan of the house would be the work of the white man, but the labour involved and all the materials would be supplied by the neighbouring Indian tribe or tribes he had reduced to work for him. All the houses that I visited outside the chief station of La Chorrera in which the company's agents lived, and where their goods were stored, were and are so constructed by the surrounding Indians, acting under the direct supervision of the agent and his white or half-caste employés. This labour of the Indians goes unremunerated. Not only do they build the houses and the stores for the white men, but they have to keep them in repair and supply labour for this purpose whenever called upon.</w:t>
      </w:r>
      <w:r>
        <w:rPr>
          <w:rStyle w:val="FootnoteReference"/>
          <w:b w:val="false"/>
          <w:bCs w:val="false"/>
          <w:i w:val="false"/>
          <w:iCs w:val="false"/>
        </w:rPr>
        <w:footnoteReference w:id="55"/>
      </w:r>
    </w:p>
    <w:p>
      <w:pPr>
        <w:pStyle w:val="Normal"/>
        <w:bidi w:val="0"/>
        <w:spacing w:lineRule="auto" w:line="480"/>
        <w:ind w:start="0"/>
        <w:jc w:val="start"/>
        <w:rPr>
          <w:rFonts w:ascii="Liberation Serif" w:hAnsi="Liberation Serif"/>
        </w:rPr>
      </w:pPr>
      <w:r>
        <w:rPr>
          <w:b w:val="false"/>
          <w:bCs w:val="false"/>
          <w:i w:val="false"/>
          <w:iCs w:val="false"/>
        </w:rPr>
        <w:t xml:space="preserve">These houses were built on huge clearings of up to 200 acres, the clearing and planting of which also fell to the natives. </w:t>
      </w:r>
    </w:p>
    <w:p>
      <w:pPr>
        <w:pStyle w:val="Normal"/>
        <w:bidi w:val="0"/>
        <w:spacing w:lineRule="auto" w:line="480"/>
        <w:ind w:start="0"/>
        <w:jc w:val="start"/>
        <w:rPr>
          <w:rFonts w:ascii="Liberation Serif" w:hAnsi="Liberation Serif"/>
        </w:rPr>
      </w:pPr>
      <w:r>
        <w:rPr>
          <w:b w:val="false"/>
          <w:bCs w:val="false"/>
          <w:i w:val="false"/>
          <w:iCs w:val="false"/>
        </w:rPr>
        <w:tab/>
        <w:t>The Barbadians also contributed reproductive work to the maintenance of the company. A portion of the workers from Barbados were employed at an estate near Iquitos, and were there "engaged mainly in agricultural work."</w:t>
      </w:r>
      <w:r>
        <w:rPr>
          <w:rStyle w:val="FootnoteReference"/>
          <w:b w:val="false"/>
          <w:bCs w:val="false"/>
          <w:i w:val="false"/>
          <w:iCs w:val="false"/>
        </w:rPr>
        <w:footnoteReference w:id="56"/>
      </w:r>
      <w:r>
        <w:rPr>
          <w:b w:val="false"/>
          <w:bCs w:val="false"/>
          <w:i w:val="false"/>
          <w:iCs w:val="false"/>
        </w:rPr>
        <w:t xml:space="preserve"> However, only a minority of the Barbadians were so employed, and most were sent up the Putumayo to work at the rubber stations. In addition to their main jobs terrorizing the native workers, they also contributed extensively to the maintenance of the stations. Casement mentions that at one of the stations he visited, "most of the furniture in the houses had been made by various Barbados men who from time to time had served there."</w:t>
      </w:r>
      <w:r>
        <w:rPr>
          <w:rStyle w:val="FootnoteReference"/>
          <w:b w:val="false"/>
          <w:bCs w:val="false"/>
          <w:i w:val="false"/>
          <w:iCs w:val="false"/>
        </w:rPr>
        <w:footnoteReference w:id="57"/>
      </w:r>
      <w:r>
        <w:rPr>
          <w:b w:val="false"/>
          <w:bCs w:val="false"/>
          <w:i w:val="false"/>
          <w:iCs w:val="false"/>
        </w:rPr>
        <w:t xml:space="preserve"> Although they were sometimes paid for their carpentry, they often were not. In one case a particularly talented carpenter from Barbados, Edward Crichlow, was imprisoned in stocks that he himself had made. This same man was at one point sent to Iquitos to be tried for petty theft, and while in prison there he was able to work as a carpenter. He apparently made significantly more than while working in Putumayo and was able to pay his legal fees with the money he made in jail.</w:t>
      </w:r>
      <w:commentRangeEnd w:id="18"/>
      <w:r>
        <w:commentReference w:id="18"/>
      </w:r>
      <w:r>
        <w:rPr>
          <w:b w:val="false"/>
          <w:bCs w:val="false"/>
          <w:i w:val="false"/>
          <w:iCs w:val="false"/>
        </w:rPr>
      </w:r>
    </w:p>
    <w:p>
      <w:pPr>
        <w:pStyle w:val="Normal"/>
        <w:bidi w:val="0"/>
        <w:spacing w:lineRule="auto" w:line="480"/>
        <w:jc w:val="start"/>
        <w:rPr>
          <w:rFonts w:ascii="Liberation Serif" w:hAnsi="Liberation Serif"/>
        </w:rPr>
      </w:pPr>
      <w:commentRangeStart w:id="19"/>
      <w:r>
        <w:rPr>
          <w:b w:val="false"/>
          <w:bCs w:val="false"/>
          <w:i w:val="false"/>
          <w:iCs w:val="false"/>
        </w:rPr>
        <w:tab/>
        <w:t>As mentioned previously, the large majority of the salaries of the Barbadians were eaten up by debts - especially for food. Although there was some crop cultivation at the stations, it seems to have not been very extensive. Despite the long odes to the fertility of the Amazon found in the accounts of Hardenburg and Enock, much of the land around the stations was cleared and then left empty. Casement claimed that at one station with 200 cleared acres, "scarcely 1 acre is under any form of cultivation."</w:t>
      </w:r>
      <w:r>
        <w:rPr>
          <w:rStyle w:val="FootnoteReference"/>
          <w:b w:val="false"/>
          <w:bCs w:val="false"/>
          <w:i w:val="false"/>
          <w:iCs w:val="false"/>
        </w:rPr>
        <w:footnoteReference w:id="58"/>
      </w:r>
      <w:r>
        <w:rPr>
          <w:b w:val="false"/>
          <w:bCs w:val="false"/>
          <w:i w:val="false"/>
          <w:iCs w:val="false"/>
        </w:rPr>
        <w:t xml:space="preserve"> As a result, "[f]ood which might easily be raised locally is brought literally from thousands of miles away at great expense, and often in insufficient quantity."</w:t>
      </w:r>
      <w:r>
        <w:rPr>
          <w:rStyle w:val="FootnoteReference"/>
          <w:b w:val="false"/>
          <w:bCs w:val="false"/>
          <w:i w:val="false"/>
          <w:iCs w:val="false"/>
        </w:rPr>
        <w:footnoteReference w:id="59"/>
      </w:r>
      <w:r>
        <w:rPr>
          <w:b w:val="false"/>
          <w:bCs w:val="false"/>
          <w:i w:val="false"/>
          <w:iCs w:val="false"/>
        </w:rPr>
        <w:t xml:space="preserve"> Although the terms of the contract stipulated that food would be provided to the Barbadians, in reality they often had to purchase this expensive food from the company, contributing to their great debt. Casement lists the account of Edward Crichlow, which included cassava meal, rice, biscuits, flour, condensed milk, cocoa and milk, preserved meat, sardines, salmon, lard, sugar, tea, and cod roes. All of these except the cassava, the rice, the flour and the tea were in tins. In addition to these foodstuffs were pots, pans, tobacco, soap, and other small items, along with a large quantity of cotton goods.</w:t>
      </w:r>
      <w:r>
        <w:rPr>
          <w:rStyle w:val="FootnoteReference"/>
          <w:b w:val="false"/>
          <w:bCs w:val="false"/>
          <w:i w:val="false"/>
          <w:iCs w:val="false"/>
        </w:rPr>
        <w:footnoteReference w:id="60"/>
      </w:r>
      <w:r>
        <w:rPr>
          <w:b w:val="false"/>
          <w:bCs w:val="false"/>
          <w:i w:val="false"/>
          <w:iCs w:val="false"/>
        </w:rPr>
        <w:t xml:space="preserve"> </w:t>
      </w:r>
      <w:commentRangeEnd w:id="19"/>
      <w:r>
        <w:commentReference w:id="19"/>
      </w:r>
      <w:r>
        <w:rPr>
          <w:b w:val="false"/>
          <w:bCs w:val="false"/>
          <w:i w:val="false"/>
          <w:iCs w:val="false"/>
        </w:rPr>
      </w:r>
    </w:p>
    <w:p>
      <w:pPr>
        <w:pStyle w:val="Normal"/>
        <w:bidi w:val="0"/>
        <w:spacing w:lineRule="auto" w:line="480"/>
        <w:jc w:val="start"/>
        <w:rPr>
          <w:rFonts w:ascii="Liberation Serif" w:hAnsi="Liberation Serif"/>
        </w:rPr>
      </w:pPr>
      <w:r>
        <w:rPr>
          <w:b w:val="false"/>
          <w:bCs w:val="false"/>
        </w:rPr>
        <w:tab/>
        <w:t xml:space="preserve">Casement seemed baffled by the substitution of imported goods for locally grown food, and it is on some level baffling. The immediate decision to undermine local agriculture and rely on tinned food was certainly not made in the name of profit or efficiency. However, there are several possible explanations. Destroying the ability of the native workers to cultivate their own food put them more thoroughly at the mercy of the company. Starvation was a major element of the terror imposed on the Putumayans, and was crucial in the destruction of native communities. Once captured, natilve women and children seemed to be more prized as sexual objects - both for the enjoyment of company men and as debt-anchors for the Barbadian workers - than as agricultural workers. As for the Barbadians, reliance on food purchased from the station stores was a way for the company to claw back their wages and then some. </w:t>
      </w:r>
    </w:p>
    <w:p>
      <w:pPr>
        <w:pStyle w:val="Normal"/>
        <w:bidi w:val="0"/>
        <w:spacing w:lineRule="auto" w:line="480"/>
        <w:jc w:val="start"/>
        <w:rPr>
          <w:rFonts w:ascii="Liberation Serif" w:hAnsi="Liberation Serif"/>
        </w:rPr>
      </w:pPr>
      <w:r>
        <w:rPr/>
      </w:r>
    </w:p>
    <w:sectPr>
      <w:footerReference w:type="even" r:id="rId2"/>
      <w:footerReference w:type="default" r:id="rId3"/>
      <w:footerReference w:type="first" r:id="rId4"/>
      <w:footnotePr>
        <w:numFmt w:val="decimal"/>
      </w:footnotePr>
      <w:type w:val="nextPage"/>
      <w:pgSz w:w="12240" w:h="15840"/>
      <w:pgMar w:left="1440" w:right="1440" w:gutter="0" w:header="0" w:top="1440" w:footer="1440" w:bottom="1999"/>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10T12:08:18Z" w:initials="">
    <w:p>
      <w:pPr>
        <w:overflowPunct w:val="false"/>
        <w:bidi w:val="0"/>
        <w:rPr/>
      </w:pPr>
      <w:r>
        <w:rPr>
          <w:rFonts w:eastAsia="DejaVu Sans" w:cs="Noto Sans Arabic"/>
          <w:kern w:val="0"/>
          <w:lang w:val="en-US" w:eastAsia="en-US" w:bidi="en-US"/>
        </w:rPr>
        <w:t>The three elements of this section</w:t>
      </w:r>
    </w:p>
  </w:comment>
  <w:comment w:id="1" w:author="Unknown Author" w:date="2026-06-10T12:07:53Z" w:initials="">
    <w:p>
      <w:pPr>
        <w:overflowPunct w:val="false"/>
        <w:bidi w:val="0"/>
        <w:rPr/>
      </w:pPr>
      <w:r>
        <w:rPr>
          <w:rFonts w:eastAsia="DejaVu Sans" w:cs="Noto Sans Arabic"/>
          <w:kern w:val="0"/>
          <w:lang w:val="en-US" w:eastAsia="en-US" w:bidi="en-US"/>
        </w:rPr>
        <w:t>Weave barbadians into the following bits</w:t>
      </w:r>
    </w:p>
  </w:comment>
  <w:comment w:id="2" w:author="Unknown Author" w:date="2026-06-16T10:13:47Z" w:initials="">
    <w:p>
      <w:pPr>
        <w:overflowPunct w:val="false"/>
        <w:rPr/>
      </w:pPr>
      <w:r>
        <w:rPr>
          <w:rFonts w:eastAsia="DejaVu Sans" w:cs="Noto Sans Arabic"/>
          <w:kern w:val="0"/>
          <w:lang w:val="en-US" w:eastAsia="en-US" w:bidi="en-US"/>
        </w:rPr>
        <w:t>I only cite enock … I should make this consistent</w:t>
      </w:r>
    </w:p>
  </w:comment>
  <w:comment w:id="3" w:author="Unknown Author" w:date="2026-06-15T11:25:50Z" w:initials="">
    <w:p>
      <w:pPr>
        <w:overflowPunct w:val="true"/>
        <w:rPr/>
      </w:pPr>
      <w:r>
        <w:rPr>
          <w:rFonts w:eastAsia="DejaVu Sans" w:cs="Noto Sans Arabic"/>
          <w:kern w:val="0"/>
          <w:lang w:val="en-US" w:eastAsia="en-US" w:bidi="en-US"/>
        </w:rPr>
        <w:t>Make this section more about land</w:t>
      </w:r>
    </w:p>
  </w:comment>
  <w:comment w:id="4" w:author="Unknown Author" w:date="2026-06-15T11:25:50Z" w:initials="">
    <w:p>
      <w:pPr>
        <w:overflowPunct w:val="false"/>
        <w:bidi w:val="0"/>
        <w:rPr/>
      </w:pPr>
      <w:r>
        <w:rPr>
          <w:rFonts w:eastAsia="DejaVu Sans" w:cs="Noto Sans Arabic"/>
          <w:kern w:val="0"/>
          <w:lang w:val="en-US" w:eastAsia="en-US" w:bidi="en-US"/>
        </w:rPr>
        <w:t>Make this section more about land</w:t>
      </w:r>
    </w:p>
  </w:comment>
  <w:comment w:id="5" w:author="Unknown Author" w:date="2026-06-16T09:52:37Z" w:initials="">
    <w:p>
      <w:pPr>
        <w:overflowPunct w:val="true"/>
        <w:bidi w:val="0"/>
        <w:rPr/>
      </w:pPr>
      <w:r>
        <w:rPr>
          <w:rFonts w:eastAsia="DejaVu Sans" w:cs="Noto Sans Arabic"/>
          <w:kern w:val="0"/>
          <w:lang w:val="en-US" w:eastAsia="en-US" w:bidi="en-US"/>
        </w:rPr>
        <w:t>But my whole point is that capital is not exactly a rationalizing force</w:t>
      </w:r>
    </w:p>
  </w:comment>
  <w:comment w:id="6" w:author="Unknown Author" w:date="2026-06-17T17:50:50Z" w:initials="">
    <w:p>
      <w:pPr>
        <w:overflowPunct w:val="false"/>
        <w:rPr/>
      </w:pPr>
      <w:r>
        <w:rPr>
          <w:rFonts w:eastAsia="DejaVu Sans" w:cs="Noto Sans Arabic"/>
          <w:kern w:val="0"/>
          <w:lang w:val="en-US" w:eastAsia="en-US" w:bidi="en-US"/>
        </w:rPr>
        <w:t>My tenses are all over the fucking place</w:t>
      </w:r>
    </w:p>
  </w:comment>
  <w:comment w:id="7" w:author="Unknown Author" w:date="2026-06-18T16:41:35Z" w:initials="">
    <w:p>
      <w:pPr>
        <w:overflowPunct w:val="true"/>
        <w:rPr/>
      </w:pPr>
      <w:r>
        <w:rPr>
          <w:rFonts w:eastAsia="DejaVu Sans" w:cs="Noto Sans Arabic"/>
          <w:kern w:val="0"/>
          <w:lang w:val="en-US" w:eastAsia="en-US" w:bidi="en-US"/>
        </w:rPr>
        <w:t>I need to have talked about this higher up, maybe in the labor section</w:t>
      </w:r>
    </w:p>
  </w:comment>
  <w:comment w:id="8" w:author="Unknown Author" w:date="2026-06-18T18:30:36Z" w:initials="">
    <w:p>
      <w:pPr>
        <w:overflowPunct w:val="true"/>
        <w:rPr/>
      </w:pPr>
      <w:r>
        <w:rPr>
          <w:rFonts w:eastAsia="DejaVu Sans" w:cs="Noto Sans Arabic"/>
          <w:kern w:val="0"/>
          <w:lang w:val="en-US" w:eastAsia="en-US" w:bidi="en-US"/>
        </w:rPr>
        <w:t>Is this right?</w:t>
      </w:r>
    </w:p>
  </w:comment>
  <w:comment w:id="9" w:author="Unknown Author" w:date="2026-06-04T10:52:03Z" w:initials="">
    <w:p>
      <w:pPr>
        <w:overflowPunct w:val="true"/>
        <w:bidi w:val="0"/>
        <w:rPr/>
      </w:pPr>
      <w:r>
        <w:rPr>
          <w:rFonts w:eastAsia="DejaVu Sans" w:cs="Noto Sans Arabic"/>
          <w:kern w:val="0"/>
          <w:lang w:val="en-US" w:eastAsia="en-US" w:bidi="en-US"/>
        </w:rPr>
        <w:t>Some citation.</w:t>
      </w:r>
    </w:p>
  </w:comment>
  <w:comment w:id="10" w:author="Unknown Author" w:date="2026-06-18T18:49:40Z" w:initials="">
    <w:p>
      <w:pPr>
        <w:overflowPunct w:val="true"/>
        <w:rPr/>
      </w:pPr>
      <w:r>
        <w:rPr>
          <w:rFonts w:eastAsia="DejaVu Sans" w:cs="Noto Sans Arabic"/>
          <w:kern w:val="0"/>
          <w:lang w:val="en-US" w:eastAsia="en-US" w:bidi="en-US"/>
        </w:rPr>
        <w:t xml:space="preserve">Highlight this more. </w:t>
      </w:r>
    </w:p>
  </w:comment>
  <w:comment w:id="11" w:author="Unknown Author" w:date="2026-06-13T13:32:55Z" w:initials="">
    <w:p>
      <w:pPr>
        <w:overflowPunct w:val="true"/>
        <w:bidi w:val="0"/>
        <w:rPr/>
      </w:pPr>
      <w:r>
        <w:rPr>
          <w:rFonts w:eastAsia="DejaVu Sans" w:cs="Noto Sans Arabic"/>
          <w:kern w:val="0"/>
          <w:lang w:val="en-US" w:eastAsia="en-US" w:bidi="en-US"/>
        </w:rPr>
        <w:t>I already cited this above. Did I? Or did I move it down below?</w:t>
      </w:r>
    </w:p>
  </w:comment>
  <w:comment w:id="14" w:author="Unknown Author" w:date="2026-06-13T13:36:50Z" w:initials="">
    <w:p>
      <w:pPr>
        <w:overflowPunct w:val="true"/>
        <w:bidi w:val="0"/>
        <w:rPr/>
      </w:pPr>
      <w:r>
        <w:rPr>
          <w:rFonts w:eastAsia="DejaVu Sans" w:cs="Noto Sans Arabic"/>
          <w:kern w:val="0"/>
          <w:lang w:val="en-US" w:eastAsia="en-US" w:bidi="en-US"/>
        </w:rPr>
        <w:t>Cite?</w:t>
      </w:r>
    </w:p>
  </w:comment>
  <w:comment w:id="13" w:author="Unknown Author" w:date="2026-06-15T10:37:26Z" w:initials="">
    <w:p>
      <w:pPr>
        <w:overflowPunct w:val="false"/>
        <w:bidi w:val="0"/>
        <w:rPr/>
      </w:pPr>
      <w:r>
        <w:rPr>
          <w:rFonts w:eastAsia="DejaVu Sans" w:cs="Noto Sans Arabic"/>
          <w:kern w:val="0"/>
          <w:lang w:val="en-US" w:eastAsia="en-US" w:bidi="en-US"/>
        </w:rPr>
        <w:t>Hmmm, not great. Maybe put this in the reproduction section?</w:t>
      </w:r>
    </w:p>
  </w:comment>
  <w:comment w:id="12" w:author="Unknown Author" w:date="2026-06-18T20:04:49Z" w:initials="">
    <w:p>
      <w:pPr>
        <w:overflowPunct w:val="true"/>
        <w:bidi w:val="0"/>
        <w:rPr/>
      </w:pPr>
      <w:r>
        <w:rPr>
          <w:rFonts w:eastAsia="DejaVu Sans" w:cs="Noto Sans Arabic"/>
          <w:kern w:val="0"/>
          <w:lang w:val="en-US" w:eastAsia="en-US" w:bidi="en-US"/>
        </w:rPr>
        <w:t>Labor</w:t>
      </w:r>
    </w:p>
    <w:p>
      <w:pPr>
        <w:overflowPunct w:val="true"/>
        <w:bidi w:val="0"/>
        <w:rPr/>
      </w:pPr>
      <w:r>
        <w:rPr>
          <w:rFonts w:eastAsia="DejaVu Sans" w:cs="Noto Sans Arabic"/>
          <w:kern w:val="0"/>
          <w:lang w:val="en-US" w:eastAsia="en-US" w:bidi="en-US"/>
        </w:rPr>
      </w:r>
    </w:p>
  </w:comment>
  <w:comment w:id="15" w:author="Unknown Author" w:date="2026-06-18T20:06:53Z" w:initials="">
    <w:p>
      <w:pPr>
        <w:overflowPunct w:val="true"/>
        <w:bidi w:val="0"/>
        <w:rPr/>
      </w:pPr>
      <w:r>
        <w:rPr>
          <w:rFonts w:eastAsia="DejaVu Sans" w:cs="Noto Sans Arabic"/>
          <w:kern w:val="0"/>
          <w:lang w:val="en-US" w:eastAsia="en-US" w:bidi="en-US"/>
        </w:rPr>
        <w:t>intro</w:t>
      </w:r>
    </w:p>
  </w:comment>
  <w:comment w:id="16" w:author="Unknown Author" w:date="2026-06-18T20:07:01Z" w:initials="">
    <w:p>
      <w:pPr>
        <w:overflowPunct w:val="true"/>
        <w:bidi w:val="0"/>
        <w:rPr/>
      </w:pPr>
      <w:r>
        <w:rPr>
          <w:rFonts w:eastAsia="DejaVu Sans" w:cs="Noto Sans Arabic"/>
          <w:kern w:val="0"/>
          <w:lang w:val="en-US" w:eastAsia="en-US" w:bidi="en-US"/>
        </w:rPr>
        <w:t>labor</w:t>
      </w:r>
    </w:p>
  </w:comment>
  <w:comment w:id="17" w:author="Unknown Author" w:date="2026-06-18T20:07:34Z" w:initials="">
    <w:p>
      <w:pPr>
        <w:overflowPunct w:val="true"/>
        <w:bidi w:val="0"/>
        <w:rPr/>
      </w:pPr>
      <w:r>
        <w:rPr>
          <w:rFonts w:eastAsia="DejaVu Sans" w:cs="Noto Sans Arabic"/>
          <w:kern w:val="0"/>
          <w:lang w:val="en-US" w:eastAsia="en-US" w:bidi="en-US"/>
        </w:rPr>
        <w:t>labor</w:t>
      </w:r>
    </w:p>
  </w:comment>
  <w:comment w:id="18" w:author="Unknown Author" w:date="2026-06-18T20:07:52Z" w:initials="">
    <w:p>
      <w:pPr>
        <w:overflowPunct w:val="true"/>
        <w:bidi w:val="0"/>
        <w:rPr/>
      </w:pPr>
      <w:r>
        <w:rPr>
          <w:rFonts w:eastAsia="DejaVu Sans" w:cs="Noto Sans Arabic"/>
          <w:kern w:val="0"/>
          <w:lang w:val="en-US" w:eastAsia="en-US" w:bidi="en-US"/>
        </w:rPr>
        <w:t>Land?</w:t>
      </w:r>
    </w:p>
  </w:comment>
  <w:comment w:id="19" w:author="Unknown Author" w:date="2026-06-18T20:08:04Z" w:initials="">
    <w:p>
      <w:pPr>
        <w:overflowPunct w:val="true"/>
        <w:bidi w:val="0"/>
        <w:rPr/>
      </w:pPr>
      <w:r>
        <w:rPr>
          <w:rFonts w:eastAsia="DejaVu Sans" w:cs="Noto Sans Arabic"/>
          <w:kern w:val="0"/>
          <w:lang w:val="en-US" w:eastAsia="en-US" w:bidi="en-US"/>
        </w:rPr>
        <w:t>land</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1"/>
    <w:r>
      <w:rPr/>
      <w:fldChar w:fldCharType="begin"/>
    </w:r>
    <w:r>
      <w:rPr/>
      <w:instrText xml:space="preserve"> PAGE </w:instrText>
    </w:r>
    <w:r>
      <w:rPr/>
      <w:fldChar w:fldCharType="separate"/>
    </w:r>
    <w:r>
      <w:rPr/>
      <w:t>16</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 w:name="PageNumWizard_FOOTER_Default_Page_Style1"/>
    <w:r>
      <w:rPr/>
      <w:fldChar w:fldCharType="begin"/>
    </w:r>
    <w:r>
      <w:rPr/>
      <w:instrText xml:space="preserve"> PAGE </w:instrText>
    </w:r>
    <w:r>
      <w:rPr/>
      <w:fldChar w:fldCharType="separate"/>
    </w:r>
    <w:r>
      <w:rPr/>
      <w:t>16</w:t>
    </w:r>
    <w:r>
      <w:rPr/>
      <w:fldChar w:fldCharType="end"/>
    </w:r>
    <w:bookmarkEnd w:id="1"/>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highlight w:val="none"/>
          <w:shd w:fill="FFFF00" w:val="clear"/>
        </w:rPr>
      </w:pPr>
      <w:r>
        <w:rPr>
          <w:rStyle w:val="FootnoteCharacters"/>
        </w:rPr>
        <w:footnoteRef/>
      </w:r>
      <w:r>
        <w:rPr>
          <w:shd w:fill="FFFF00" w:val="clear"/>
        </w:rPr>
        <w:tab/>
        <w:t>Casement, 10</w:t>
      </w:r>
    </w:p>
  </w:footnote>
  <w:footnote w:id="3">
    <w:p>
      <w:pPr>
        <w:pStyle w:val="FootnoteText"/>
        <w:bidi w:val="0"/>
        <w:jc w:val="start"/>
        <w:rPr/>
      </w:pPr>
      <w:r>
        <w:rPr>
          <w:rStyle w:val="FootnoteCharacters"/>
        </w:rPr>
        <w:footnoteRef/>
      </w:r>
      <w:r>
        <w:rPr/>
        <w:tab/>
        <w:t>Taussig, “Culture of Terror,” 479.</w:t>
      </w:r>
    </w:p>
  </w:footnote>
  <w:footnote w:id="4">
    <w:p>
      <w:pPr>
        <w:pStyle w:val="FootnoteText"/>
        <w:bidi w:val="0"/>
        <w:jc w:val="start"/>
        <w:rPr/>
      </w:pPr>
      <w:r>
        <w:rPr>
          <w:rStyle w:val="FootnoteCharacters"/>
        </w:rPr>
        <w:footnoteRef/>
      </w:r>
      <w:r>
        <w:rPr/>
        <w:tab/>
        <w:t>Taussig, “Culture of Terror,” 468.</w:t>
      </w:r>
    </w:p>
  </w:footnote>
  <w:footnote w:id="5">
    <w:p>
      <w:pPr>
        <w:pStyle w:val="FootnoteText"/>
        <w:bidi w:val="0"/>
        <w:jc w:val="start"/>
        <w:rPr/>
      </w:pPr>
      <w:r>
        <w:rPr>
          <w:rStyle w:val="FootnoteCharacters"/>
        </w:rPr>
        <w:footnoteRef/>
      </w:r>
      <w:r>
        <w:rPr/>
        <w:tab/>
        <w:t>Taussig, “Culture of Terror,” 468.</w:t>
      </w:r>
    </w:p>
  </w:footnote>
  <w:footnote w:id="6">
    <w:p>
      <w:pPr>
        <w:pStyle w:val="FootnoteText"/>
        <w:bidi w:val="0"/>
        <w:jc w:val="start"/>
        <w:rPr/>
      </w:pPr>
      <w:r>
        <w:rPr>
          <w:rStyle w:val="FootnoteCharacters"/>
        </w:rPr>
        <w:footnoteRef/>
      </w:r>
      <w:r>
        <w:rPr/>
        <w:tab/>
        <w:t xml:space="preserve">Jason W. Moore, “Our Capitalogenic World: Climate Crises, Class Politics, and the Civilizing Project,” </w:t>
      </w:r>
      <w:r>
        <w:rPr>
          <w:i/>
        </w:rPr>
        <w:t>Annales Universitatis Paedagogicae Cracoviensis. Studia Poetica</w:t>
      </w:r>
      <w:r>
        <w:rPr/>
        <w:t xml:space="preserve"> 11 (2023), 98.</w:t>
      </w:r>
    </w:p>
  </w:footnote>
  <w:footnote w:id="7">
    <w:p>
      <w:pPr>
        <w:pStyle w:val="FootnoteText"/>
        <w:bidi w:val="0"/>
        <w:jc w:val="start"/>
        <w:rPr>
          <w:shd w:fill="auto" w:val="clear"/>
        </w:rPr>
      </w:pPr>
      <w:r>
        <w:rPr>
          <w:rStyle w:val="FootnoteCharacters"/>
        </w:rPr>
        <w:footnoteRef/>
      </w:r>
      <w:r>
        <w:rPr>
          <w:shd w:fill="auto" w:val="clear"/>
        </w:rPr>
        <w:tab/>
        <w:t xml:space="preserve">Carlos A. Valcárcel, </w:t>
      </w:r>
      <w:r>
        <w:rPr>
          <w:i/>
          <w:shd w:fill="auto" w:val="clear"/>
        </w:rPr>
        <w:t>El Proceso Del Putumayo y Sus Secretos Inauditos</w:t>
      </w:r>
      <w:r>
        <w:rPr>
          <w:shd w:fill="auto" w:val="clear"/>
        </w:rPr>
        <w:t xml:space="preserve"> (CETA, 2004), 28.</w:t>
      </w:r>
    </w:p>
  </w:footnote>
  <w:footnote w:id="8">
    <w:p>
      <w:pPr>
        <w:pStyle w:val="FootnoteText"/>
        <w:suppressLineNumbers/>
        <w:bidi w:val="0"/>
        <w:ind w:hanging="340" w:start="340"/>
        <w:jc w:val="start"/>
        <w:rPr/>
      </w:pPr>
      <w:r>
        <w:rPr>
          <w:rStyle w:val="FootnoteCharacters"/>
        </w:rPr>
        <w:footnoteRef/>
      </w:r>
      <w:r>
        <w:rPr/>
        <w:tab/>
        <w:t xml:space="preserve">Valcárcel, </w:t>
      </w:r>
      <w:r>
        <w:rPr>
          <w:i/>
        </w:rPr>
        <w:t>El Proceso Del Putumayo y Sus Secretos Inauditos,</w:t>
      </w:r>
      <w:r>
        <w:rPr/>
        <w:t xml:space="preserve"> 28: "Las tres imágenes históricas elaboradas por los occidentales para justificar su dominio frente a los indígenas (no-humanos, ateos y salvajes), en realidad no son sucesivias sino acumulativas."</w:t>
      </w:r>
    </w:p>
  </w:footnote>
  <w:footnote w:id="9">
    <w:p>
      <w:pPr>
        <w:pStyle w:val="FootnoteText"/>
        <w:suppressLineNumbers/>
        <w:bidi w:val="0"/>
        <w:ind w:hanging="340" w:start="340"/>
        <w:jc w:val="start"/>
        <w:rPr/>
      </w:pPr>
      <w:r>
        <w:rPr>
          <w:rStyle w:val="FootnoteCharacters"/>
        </w:rPr>
        <w:footnoteRef/>
      </w:r>
      <w:r>
        <w:rPr/>
        <w:tab/>
        <w:t xml:space="preserve">Valcárcel, </w:t>
      </w:r>
      <w:r>
        <w:rPr>
          <w:i/>
        </w:rPr>
        <w:t>El Proceso Del Putumayo y Sus Secretos Inauditos</w:t>
      </w:r>
      <w:r>
        <w:rPr/>
        <w:t>, 23.</w:t>
      </w:r>
    </w:p>
  </w:footnote>
  <w:footnote w:id="10">
    <w:p>
      <w:pPr>
        <w:pStyle w:val="FootnoteText"/>
        <w:bidi w:val="0"/>
        <w:jc w:val="start"/>
        <w:rPr>
          <w:shd w:fill="auto" w:val="clear"/>
        </w:rPr>
      </w:pPr>
      <w:r>
        <w:rPr>
          <w:rStyle w:val="FootnoteCharacters"/>
        </w:rPr>
        <w:footnoteRef/>
      </w:r>
      <w:r>
        <w:rPr>
          <w:shd w:fill="auto" w:val="clear"/>
        </w:rPr>
        <w:tab/>
        <w:t xml:space="preserve">Valcárcel, </w:t>
      </w:r>
      <w:r>
        <w:rPr>
          <w:i/>
          <w:shd w:fill="auto" w:val="clear"/>
        </w:rPr>
        <w:t>El Proceso Del Putumayo y Sus Secretos Inauditos</w:t>
      </w:r>
      <w:r>
        <w:rPr>
          <w:shd w:fill="auto" w:val="clear"/>
        </w:rPr>
        <w:t>, 21-22.</w:t>
      </w:r>
    </w:p>
  </w:footnote>
  <w:footnote w:id="11">
    <w:p>
      <w:pPr>
        <w:pStyle w:val="FootnoteText"/>
        <w:suppressLineNumbers/>
        <w:bidi w:val="0"/>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11.</w:t>
      </w:r>
    </w:p>
  </w:footnote>
  <w:footnote w:id="12">
    <w:p>
      <w:pPr>
        <w:pStyle w:val="FootnoteText"/>
        <w:suppressLineNumbers/>
        <w:bidi w:val="0"/>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11.</w:t>
      </w:r>
    </w:p>
  </w:footnote>
  <w:footnote w:id="13">
    <w:p>
      <w:pPr>
        <w:pStyle w:val="FootnoteText"/>
        <w:suppressLineNumbers/>
        <w:bidi w:val="0"/>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14.</w:t>
      </w:r>
    </w:p>
  </w:footnote>
  <w:footnote w:id="14">
    <w:p>
      <w:pPr>
        <w:pStyle w:val="FootnoteText"/>
        <w:suppressLineNumbers/>
        <w:bidi w:val="0"/>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13.</w:t>
      </w:r>
    </w:p>
  </w:footnote>
  <w:footnote w:id="15">
    <w:p>
      <w:pPr>
        <w:pStyle w:val="FootnoteText"/>
        <w:suppressLineNumbers/>
        <w:bidi w:val="0"/>
        <w:ind w:hanging="340" w:start="340"/>
        <w:jc w:val="start"/>
        <w:rPr/>
      </w:pPr>
      <w:r>
        <w:rPr>
          <w:rStyle w:val="FootnoteCharacters"/>
        </w:rPr>
        <w:footnoteRef/>
      </w:r>
      <w:r>
        <w:rPr/>
        <w:tab/>
        <w:t xml:space="preserve">Taussig, “Culture of Terror,” 489; and </w:t>
      </w:r>
      <w:r>
        <w:rPr>
          <w:shd w:fill="auto" w:val="clear"/>
        </w:rPr>
        <w:t xml:space="preserve">Casement, </w:t>
      </w:r>
      <w:r>
        <w:rPr>
          <w:i/>
          <w:shd w:fill="auto" w:val="clear"/>
        </w:rPr>
        <w:t xml:space="preserve">Correspondence, </w:t>
      </w:r>
      <w:r>
        <w:rPr/>
        <w:t>30.</w:t>
      </w:r>
    </w:p>
  </w:footnote>
  <w:footnote w:id="16">
    <w:p>
      <w:pPr>
        <w:pStyle w:val="FootnoteText"/>
        <w:bidi w:val="0"/>
        <w:jc w:val="start"/>
        <w:rPr>
          <w:shd w:fill="auto" w:val="clear"/>
        </w:rPr>
      </w:pPr>
      <w:r>
        <w:rPr>
          <w:rStyle w:val="FootnoteCharacters"/>
        </w:rPr>
        <w:footnoteRef/>
      </w:r>
      <w:r>
        <w:rPr>
          <w:shd w:fill="auto" w:val="clear"/>
        </w:rPr>
        <w:tab/>
        <w:t>Taussig, “Culture of Terror,” 482.</w:t>
      </w:r>
    </w:p>
  </w:footnote>
  <w:footnote w:id="17">
    <w:p>
      <w:pPr>
        <w:pStyle w:val="FootnoteText"/>
        <w:bidi w:val="0"/>
        <w:jc w:val="start"/>
        <w:rPr>
          <w:shd w:fill="auto" w:val="clear"/>
        </w:rPr>
      </w:pPr>
      <w:r>
        <w:rPr>
          <w:rStyle w:val="FootnoteCharacters"/>
        </w:rPr>
        <w:footnoteRef/>
      </w:r>
      <w:r>
        <w:rPr>
          <w:shd w:fill="auto" w:val="clear"/>
        </w:rPr>
        <w:tab/>
        <w:t>Taussig, “Culture of Terror,” 483-4.</w:t>
      </w:r>
    </w:p>
  </w:footnote>
  <w:footnote w:id="18">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19.</w:t>
      </w:r>
    </w:p>
  </w:footnote>
  <w:footnote w:id="19">
    <w:p>
      <w:pPr>
        <w:pStyle w:val="FootnoteText"/>
        <w:suppressLineNumbers/>
        <w:bidi w:val="0"/>
        <w:ind w:hanging="340" w:start="340"/>
        <w:jc w:val="start"/>
        <w:rPr/>
      </w:pPr>
      <w:r>
        <w:rPr>
          <w:rStyle w:val="FootnoteCharacters"/>
        </w:rPr>
        <w:footnoteRef/>
      </w:r>
      <w:r>
        <w:rPr/>
        <w:tab/>
        <w:t xml:space="preserve">Hardenburg, </w:t>
      </w:r>
      <w:r>
        <w:rPr>
          <w:i/>
          <w:iCs/>
        </w:rPr>
        <w:t>The Devil's Paradise</w:t>
      </w:r>
      <w:r>
        <w:rPr>
          <w:i w:val="false"/>
          <w:iCs w:val="false"/>
        </w:rPr>
        <w:t>, 37.</w:t>
      </w:r>
    </w:p>
  </w:footnote>
  <w:footnote w:id="20">
    <w:p>
      <w:pPr>
        <w:pStyle w:val="FootnoteText"/>
        <w:bidi w:val="0"/>
        <w:jc w:val="start"/>
        <w:rPr/>
      </w:pPr>
      <w:r>
        <w:rPr>
          <w:rStyle w:val="FootnoteCharacters"/>
        </w:rPr>
        <w:footnoteRef/>
      </w:r>
      <w:r>
        <w:rPr/>
        <w:tab/>
        <w:t>Hardenburg p 36</w:t>
      </w:r>
    </w:p>
    <w:p>
      <w:pPr>
        <w:pStyle w:val="FootnoteText"/>
        <w:bidi w:val="0"/>
        <w:jc w:val="start"/>
        <w:rPr/>
      </w:pPr>
      <w:r>
        <w:rPr/>
      </w:r>
    </w:p>
  </w:footnote>
  <w:footnote w:id="21">
    <w:p>
      <w:pPr>
        <w:pStyle w:val="FootnoteText"/>
        <w:bidi w:val="0"/>
        <w:jc w:val="start"/>
        <w:rPr/>
      </w:pPr>
      <w:r>
        <w:rPr>
          <w:rStyle w:val="FootnoteCharacters"/>
        </w:rPr>
        <w:footnoteRef/>
      </w:r>
      <w:r>
        <w:rPr/>
        <w:tab/>
        <w:t>Hardenburg p 37</w:t>
      </w:r>
    </w:p>
  </w:footnote>
  <w:footnote w:id="22">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55.</w:t>
      </w:r>
    </w:p>
  </w:footnote>
  <w:footnote w:id="23">
    <w:p>
      <w:pPr>
        <w:pStyle w:val="FootnoteText"/>
        <w:rPr/>
      </w:pPr>
      <w:r>
        <w:rPr>
          <w:rStyle w:val="FootnoteCharacters"/>
        </w:rPr>
        <w:footnoteRef/>
      </w:r>
      <w:r>
        <w:rPr/>
        <w:tab/>
        <w:t xml:space="preserve">For a much more extensive list and analysis of the many latex producing plants, see Harold Brown, </w:t>
      </w:r>
      <w:r>
        <w:rPr>
          <w:i/>
        </w:rPr>
        <w:t>Rubber: Its Sources, Cultivation and Preparation</w:t>
      </w:r>
      <w:r>
        <w:rPr/>
        <w:t xml:space="preserve"> (J. Murray, 1914).</w:t>
      </w:r>
    </w:p>
  </w:footnote>
  <w:footnote w:id="24">
    <w:p>
      <w:pPr>
        <w:pStyle w:val="FootnoteText"/>
        <w:rPr/>
      </w:pPr>
      <w:r>
        <w:rPr>
          <w:rStyle w:val="FootnoteCharacters"/>
        </w:rPr>
        <w:footnoteRef/>
      </w:r>
      <w:r>
        <w:rPr/>
        <w:tab/>
        <w:t xml:space="preserve">Katrina Cornish et al., “Guayule Latex Provides a Solution for the Critical Demands of the Non-Allergenic Medical Products Market,” </w:t>
      </w:r>
      <w:r>
        <w:rPr>
          <w:i/>
        </w:rPr>
        <w:t>Agro Food Industry Hi Tech</w:t>
      </w:r>
      <w:r>
        <w:rPr/>
        <w:t xml:space="preserve"> 12, no. 6 (2001): 27–32.</w:t>
      </w:r>
    </w:p>
  </w:footnote>
  <w:footnote w:id="25">
    <w:p>
      <w:pPr>
        <w:pStyle w:val="FootnoteText"/>
        <w:rPr/>
      </w:pPr>
      <w:r>
        <w:rPr>
          <w:rStyle w:val="FootnoteCharacters"/>
        </w:rPr>
        <w:footnoteRef/>
      </w:r>
      <w:r>
        <w:rPr/>
        <w:tab/>
        <w:t xml:space="preserve">Robert Harms, “The End of Red Rubber: A Reassessment,” </w:t>
      </w:r>
      <w:r>
        <w:rPr>
          <w:i/>
        </w:rPr>
        <w:t>The Journal of African History</w:t>
      </w:r>
      <w:r>
        <w:rPr/>
        <w:t xml:space="preserve"> 16, no. 1 (1975): 75.</w:t>
      </w:r>
    </w:p>
  </w:footnote>
  <w:footnote w:id="26">
    <w:p>
      <w:pPr>
        <w:pStyle w:val="FootnoteText"/>
        <w:rPr/>
      </w:pPr>
      <w:r>
        <w:rPr>
          <w:rStyle w:val="FootnoteCharacters"/>
        </w:rPr>
        <w:footnoteRef/>
      </w:r>
      <w:r>
        <w:rPr/>
        <w:tab/>
        <w:t xml:space="preserve">SR Hoover et al., “Cryptostegia Leaf Rubber.,” </w:t>
      </w:r>
      <w:r>
        <w:rPr>
          <w:i/>
        </w:rPr>
        <w:t>Industrial &amp; Engineering Chemistry</w:t>
      </w:r>
      <w:r>
        <w:rPr/>
        <w:t xml:space="preserve"> 37, no. 9 (1945): 803–9.</w:t>
      </w:r>
    </w:p>
  </w:footnote>
  <w:footnote w:id="27">
    <w:p>
      <w:pPr>
        <w:pStyle w:val="FootnoteText"/>
        <w:rPr/>
      </w:pPr>
      <w:r>
        <w:rPr>
          <w:rStyle w:val="FootnoteCharacters"/>
        </w:rPr>
        <w:footnoteRef/>
      </w:r>
      <w:r>
        <w:rPr/>
        <w:tab/>
        <w:t xml:space="preserve">EM Blair and TF Ford, “Castilla as a Western Hemisphere Rubber.,” </w:t>
      </w:r>
      <w:r>
        <w:rPr>
          <w:i/>
        </w:rPr>
        <w:t>Industrial &amp; Engineering Chemistry</w:t>
      </w:r>
      <w:r>
        <w:rPr/>
        <w:t xml:space="preserve"> 37, no. 8 (1945): 760.</w:t>
      </w:r>
    </w:p>
  </w:footnote>
  <w:footnote w:id="28">
    <w:p>
      <w:pPr>
        <w:pStyle w:val="FootnoteText"/>
        <w:rPr/>
      </w:pPr>
      <w:r>
        <w:rPr>
          <w:rStyle w:val="FootnoteCharacters"/>
        </w:rPr>
        <w:footnoteRef/>
      </w:r>
      <w:r>
        <w:rPr/>
        <w:tab/>
        <w:t xml:space="preserve">Ernest P. Imle, “Hevea Rubber: Past and Future,” </w:t>
      </w:r>
      <w:r>
        <w:rPr>
          <w:i/>
        </w:rPr>
        <w:t>Economic Botany</w:t>
      </w:r>
      <w:r>
        <w:rPr/>
        <w:t xml:space="preserve"> 32, no. 3 (1978): 264–77, JSTOR.</w:t>
      </w:r>
    </w:p>
  </w:footnote>
  <w:footnote w:id="29">
    <w:p>
      <w:pPr>
        <w:pStyle w:val="FootnoteText"/>
        <w:rPr>
          <w:highlight w:val="none"/>
          <w:shd w:fill="FFFF00" w:val="clear"/>
        </w:rPr>
      </w:pPr>
      <w:r>
        <w:rPr>
          <w:rStyle w:val="FootnoteCharacters"/>
        </w:rPr>
        <w:footnoteRef/>
      </w:r>
      <w:r>
        <w:rPr>
          <w:shd w:fill="FFFF00" w:val="clear"/>
        </w:rPr>
        <w:tab/>
        <w:t>Cook, p 206</w:t>
      </w:r>
    </w:p>
  </w:footnote>
  <w:footnote w:id="30">
    <w:p>
      <w:pPr>
        <w:pStyle w:val="FootnoteText"/>
        <w:rPr/>
      </w:pPr>
      <w:r>
        <w:rPr>
          <w:rStyle w:val="FootnoteCharacters"/>
        </w:rPr>
        <w:footnoteRef/>
      </w:r>
      <w:r>
        <w:rPr/>
        <w:tab/>
        <w:t>Hardenburg 95</w:t>
      </w:r>
    </w:p>
  </w:footnote>
  <w:footnote w:id="31">
    <w:p>
      <w:pPr>
        <w:pStyle w:val="FootnoteText"/>
        <w:rPr/>
      </w:pPr>
      <w:r>
        <w:rPr>
          <w:rStyle w:val="FootnoteCharacters"/>
        </w:rPr>
        <w:footnoteRef/>
      </w:r>
      <w:r>
        <w:rPr/>
        <w:tab/>
        <w:t xml:space="preserve"> </w:t>
      </w:r>
      <w:r>
        <w:rPr/>
        <w:t xml:space="preserve">"La </w:t>
      </w:r>
      <w:r>
        <w:rPr>
          <w:b/>
          <w:bCs/>
        </w:rPr>
        <w:t>Hevea</w:t>
      </w:r>
      <w:r>
        <w:rPr/>
        <w:t xml:space="preserve"> </w:t>
      </w:r>
      <w:r>
        <w:rPr>
          <w:b/>
          <w:bCs/>
        </w:rPr>
        <w:t>guianensis</w:t>
      </w:r>
      <w:r>
        <w:rPr/>
        <w:t xml:space="preserve"> y su variedad </w:t>
      </w:r>
      <w:r>
        <w:rPr>
          <w:b/>
          <w:bCs/>
        </w:rPr>
        <w:t>lutea</w:t>
      </w:r>
      <w:r>
        <w:rPr/>
        <w:t xml:space="preserve"> y la </w:t>
      </w:r>
      <w:r>
        <w:rPr>
          <w:b/>
          <w:bCs/>
        </w:rPr>
        <w:t>Hevea</w:t>
      </w:r>
      <w:r>
        <w:rPr/>
        <w:t xml:space="preserve"> </w:t>
      </w:r>
      <w:r>
        <w:rPr>
          <w:b/>
          <w:bCs/>
        </w:rPr>
        <w:t>benthamiana</w:t>
      </w:r>
      <w:r>
        <w:rPr/>
        <w:t xml:space="preserve"> son las tres especies y variedades más productivas y de mejor calidad entre las denominadas siringas fracas o jebes débiles, es decir, gomas de Hevea que tienden a perder mas peso que las siringas verdaderas y que, por lo tanto, tienen menor valor en el mercado. Ademéas, son de extraccién más dificil. Con las demás especies y variedades de jebes débiles sólo se realiza su explotación en casos excepcionales, debido a su produccién muy baja y, en algunos casos, a las caracteristicas pegajosas del látex que hace la goma indeseable en el mercado (siringaranas)."  Camilo Dominguez and Augusto Gomez, </w:t>
      </w:r>
      <w:r>
        <w:rPr>
          <w:i/>
        </w:rPr>
        <w:t>La Economia Extractiva En La Amazonia Colombiana: 1850 - 1930</w:t>
      </w:r>
      <w:r>
        <w:rPr/>
        <w:t xml:space="preserve"> (Tropembos Colombia, 1990), 93.</w:t>
      </w:r>
    </w:p>
  </w:footnote>
  <w:footnote w:id="32">
    <w:p>
      <w:pPr>
        <w:pStyle w:val="FootnoteText"/>
        <w:rPr/>
      </w:pPr>
      <w:r>
        <w:rPr>
          <w:rStyle w:val="FootnoteCharacters"/>
        </w:rPr>
        <w:footnoteRef/>
      </w:r>
      <w:r>
        <w:rPr/>
        <w:tab/>
        <w:t xml:space="preserve">Rupert J. M. Medd and Hélène Guyot, “Eyewitness Accounts during the Putumayo Rubber Boom: Manuel Antonio Mesones Muro—the ‘Madman of the Marañon River,’ Cárlos Oyague y Calderón—the State Engineer, and Roger Casement—‘Not of the Real World’ Humanitarian,” </w:t>
      </w:r>
      <w:r>
        <w:rPr>
          <w:i/>
        </w:rPr>
        <w:t>Journeys</w:t>
      </w:r>
      <w:r>
        <w:rPr/>
        <w:t xml:space="preserve"> (New York, USA) 20, no. 2 (2019), 64.</w:t>
      </w:r>
    </w:p>
  </w:footnote>
  <w:footnote w:id="33">
    <w:p>
      <w:pPr>
        <w:pStyle w:val="FootnoteText"/>
        <w:rPr/>
      </w:pPr>
      <w:r>
        <w:rPr>
          <w:rStyle w:val="FootnoteCharacters"/>
        </w:rPr>
        <w:footnoteRef/>
      </w:r>
      <w:r>
        <w:rPr/>
        <w:tab/>
        <w:t xml:space="preserve">Randolph R. Resor, “Rubber in Brazil: Dominance and Collapse, 1876-1945,” </w:t>
      </w:r>
      <w:r>
        <w:rPr>
          <w:i/>
        </w:rPr>
        <w:t>The Business History Review</w:t>
      </w:r>
      <w:r>
        <w:rPr/>
        <w:t xml:space="preserve"> 51, no. 3 (1977), 353</w:t>
      </w:r>
    </w:p>
  </w:footnote>
  <w:footnote w:id="34">
    <w:p>
      <w:pPr>
        <w:pStyle w:val="FootnoteText"/>
        <w:rPr/>
      </w:pPr>
      <w:r>
        <w:rPr>
          <w:rStyle w:val="FootnoteCharacters"/>
        </w:rPr>
        <w:footnoteRef/>
      </w:r>
      <w:r>
        <w:rPr/>
        <w:tab/>
        <w:t xml:space="preserve">P. W. Barker and E. G. Holt, </w:t>
      </w:r>
      <w:r>
        <w:rPr>
          <w:i/>
        </w:rPr>
        <w:t>Rubber Statistics 1900-1937: Production, Absorption, Stocks and Prices</w:t>
      </w:r>
      <w:r>
        <w:rPr/>
        <w:t>, no. 181, Trade Promotion Series (U. S. Department of Commerce, 1938), 43.</w:t>
      </w:r>
    </w:p>
  </w:footnote>
  <w:footnote w:id="35">
    <w:p>
      <w:pPr>
        <w:pStyle w:val="FootnoteText"/>
        <w:bidi w:val="0"/>
        <w:jc w:val="start"/>
        <w:rPr>
          <w:highlight w:val="none"/>
          <w:shd w:fill="FFFF00" w:val="clear"/>
        </w:rPr>
      </w:pPr>
      <w:r>
        <w:rPr>
          <w:rStyle w:val="FootnoteCharacters"/>
        </w:rPr>
        <w:footnoteRef/>
      </w:r>
      <w:r>
        <w:rPr>
          <w:shd w:fill="FFFF00" w:val="clear"/>
        </w:rPr>
        <w:tab/>
        <w:t>PAC Accounting 282</w:t>
      </w:r>
    </w:p>
  </w:footnote>
  <w:footnote w:id="36">
    <w:p>
      <w:pPr>
        <w:pStyle w:val="FootnoteText"/>
        <w:bidi w:val="0"/>
        <w:jc w:val="start"/>
        <w:rPr>
          <w:highlight w:val="none"/>
          <w:shd w:fill="FFFF00" w:val="clear"/>
        </w:rPr>
      </w:pPr>
      <w:r>
        <w:rPr>
          <w:rStyle w:val="FootnoteCharacters"/>
        </w:rPr>
        <w:footnoteRef/>
      </w:r>
      <w:r>
        <w:rPr>
          <w:shd w:fill="FFFF00" w:val="clear"/>
        </w:rPr>
        <w:tab/>
        <w:t>Hardenburg 201</w:t>
      </w:r>
    </w:p>
  </w:footnote>
  <w:footnote w:id="37">
    <w:p>
      <w:pPr>
        <w:pStyle w:val="FootnoteText"/>
        <w:bidi w:val="0"/>
        <w:jc w:val="start"/>
        <w:rPr>
          <w:highlight w:val="none"/>
          <w:shd w:fill="FFFF00" w:val="clear"/>
        </w:rPr>
      </w:pPr>
      <w:r>
        <w:rPr>
          <w:rStyle w:val="FootnoteCharacters"/>
        </w:rPr>
        <w:footnoteRef/>
      </w:r>
      <w:r>
        <w:rPr>
          <w:shd w:fill="FFFF00" w:val="clear"/>
        </w:rPr>
        <w:tab/>
        <w:t>Casement 11</w:t>
      </w:r>
    </w:p>
  </w:footnote>
  <w:footnote w:id="38">
    <w:p>
      <w:pPr>
        <w:pStyle w:val="FootnoteText"/>
        <w:bidi w:val="0"/>
        <w:jc w:val="start"/>
        <w:rPr>
          <w:highlight w:val="none"/>
          <w:shd w:fill="FFFF00" w:val="clear"/>
        </w:rPr>
      </w:pPr>
      <w:r>
        <w:rPr>
          <w:rStyle w:val="FootnoteCharacters"/>
        </w:rPr>
        <w:footnoteRef/>
      </w:r>
      <w:r>
        <w:rPr>
          <w:shd w:fill="FFFF00" w:val="clear"/>
        </w:rPr>
        <w:tab/>
        <w:t>PAC Accounting 289</w:t>
      </w:r>
    </w:p>
  </w:footnote>
  <w:footnote w:id="39">
    <w:p>
      <w:pPr>
        <w:pStyle w:val="FootnoteText"/>
        <w:bidi w:val="0"/>
        <w:jc w:val="start"/>
        <w:rPr>
          <w:highlight w:val="none"/>
          <w:shd w:fill="FFFF00" w:val="clear"/>
        </w:rPr>
      </w:pPr>
      <w:r>
        <w:rPr>
          <w:rStyle w:val="FootnoteCharacters"/>
        </w:rPr>
        <w:footnoteRef/>
      </w:r>
      <w:r>
        <w:rPr>
          <w:shd w:fill="FFFF00" w:val="clear"/>
        </w:rPr>
        <w:tab/>
        <w:t>PAC Accounting 292</w:t>
      </w:r>
    </w:p>
  </w:footnote>
  <w:footnote w:id="40">
    <w:p>
      <w:pPr>
        <w:pStyle w:val="FootnoteText"/>
        <w:bidi w:val="0"/>
        <w:jc w:val="start"/>
        <w:rPr>
          <w:highlight w:val="none"/>
          <w:shd w:fill="FFFF00" w:val="clear"/>
        </w:rPr>
      </w:pPr>
      <w:r>
        <w:rPr>
          <w:rStyle w:val="FootnoteCharacters"/>
        </w:rPr>
        <w:footnoteRef/>
      </w:r>
      <w:r>
        <w:rPr>
          <w:shd w:fill="FFFF00" w:val="clear"/>
        </w:rPr>
        <w:tab/>
        <w:t>Serje 483</w:t>
      </w:r>
    </w:p>
  </w:footnote>
  <w:footnote w:id="41">
    <w:p>
      <w:pPr>
        <w:pStyle w:val="FootnoteText"/>
        <w:bidi w:val="0"/>
        <w:jc w:val="start"/>
        <w:rPr>
          <w:highlight w:val="none"/>
          <w:shd w:fill="FFFF00" w:val="clear"/>
        </w:rPr>
      </w:pPr>
      <w:r>
        <w:rPr>
          <w:rStyle w:val="FootnoteCharacters"/>
        </w:rPr>
        <w:footnoteRef/>
      </w:r>
      <w:r>
        <w:rPr>
          <w:shd w:fill="FFFF00" w:val="clear"/>
        </w:rPr>
        <w:tab/>
        <w:t>Walker, PAC accounting 295.</w:t>
      </w:r>
    </w:p>
  </w:footnote>
  <w:footnote w:id="42">
    <w:p>
      <w:pPr>
        <w:pStyle w:val="FootnoteText"/>
        <w:bidi w:val="0"/>
        <w:jc w:val="start"/>
        <w:rPr>
          <w:highlight w:val="none"/>
          <w:shd w:fill="FFFF00" w:val="clear"/>
        </w:rPr>
      </w:pPr>
      <w:r>
        <w:rPr>
          <w:rStyle w:val="FootnoteCharacters"/>
        </w:rPr>
        <w:footnoteRef/>
      </w:r>
      <w:r>
        <w:rPr>
          <w:shd w:fill="FFFF00" w:val="clear"/>
        </w:rPr>
        <w:tab/>
        <w:t>Walker, PAC accounting 294</w:t>
      </w:r>
    </w:p>
  </w:footnote>
  <w:footnote w:id="43">
    <w:p>
      <w:pPr>
        <w:pStyle w:val="FootnoteText"/>
        <w:suppressLineNumbers/>
        <w:bidi w:val="0"/>
        <w:ind w:hanging="340" w:start="340"/>
        <w:jc w:val="start"/>
        <w:rPr/>
      </w:pPr>
      <w:r>
        <w:rPr>
          <w:rStyle w:val="FootnoteCharacters"/>
        </w:rPr>
        <w:footnoteRef/>
      </w:r>
      <w:r>
        <w:rPr/>
        <w:tab/>
        <w:t xml:space="preserve">Hardenburg </w:t>
      </w:r>
    </w:p>
  </w:footnote>
  <w:footnote w:id="44">
    <w:p>
      <w:pPr>
        <w:pStyle w:val="FootnoteText"/>
        <w:bidi w:val="0"/>
        <w:jc w:val="start"/>
        <w:rPr>
          <w:highlight w:val="none"/>
          <w:shd w:fill="FFFF00" w:val="clear"/>
        </w:rPr>
      </w:pPr>
      <w:r>
        <w:rPr>
          <w:rStyle w:val="FootnoteCharacters"/>
        </w:rPr>
        <w:footnoteRef/>
      </w:r>
      <w:r>
        <w:rPr>
          <w:shd w:fill="FFFF00" w:val="clear"/>
        </w:rPr>
        <w:tab/>
        <w:t>Serje 483</w:t>
      </w:r>
    </w:p>
  </w:footnote>
  <w:footnote w:id="45">
    <w:p>
      <w:pPr>
        <w:pStyle w:val="FootnoteText"/>
        <w:suppressLineNumbers/>
        <w:bidi w:val="0"/>
        <w:ind w:hanging="340" w:start="340"/>
        <w:jc w:val="start"/>
        <w:rPr/>
      </w:pPr>
      <w:r>
        <w:rPr>
          <w:rStyle w:val="FootnoteCharacters"/>
        </w:rPr>
        <w:footnoteRef/>
      </w:r>
      <w:r>
        <w:rPr/>
        <w:tab/>
        <w:t>cite?</w:t>
      </w:r>
    </w:p>
  </w:footnote>
  <w:footnote w:id="46">
    <w:p>
      <w:pPr>
        <w:pStyle w:val="FootnoteText"/>
        <w:bidi w:val="0"/>
        <w:jc w:val="start"/>
        <w:rPr>
          <w:shd w:fill="auto" w:val="clear"/>
        </w:rPr>
      </w:pPr>
      <w:r>
        <w:rPr>
          <w:rStyle w:val="FootnoteCharacters"/>
        </w:rPr>
        <w:footnoteRef/>
      </w:r>
      <w:r>
        <w:rPr>
          <w:shd w:fill="auto" w:val="clear"/>
        </w:rPr>
        <w:tab/>
        <w:t xml:space="preserve">Karl Marx, </w:t>
      </w:r>
      <w:r>
        <w:rPr>
          <w:i/>
          <w:shd w:fill="auto" w:val="clear"/>
        </w:rPr>
        <w:t>Capital: A Critique of Political Economy</w:t>
      </w:r>
      <w:r>
        <w:rPr>
          <w:shd w:fill="auto" w:val="clear"/>
        </w:rPr>
        <w:t>, trans. Ben Fowkes, vol. 1 (Pelican Books, 1976), 910.</w:t>
      </w:r>
    </w:p>
  </w:footnote>
  <w:footnote w:id="47">
    <w:p>
      <w:pPr>
        <w:pStyle w:val="FootnoteText"/>
        <w:suppressLineNumbers/>
        <w:bidi w:val="0"/>
        <w:ind w:hanging="340" w:start="340"/>
        <w:jc w:val="start"/>
        <w:rPr/>
      </w:pPr>
      <w:r>
        <w:rPr>
          <w:rStyle w:val="FootnoteCharacters"/>
        </w:rPr>
        <w:footnoteRef/>
      </w:r>
      <w:r>
        <w:rPr/>
        <w:tab/>
        <w:t xml:space="preserve">Marx, </w:t>
      </w:r>
      <w:r>
        <w:rPr>
          <w:i/>
        </w:rPr>
        <w:t>Capital</w:t>
      </w:r>
      <w:r>
        <w:rPr/>
        <w:t>, vol. 1, 911.</w:t>
      </w:r>
    </w:p>
  </w:footnote>
  <w:footnote w:id="48">
    <w:p>
      <w:pPr>
        <w:pStyle w:val="FootnoteText"/>
        <w:suppressLineNumbers/>
        <w:bidi w:val="0"/>
        <w:ind w:hanging="340" w:start="340"/>
        <w:jc w:val="start"/>
        <w:rPr/>
      </w:pPr>
      <w:r>
        <w:rPr>
          <w:rStyle w:val="FootnoteCharacters"/>
        </w:rPr>
        <w:footnoteRef/>
      </w:r>
      <w:r>
        <w:rPr/>
        <w:tab/>
        <w:t>Geoff Bertram, “End-Use Classification of Peruvian Imports, 1891-1972,” St Antonys College Oxford, 1977.</w:t>
      </w:r>
    </w:p>
  </w:footnote>
  <w:footnote w:id="49">
    <w:p>
      <w:pPr>
        <w:pStyle w:val="FootnoteText"/>
        <w:bidi w:val="0"/>
        <w:jc w:val="start"/>
        <w:rPr>
          <w:shd w:fill="auto" w:val="clear"/>
        </w:rPr>
      </w:pPr>
      <w:r>
        <w:rPr>
          <w:rStyle w:val="FootnoteCharacters"/>
        </w:rPr>
        <w:footnoteRef/>
      </w:r>
      <w:r>
        <w:rPr>
          <w:shd w:fill="auto" w:val="clear"/>
        </w:rPr>
        <w:tab/>
        <w:t xml:space="preserve">Dirección de Estadística del Ministerio de Fomento, </w:t>
      </w:r>
      <w:r>
        <w:rPr>
          <w:i/>
          <w:shd w:fill="auto" w:val="clear"/>
        </w:rPr>
        <w:t>Extracto Estadístico correspondiente al año 1918</w:t>
      </w:r>
      <w:r>
        <w:rPr>
          <w:shd w:fill="auto" w:val="clear"/>
        </w:rPr>
        <w:t xml:space="preserve"> (Lima, Peru, 1919), 57.</w:t>
      </w:r>
    </w:p>
  </w:footnote>
  <w:footnote w:id="50">
    <w:p>
      <w:pPr>
        <w:pStyle w:val="FootnoteText"/>
        <w:bidi w:val="0"/>
        <w:jc w:val="start"/>
        <w:rPr>
          <w:shd w:fill="auto" w:val="clear"/>
        </w:rPr>
      </w:pPr>
      <w:r>
        <w:rPr>
          <w:rStyle w:val="FootnoteCharacters"/>
        </w:rPr>
        <w:footnoteRef/>
      </w:r>
      <w:r>
        <w:rPr>
          <w:shd w:fill="auto" w:val="clear"/>
        </w:rPr>
        <w:tab/>
        <w:t xml:space="preserve">US Census Bureau, </w:t>
      </w:r>
      <w:r>
        <w:rPr>
          <w:i/>
          <w:shd w:fill="auto" w:val="clear"/>
        </w:rPr>
        <w:t>Slaughtering and Meatpacking</w:t>
      </w:r>
      <w:r>
        <w:rPr>
          <w:shd w:fill="auto" w:val="clear"/>
        </w:rPr>
        <w:t xml:space="preserve"> (1910), 345.</w:t>
      </w:r>
    </w:p>
  </w:footnote>
  <w:footnote w:id="51">
    <w:p>
      <w:pPr>
        <w:pStyle w:val="FootnoteText"/>
        <w:bidi w:val="0"/>
        <w:jc w:val="start"/>
        <w:rPr>
          <w:shd w:fill="auto" w:val="clear"/>
        </w:rPr>
      </w:pPr>
      <w:r>
        <w:rPr>
          <w:rStyle w:val="FootnoteCharacters"/>
        </w:rPr>
        <w:footnoteRef/>
      </w:r>
      <w:r>
        <w:rPr>
          <w:shd w:fill="auto" w:val="clear"/>
        </w:rPr>
        <w:tab/>
        <w:t xml:space="preserve">US Census Bureau, </w:t>
      </w:r>
      <w:r>
        <w:rPr>
          <w:i/>
          <w:shd w:fill="auto" w:val="clear"/>
        </w:rPr>
        <w:t>Slaughtering and Meatpacking,</w:t>
      </w:r>
      <w:r>
        <w:rPr>
          <w:shd w:fill="auto" w:val="clear"/>
        </w:rPr>
        <w:t xml:space="preserve"> 329.</w:t>
      </w:r>
    </w:p>
  </w:footnote>
  <w:footnote w:id="52">
    <w:p>
      <w:pPr>
        <w:pStyle w:val="FootnoteText"/>
        <w:bidi w:val="0"/>
        <w:jc w:val="start"/>
        <w:rPr>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180.</w:t>
      </w:r>
    </w:p>
  </w:footnote>
  <w:footnote w:id="53">
    <w:p>
      <w:pPr>
        <w:pStyle w:val="FootnoteText"/>
        <w:bidi w:val="0"/>
        <w:jc w:val="start"/>
        <w:rPr>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180.</w:t>
      </w:r>
    </w:p>
  </w:footnote>
  <w:footnote w:id="54">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 xml:space="preserve"> 9.</w:t>
      </w:r>
    </w:p>
  </w:footnote>
  <w:footnote w:id="55">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17.</w:t>
      </w:r>
    </w:p>
  </w:footnote>
  <w:footnote w:id="56">
    <w:p>
      <w:pPr>
        <w:pStyle w:val="FootnoteText"/>
        <w:suppressLineNumbers/>
        <w:bidi w:val="0"/>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8.</w:t>
      </w:r>
    </w:p>
  </w:footnote>
  <w:footnote w:id="57">
    <w:p>
      <w:pPr>
        <w:pStyle w:val="FootnoteText"/>
        <w:bidi w:val="0"/>
        <w:jc w:val="start"/>
        <w:rPr>
          <w:shd w:fill="FFFF00" w:val="clear"/>
        </w:rPr>
      </w:pPr>
      <w:r>
        <w:rPr>
          <w:rStyle w:val="FootnoteCharacters"/>
        </w:rPr>
        <w:footnoteRef/>
      </w:r>
      <w:r>
        <w:rPr>
          <w:shd w:fill="auto" w:val="clear"/>
        </w:rPr>
        <w:tab/>
        <w:t xml:space="preserve">Casement, </w:t>
      </w:r>
      <w:r>
        <w:rPr>
          <w:i/>
          <w:shd w:fill="auto" w:val="clear"/>
        </w:rPr>
        <w:t xml:space="preserve">Correspondence, </w:t>
      </w:r>
      <w:r>
        <w:rPr>
          <w:shd w:fill="FFFF00" w:val="clear"/>
        </w:rPr>
        <w:t>18.</w:t>
      </w:r>
    </w:p>
  </w:footnote>
  <w:footnote w:id="58">
    <w:p>
      <w:pPr>
        <w:pStyle w:val="FootnoteText"/>
        <w:bidi w:val="0"/>
        <w:jc w:val="start"/>
        <w:rPr>
          <w:shd w:fill="FFFF00"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r>
        <w:rPr>
          <w:shd w:fill="FFFF00" w:val="clear"/>
        </w:rPr>
        <w:t>8.</w:t>
      </w:r>
    </w:p>
  </w:footnote>
  <w:footnote w:id="59">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18.</w:t>
      </w:r>
    </w:p>
  </w:footnote>
  <w:footnote w:id="60">
    <w:p>
      <w:pPr>
        <w:pStyle w:val="FootnoteText"/>
        <w:suppressLineNumbers/>
        <w:bidi w:val="0"/>
        <w:ind w:hanging="340" w:start="340"/>
        <w:jc w:val="start"/>
        <w:rPr/>
      </w:pPr>
      <w:r>
        <w:rPr>
          <w:rStyle w:val="FootnoteCharacters"/>
        </w:rPr>
        <w:footnoteRef/>
      </w:r>
      <w:r>
        <w:rPr>
          <w:shd w:fill="auto" w:val="clear"/>
        </w:rPr>
        <w:tab/>
        <w:t xml:space="preserve">Casement, </w:t>
      </w:r>
      <w:r>
        <w:rPr>
          <w:i/>
          <w:shd w:fill="auto" w:val="clear"/>
        </w:rPr>
        <w:t xml:space="preserve">Correspondence, </w:t>
      </w:r>
      <w:r>
        <w:rPr/>
        <w:t>22.</w:t>
      </w:r>
    </w:p>
  </w:footnote>
</w:footnotes>
</file>

<file path=word/settings.xml><?xml version="1.0" encoding="utf-8"?>
<w:settings xmlns:w="http://schemas.openxmlformats.org/wordprocessingml/2006/main">
  <w:zoom w:percent="68"/>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Comment">
    <w:name w:val="Comment"/>
    <w:basedOn w:val="Normal"/>
    <w:qFormat/>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70</TotalTime>
  <Application>LibreOffice/24.2.7.2$Linux_X86_64 LibreOffice_project/420$Build-2</Application>
  <AppVersion>15.0000</AppVersion>
  <Pages>16</Pages>
  <Words>5156</Words>
  <Characters>27261</Characters>
  <CharactersWithSpaces>32389</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2026-06-10T11:30:00Z</dcterms:created>
  <dc:creator/>
  <dc:description/>
  <dc:language>en-US</dc:language>
  <cp:lastModifiedBy/>
  <dcterms:modified xsi:type="dcterms:W3CDTF">2026-06-19T12:58:59Z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