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Liberation Serif" w:hAnsi="Liberation Serif"/>
          <w:i/>
          <w:i/>
          <w:iCs/>
        </w:rPr>
      </w:pPr>
      <w:commentRangeStart w:id="0"/>
      <w:r>
        <w:rPr>
          <w:b w:val="false"/>
          <w:bCs w:val="false"/>
          <w:i/>
          <w:iCs/>
        </w:rPr>
        <w:t>Land</w:t>
      </w:r>
      <w:commentRangeEnd w:id="0"/>
      <w:r>
        <w:commentReference w:id="0"/>
      </w:r>
      <w:r>
        <w:rPr>
          <w:b w:val="false"/>
          <w:bCs w:val="false"/>
          <w:i/>
          <w:iCs/>
        </w:rPr>
      </w:r>
    </w:p>
    <w:p>
      <w:pPr>
        <w:pStyle w:val="Normal"/>
        <w:bidi w:val="0"/>
        <w:spacing w:lineRule="auto" w:line="480"/>
        <w:jc w:val="start"/>
        <w:rPr>
          <w:rFonts w:ascii="Liberation Serif" w:hAnsi="Liberation Serif"/>
        </w:rPr>
      </w:pPr>
      <w:r>
        <w:rPr>
          <w:b w:val="false"/>
          <w:bCs w:val="false"/>
          <w:i w:val="false"/>
          <w:iCs w:val="false"/>
        </w:rPr>
        <w:tab/>
        <w:t xml:space="preserve">Thesis: The exploitation of indigenous peoples is inextricably tied up in the exploitation of nature. </w:t>
      </w:r>
    </w:p>
    <w:p>
      <w:pPr>
        <w:pStyle w:val="Normal"/>
        <w:bidi w:val="0"/>
        <w:spacing w:lineRule="auto" w:line="480"/>
        <w:jc w:val="start"/>
        <w:rPr>
          <w:rFonts w:ascii="Liberation Serif" w:hAnsi="Liberation Serif"/>
        </w:rPr>
      </w:pPr>
      <w:r>
        <w:rPr>
          <w:b/>
          <w:bCs/>
          <w:i w:val="false"/>
          <w:iCs w:val="false"/>
        </w:rPr>
        <w:t>Point 1: Rationalization</w:t>
      </w:r>
    </w:p>
    <w:p>
      <w:pPr>
        <w:pStyle w:val="Normal"/>
        <w:bidi w:val="0"/>
        <w:spacing w:lineRule="auto" w:line="480"/>
        <w:jc w:val="start"/>
        <w:rPr>
          <w:rFonts w:ascii="Liberation Serif" w:hAnsi="Liberation Serif"/>
        </w:rPr>
      </w:pPr>
      <w:r>
        <w:rPr>
          <w:b w:val="false"/>
          <w:bCs w:val="false"/>
          <w:i w:val="false"/>
          <w:iCs w:val="false"/>
        </w:rPr>
        <w:tab/>
        <w:t>It is instructive to briefly turn back to the perspective of the anti-genocide humanism of Hardenburg and Enock. Their conception of racial hierarchy is accompanied by a certain instrumental view of nature. Like the indigenous populations, the Amazon basin itself is an untamed and untapped source of wealth which</w:t>
      </w:r>
      <w:commentRangeStart w:id="1"/>
      <w:r>
        <w:rPr>
          <w:b w:val="false"/>
          <w:bCs w:val="false"/>
          <w:i w:val="false"/>
          <w:iCs w:val="false"/>
        </w:rPr>
        <w:t xml:space="preserve"> only needs to be subject to the rationalizing discipline of capital.</w:t>
      </w:r>
      <w:r>
        <w:rPr>
          <w:b w:val="false"/>
          <w:bCs w:val="false"/>
          <w:i w:val="false"/>
          <w:iCs w:val="false"/>
        </w:rPr>
      </w:r>
      <w:commentRangeEnd w:id="1"/>
      <w:r>
        <w:commentReference w:id="1"/>
      </w:r>
      <w:r>
        <w:rPr>
          <w:b w:val="false"/>
          <w:bCs w:val="false"/>
          <w:i w:val="false"/>
          <w:iCs w:val="false"/>
        </w:rPr>
        <w:t xml:space="preserve"> </w:t>
      </w:r>
      <w:r>
        <w:rPr/>
        <w:t>As they describe the natural space of the Putumayo basin and its inhabitants, they do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w:t>
      </w:r>
      <w:r>
        <w:rPr>
          <w:rStyle w:val="FootnoteReference"/>
        </w:rPr>
        <w:footnoteReference w:id="2"/>
      </w:r>
      <w:r>
        <w:rPr/>
        <w:t xml:space="preserve"> And a page later: "The whole Amazon Valley, when it shall have been opened up, will prove to be one of the most valuable parts of the earth's surface."</w:t>
      </w:r>
      <w:r>
        <w:rPr>
          <w:rStyle w:val="FootnoteReference"/>
        </w:rPr>
        <w:footnoteReference w:id="3"/>
      </w:r>
      <w:r>
        <w:rPr/>
        <w:t xml:space="preserve"> What's odd about these quotes is that they are sandwiched between the diatribes against the "savages" of North and South America and the extended musings on the racial mixing of Spanish and Latin American races. It's written in a scattered way, as if Enock can't decide between the relative importance of accumulation and expounding his racial theories.</w:t>
      </w:r>
    </w:p>
    <w:p>
      <w:pPr>
        <w:pStyle w:val="Normal"/>
        <w:bidi w:val="0"/>
        <w:spacing w:lineRule="auto" w:line="480"/>
        <w:jc w:val="start"/>
        <w:rPr>
          <w:rFonts w:ascii="Liberation Serif" w:hAnsi="Liberation Serif"/>
        </w:rPr>
      </w:pPr>
      <w:r>
        <w:rPr>
          <w:b w:val="false"/>
          <w:bCs w:val="false"/>
          <w:i w:val="false"/>
          <w:iCs w:val="false"/>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discusses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b w:val="false"/>
          <w:bCs w:val="false"/>
          <w:i w:val="false"/>
          <w:iCs w:val="false"/>
        </w:rPr>
        <w:footnoteReference w:id="4"/>
      </w:r>
      <w:r>
        <w:rPr>
          <w:b w:val="false"/>
          <w:bCs w:val="false"/>
          <w:i w:val="false"/>
          <w:iCs w:val="false"/>
        </w:rPr>
        <w:t xml:space="preserve"> As he travels down the river, he takes samples of rocks that might indicate the presence of valuable minerals.</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commentRangeStart w:id="2"/>
      <w:r>
        <w:rPr>
          <w:b/>
          <w:bCs/>
          <w:i w:val="false"/>
          <w:iCs w:val="false"/>
        </w:rPr>
        <w:t>Point 2: Difficulties of the Region</w:t>
      </w:r>
      <w:commentRangeEnd w:id="2"/>
      <w:r>
        <w:commentReference w:id="2"/>
      </w:r>
      <w:r>
        <w:rPr>
          <w:b/>
          <w:bCs/>
          <w:i w:val="false"/>
          <w:iCs w:val="false"/>
        </w:rPr>
      </w:r>
    </w:p>
    <w:p>
      <w:pPr>
        <w:pStyle w:val="Normal"/>
        <w:bidi w:val="0"/>
        <w:spacing w:lineRule="auto" w:line="480"/>
        <w:jc w:val="start"/>
        <w:rPr>
          <w:rFonts w:ascii="Liberation Serif" w:hAnsi="Liberation Serif"/>
        </w:rPr>
      </w:pPr>
      <w:r>
        <w:rPr>
          <w:b w:val="false"/>
          <w:bCs w:val="false"/>
          <w:i w:val="false"/>
          <w:iCs w:val="false"/>
        </w:rPr>
        <w:tab/>
        <w:t>It was rubber, of course, which stood out as the most profitable venture in the Putumayo. However, the latex producing trees were in general much more difficult to manage than those in the lower Amazon. As mentioned in the previous chapter, there are several species of latex producing plants:</w:t>
      </w:r>
      <w:r>
        <w:rPr>
          <w:rStyle w:val="FootnoteReference"/>
          <w:b w:val="false"/>
          <w:bCs w:val="false"/>
          <w:i w:val="false"/>
          <w:iCs w:val="false"/>
        </w:rPr>
        <w:footnoteReference w:id="5"/>
      </w:r>
      <w:r>
        <w:rPr>
          <w:b w:val="false"/>
          <w:bCs w:val="false"/>
          <w:i w:val="false"/>
          <w:iCs w:val="false"/>
        </w:rPr>
        <w:t xml:space="preserve"> </w:t>
      </w:r>
      <w:r>
        <w:rPr>
          <w:b w:val="false"/>
          <w:bCs w:val="false"/>
          <w:i/>
          <w:iCs/>
        </w:rPr>
        <w:t>Guayule</w:t>
      </w:r>
      <w:r>
        <w:rPr>
          <w:b w:val="false"/>
          <w:bCs w:val="false"/>
          <w:i w:val="false"/>
          <w:iCs w:val="false"/>
        </w:rPr>
        <w:t xml:space="preserve"> which can grow in the US and which produces hypoallergenic rubber;</w:t>
      </w:r>
      <w:r>
        <w:rPr>
          <w:rStyle w:val="FootnoteReference"/>
          <w:b w:val="false"/>
          <w:bCs w:val="false"/>
          <w:i w:val="false"/>
          <w:iCs w:val="false"/>
        </w:rPr>
        <w:footnoteReference w:id="6"/>
      </w:r>
      <w:r>
        <w:rPr>
          <w:b w:val="false"/>
          <w:bCs w:val="false"/>
          <w:i w:val="false"/>
          <w:iCs w:val="false"/>
        </w:rPr>
        <w:t xml:space="preserve"> </w:t>
      </w:r>
      <w:r>
        <w:rPr>
          <w:b w:val="false"/>
          <w:bCs w:val="false"/>
          <w:i/>
          <w:iCs/>
        </w:rPr>
        <w:t>Landolphia Owariensis</w:t>
      </w:r>
      <w:r>
        <w:rPr>
          <w:b w:val="false"/>
          <w:bCs w:val="false"/>
          <w:i w:val="false"/>
          <w:iCs w:val="false"/>
        </w:rPr>
        <w:t>, an "fragile and easily killed" African vine which served as the principle source of rubber collected during the Congo Genocide;</w:t>
      </w:r>
      <w:r>
        <w:rPr>
          <w:rStyle w:val="FootnoteReference"/>
          <w:b w:val="false"/>
          <w:bCs w:val="false"/>
          <w:i w:val="false"/>
          <w:iCs w:val="false"/>
        </w:rPr>
        <w:footnoteReference w:id="7"/>
      </w:r>
      <w:r>
        <w:rPr>
          <w:b w:val="false"/>
          <w:bCs w:val="false"/>
          <w:i w:val="false"/>
          <w:iCs w:val="false"/>
        </w:rPr>
        <w:t xml:space="preserve"> </w:t>
      </w:r>
      <w:r>
        <w:rPr>
          <w:b w:val="false"/>
          <w:bCs w:val="false"/>
          <w:i/>
          <w:iCs/>
        </w:rPr>
        <w:t>Cryptostegia,</w:t>
      </w:r>
      <w:r>
        <w:rPr>
          <w:b w:val="false"/>
          <w:bCs w:val="false"/>
          <w:i w:val="false"/>
          <w:iCs w:val="false"/>
        </w:rPr>
        <w:t xml:space="preserve"> which was native to Madagascar but was prohibitively labor intensive to tap;</w:t>
      </w:r>
      <w:r>
        <w:rPr>
          <w:rStyle w:val="FootnoteReference"/>
          <w:b w:val="false"/>
          <w:bCs w:val="false"/>
          <w:i w:val="false"/>
          <w:iCs w:val="false"/>
        </w:rPr>
        <w:footnoteReference w:id="8"/>
      </w:r>
      <w:r>
        <w:rPr>
          <w:b w:val="false"/>
          <w:bCs w:val="false"/>
          <w:i w:val="false"/>
          <w:iCs w:val="false"/>
        </w:rPr>
        <w:t xml:space="preserve"> and literally hundreds more, including the common dandelion. Among the world's latex producing plants </w:t>
      </w:r>
      <w:r>
        <w:rPr>
          <w:b w:val="false"/>
          <w:bCs w:val="false"/>
          <w:i/>
          <w:iCs/>
        </w:rPr>
        <w:t>Hevea Brasiliensis</w:t>
      </w:r>
      <w:r>
        <w:rPr>
          <w:b w:val="false"/>
          <w:bCs w:val="false"/>
          <w:i w:val="false"/>
          <w:iCs w:val="false"/>
        </w:rPr>
        <w:t xml:space="preserve"> is by far the most productive and most widely processed, but even in its native Amazon it competed with the </w:t>
      </w:r>
      <w:r>
        <w:rPr>
          <w:b w:val="false"/>
          <w:bCs w:val="false"/>
          <w:i/>
          <w:iCs/>
        </w:rPr>
        <w:t>Castilla</w:t>
      </w:r>
      <w:r>
        <w:rPr>
          <w:b w:val="false"/>
          <w:bCs w:val="false"/>
          <w:i w:val="false"/>
          <w:iCs w:val="false"/>
        </w:rPr>
        <w:t xml:space="preserve"> plant. In fact, </w:t>
      </w:r>
      <w:r>
        <w:rPr>
          <w:b w:val="false"/>
          <w:bCs w:val="false"/>
          <w:i/>
          <w:iCs/>
        </w:rPr>
        <w:t>Castilla</w:t>
      </w:r>
      <w:r>
        <w:rPr>
          <w:b w:val="false"/>
          <w:bCs w:val="false"/>
          <w:i w:val="false"/>
          <w:iCs w:val="false"/>
        </w:rPr>
        <w:t xml:space="preserve"> processing predated </w:t>
      </w:r>
      <w:r>
        <w:rPr>
          <w:b w:val="false"/>
          <w:bCs w:val="false"/>
          <w:i/>
          <w:iCs/>
        </w:rPr>
        <w:t xml:space="preserve">Hevea </w:t>
      </w:r>
      <w:r>
        <w:rPr>
          <w:b w:val="false"/>
          <w:bCs w:val="false"/>
          <w:i w:val="false"/>
          <w:iCs w:val="false"/>
        </w:rPr>
        <w:t xml:space="preserve">among indigenous peoples, and was initially much more common with several unique advantages. The most important of these was that </w:t>
      </w:r>
      <w:r>
        <w:rPr>
          <w:b w:val="false"/>
          <w:bCs w:val="false"/>
          <w:i/>
          <w:iCs/>
        </w:rPr>
        <w:t>Castilla</w:t>
      </w:r>
      <w:r>
        <w:rPr>
          <w:b w:val="false"/>
          <w:bCs w:val="false"/>
          <w:i w:val="false"/>
          <w:iCs w:val="false"/>
        </w:rPr>
        <w:t xml:space="preserve"> trees have a much higher short term production, as the "free flow of latex from the tapping cuts ... gave more rubber with less labor than was possible with Hevea."</w:t>
      </w:r>
      <w:r>
        <w:rPr>
          <w:rStyle w:val="FootnoteReference"/>
          <w:b w:val="false"/>
          <w:bCs w:val="false"/>
          <w:i w:val="false"/>
          <w:iCs w:val="false"/>
        </w:rPr>
        <w:footnoteReference w:id="9"/>
      </w:r>
      <w:r>
        <w:rPr>
          <w:b w:val="false"/>
          <w:bCs w:val="false"/>
          <w:i w:val="false"/>
          <w:iCs w:val="false"/>
        </w:rPr>
        <w:t xml:space="preserve"> Unfortunately, "they will not produce such yields if tapped more frequently than once or twice per year,"</w:t>
      </w:r>
      <w:r>
        <w:rPr>
          <w:rStyle w:val="FootnoteReference"/>
          <w:b w:val="false"/>
          <w:bCs w:val="false"/>
          <w:i w:val="false"/>
          <w:iCs w:val="false"/>
        </w:rPr>
        <w:footnoteReference w:id="10"/>
      </w:r>
      <w:r>
        <w:rPr>
          <w:b w:val="false"/>
          <w:bCs w:val="false"/>
          <w:i w:val="false"/>
          <w:iCs w:val="false"/>
        </w:rPr>
        <w:t xml:space="preserve"> and in South America it was harvested "by felling and circling the trunks,"</w:t>
      </w:r>
      <w:r>
        <w:rPr>
          <w:rStyle w:val="FootnoteReference"/>
          <w:b w:val="false"/>
          <w:bCs w:val="false"/>
          <w:i w:val="false"/>
          <w:iCs w:val="false"/>
        </w:rPr>
        <w:footnoteReference w:id="11"/>
      </w:r>
      <w:r>
        <w:rPr>
          <w:b w:val="false"/>
          <w:bCs w:val="false"/>
          <w:i w:val="false"/>
          <w:iCs w:val="false"/>
        </w:rPr>
        <w:t xml:space="preserve"> destroying the trees. </w:t>
      </w:r>
    </w:p>
    <w:p>
      <w:pPr>
        <w:pStyle w:val="Normal"/>
        <w:bidi w:val="0"/>
        <w:spacing w:lineRule="auto" w:line="480"/>
        <w:jc w:val="start"/>
        <w:rPr>
          <w:rFonts w:ascii="Liberation Serif" w:hAnsi="Liberation Serif"/>
        </w:rPr>
      </w:pPr>
      <w:r>
        <w:rPr/>
        <w:tab/>
        <w:t xml:space="preserve">In general in 19th century, </w:t>
      </w:r>
      <w:r>
        <w:rPr>
          <w:i/>
          <w:iCs/>
        </w:rPr>
        <w:t>Hevea</w:t>
      </w:r>
      <w:r>
        <w:rPr/>
        <w:t xml:space="preserve"> latex was more common in the eastern Amazon, and </w:t>
      </w:r>
      <w:r>
        <w:rPr>
          <w:i/>
          <w:iCs/>
        </w:rPr>
        <w:t>Castilla</w:t>
      </w:r>
      <w:r>
        <w:rPr/>
        <w:t xml:space="preserve"> in the west. However because the harvesting of </w:t>
      </w:r>
      <w:r>
        <w:rPr>
          <w:i/>
          <w:iCs/>
        </w:rPr>
        <w:t xml:space="preserve">Castilla </w:t>
      </w:r>
      <w:r>
        <w:rPr>
          <w:i w:val="false"/>
          <w:iCs w:val="false"/>
        </w:rPr>
        <w:t xml:space="preserve">latex often destroyed the tree, it began to die out in the wild by the end of the nineteenth century. When </w:t>
      </w:r>
      <w:r>
        <w:rPr/>
        <w:t xml:space="preserve">Hardenburg traveled through Colombia and Peru in 1907 and 1908 he was told that "the whole region of the Upper Putumayo had once abounded in </w:t>
      </w:r>
      <w:r>
        <w:rPr>
          <w:i/>
          <w:iCs/>
        </w:rPr>
        <w:t>caucho negro,</w:t>
      </w:r>
      <w:r>
        <w:rPr/>
        <w:t xml:space="preserve">" the local name for the rubber produced by </w:t>
      </w:r>
      <w:r>
        <w:rPr>
          <w:i/>
          <w:iCs/>
        </w:rPr>
        <w:t>Castilla</w:t>
      </w:r>
      <w:r>
        <w:rPr>
          <w:i w:val="false"/>
          <w:iCs w:val="false"/>
        </w:rPr>
        <w:t xml:space="preserve"> tree, "but that at the present date very little remained, owing to the fierce onslaughts of the </w:t>
      </w:r>
      <w:r>
        <w:rPr>
          <w:i/>
          <w:iCs/>
        </w:rPr>
        <w:t xml:space="preserve">caucheros </w:t>
      </w:r>
      <w:r>
        <w:rPr>
          <w:i w:val="false"/>
          <w:iCs w:val="false"/>
        </w:rPr>
        <w:t>many years ago."</w:t>
      </w:r>
      <w:r>
        <w:rPr>
          <w:rStyle w:val="FootnoteReference"/>
          <w:i w:val="false"/>
          <w:iCs w:val="false"/>
        </w:rPr>
        <w:footnoteReference w:id="12"/>
      </w:r>
      <w:r>
        <w:rPr>
          <w:i w:val="false"/>
          <w:iCs w:val="false"/>
        </w:rPr>
        <w:t xml:space="preserve"> Thus there had been a shift to </w:t>
      </w:r>
      <w:r>
        <w:rPr>
          <w:i/>
          <w:iCs/>
        </w:rPr>
        <w:t>Hevea</w:t>
      </w:r>
      <w:r>
        <w:rPr>
          <w:i w:val="false"/>
          <w:iCs w:val="false"/>
        </w:rPr>
        <w:t xml:space="preserve">, but there are several ways in which </w:t>
      </w:r>
      <w:r>
        <w:rPr>
          <w:i/>
          <w:iCs/>
        </w:rPr>
        <w:t>Hevea</w:t>
      </w:r>
      <w:r>
        <w:rPr>
          <w:i w:val="false"/>
          <w:iCs w:val="false"/>
        </w:rPr>
        <w:t xml:space="preserve"> production in the Putumayo region was inferior to that in the lower Amazon.</w:t>
      </w:r>
    </w:p>
    <w:p>
      <w:pPr>
        <w:pStyle w:val="Normal"/>
        <w:bidi w:val="0"/>
        <w:spacing w:lineRule="auto" w:line="480"/>
        <w:jc w:val="start"/>
        <w:rPr>
          <w:rFonts w:ascii="Liberation Serif" w:hAnsi="Liberation Serif"/>
        </w:rPr>
      </w:pPr>
      <w:r>
        <w:rPr>
          <w:i w:val="false"/>
          <w:iCs w:val="false"/>
        </w:rPr>
        <w:tab/>
        <w:t xml:space="preserve">In the first place, there are several species in the genus </w:t>
      </w:r>
      <w:r>
        <w:rPr>
          <w:i/>
          <w:iCs/>
        </w:rPr>
        <w:t>Hevea</w:t>
      </w:r>
      <w:r>
        <w:rPr>
          <w:i w:val="false"/>
          <w:iCs w:val="false"/>
        </w:rPr>
        <w:t xml:space="preserve">, not all of which are as productive as the </w:t>
      </w:r>
      <w:r>
        <w:rPr>
          <w:i/>
          <w:iCs/>
        </w:rPr>
        <w:t>Hevea Brasiliensis</w:t>
      </w:r>
      <w:r>
        <w:rPr>
          <w:i w:val="false"/>
          <w:iCs w:val="false"/>
        </w:rPr>
        <w:t xml:space="preserve"> which grows in the east. The species that grow in the Putumayo are </w:t>
      </w:r>
      <w:r>
        <w:rPr>
          <w:i/>
          <w:iCs/>
        </w:rPr>
        <w:t>Hevea guianensis</w:t>
      </w:r>
      <w:r>
        <w:rPr>
          <w:i w:val="false"/>
          <w:iCs w:val="false"/>
        </w:rPr>
        <w:t xml:space="preserve"> and </w:t>
      </w:r>
      <w:r>
        <w:rPr>
          <w:i/>
          <w:iCs/>
        </w:rPr>
        <w:t>Hevea benthamiana</w:t>
      </w:r>
      <w:r>
        <w:rPr>
          <w:i w:val="false"/>
          <w:iCs w:val="false"/>
        </w:rPr>
        <w:t xml:space="preserve">, which are the "most productive and highest quality varieties within the category of weak rubber," but which in the rest of the Amazon are less exploited than </w:t>
      </w:r>
      <w:r>
        <w:rPr>
          <w:i/>
          <w:iCs/>
        </w:rPr>
        <w:t>Hevea Brasiliensis</w:t>
      </w:r>
      <w:r>
        <w:rPr>
          <w:i w:val="false"/>
          <w:iCs w:val="false"/>
        </w:rPr>
        <w:t xml:space="preserve"> "due to their low production and the occasionally sticky character of their latex which makes their rubber undesirable on the market."</w:t>
      </w:r>
      <w:r>
        <w:rPr>
          <w:rStyle w:val="FootnoteReference"/>
          <w:i w:val="false"/>
          <w:iCs w:val="false"/>
        </w:rPr>
        <w:footnoteReference w:id="13"/>
      </w:r>
      <w:r>
        <w:rPr>
          <w:i w:val="false"/>
          <w:iCs w:val="false"/>
        </w:rPr>
        <w:t xml:space="preserve"> From July 1901 to June 1902, 1.4 million kilograms of rubber passed through Iquitos, of which only a third was classified as high quality,</w:t>
      </w:r>
      <w:r>
        <w:rPr>
          <w:rStyle w:val="FootnoteReference"/>
          <w:i w:val="false"/>
          <w:iCs w:val="false"/>
        </w:rPr>
        <w:footnoteReference w:id="14"/>
      </w:r>
      <w:r>
        <w:rPr>
          <w:i w:val="false"/>
          <w:iCs w:val="false"/>
        </w:rPr>
        <w:t xml:space="preserve"> compared to about half in Brazil.</w:t>
      </w:r>
      <w:r>
        <w:rPr>
          <w:rStyle w:val="FootnoteReference"/>
          <w:i w:val="false"/>
          <w:iCs w:val="false"/>
        </w:rPr>
        <w:footnoteReference w:id="15"/>
      </w:r>
      <w:r>
        <w:rPr>
          <w:i w:val="false"/>
          <w:iCs w:val="false"/>
        </w:rPr>
        <w:t xml:space="preserve"> During the final period of Amazonian dominance on the world rubber market, roughly 1900 to 1914, fine rubber averaged a 36% premium over lower quality rubber, peaking at more than double the value in 1910.</w:t>
      </w:r>
      <w:r>
        <w:rPr>
          <w:rStyle w:val="FootnoteReference"/>
          <w:i w:val="false"/>
          <w:iCs w:val="false"/>
        </w:rPr>
        <w:footnoteReference w:id="16"/>
      </w:r>
    </w:p>
    <w:p>
      <w:pPr>
        <w:pStyle w:val="Normal"/>
        <w:bidi w:val="0"/>
        <w:spacing w:lineRule="auto" w:line="480"/>
        <w:jc w:val="start"/>
        <w:rPr>
          <w:rFonts w:ascii="Liberation Serif" w:hAnsi="Liberation Serif"/>
        </w:rPr>
      </w:pPr>
      <w:r>
        <w:rPr>
          <w:i w:val="false"/>
          <w:iCs w:val="false"/>
        </w:rPr>
        <w:tab/>
        <w:t xml:space="preserve">All of this indicates that if the Putumayo was going to compete with the rest of the Amazon, it would not be in the realm of quality. The Putumayo could produce rubber, but given its lower quality and consequently its lower price, to be profitable it would have to drive down the costs of production. This is evident in the methods of labor discipline employed by the PAC: the forced labor, the sub-starvation-level provisions, and the </w:t>
      </w:r>
      <w:commentRangeStart w:id="3"/>
      <w:r>
        <w:rPr>
          <w:i w:val="false"/>
          <w:iCs w:val="false"/>
        </w:rPr>
        <w:t>debt relation</w:t>
      </w:r>
      <w:r>
        <w:rPr>
          <w:i w:val="false"/>
          <w:iCs w:val="false"/>
        </w:rPr>
      </w:r>
      <w:commentRangeEnd w:id="3"/>
      <w:r>
        <w:commentReference w:id="3"/>
      </w:r>
      <w:r>
        <w:rPr>
          <w:i w:val="false"/>
          <w:iCs w:val="false"/>
        </w:rPr>
        <w:t xml:space="preserve"> all served to depress the cost of labor and therefore the cost of producing rubber. </w:t>
      </w:r>
      <w:r>
        <w:rPr>
          <w:i w:val="false"/>
          <w:iCs w:val="false"/>
          <w:shd w:fill="FFFF00" w:val="clear"/>
        </w:rPr>
        <w:t>[finish this para]</w:t>
      </w:r>
    </w:p>
    <w:p>
      <w:pPr>
        <w:pStyle w:val="Normal"/>
        <w:bidi w:val="0"/>
        <w:spacing w:lineRule="auto" w:line="480"/>
        <w:jc w:val="start"/>
        <w:rPr>
          <w:rFonts w:ascii="Liberation Serif" w:hAnsi="Liberation Serif"/>
        </w:rPr>
      </w:pPr>
      <w:r>
        <w:rPr/>
        <w:tab/>
        <w:t xml:space="preserve">The increased difficulty of harvesting rubber in the Putumayo vis-a-vis the rest of the Amazon appears to have been a compounding factor. In describing the harvesting patterns of tappers in the lower Amazon, Weinstein indicates that they operated several looping trails that stayed close to the vicinity of their domocile. These trails were around </w:t>
      </w:r>
      <w:r>
        <w:rPr>
          <w:shd w:fill="FFFF00" w:val="clear"/>
        </w:rPr>
        <w:t>[x kilometers - find in weinstein]</w:t>
      </w:r>
      <w:r>
        <w:rPr>
          <w:shd w:fill="auto" w:val="clear"/>
        </w:rPr>
        <w:t xml:space="preserve"> and the tappers would alternate between the trails on subsequent days and carry their rubber to their </w:t>
      </w:r>
      <w:commentRangeStart w:id="4"/>
      <w:r>
        <w:rPr>
          <w:i/>
          <w:iCs/>
          <w:shd w:fill="auto" w:val="clear"/>
        </w:rPr>
        <w:t>maistries</w:t>
      </w:r>
      <w:r>
        <w:rPr>
          <w:i/>
          <w:iCs/>
          <w:shd w:fill="auto" w:val="clear"/>
        </w:rPr>
      </w:r>
      <w:commentRangeEnd w:id="4"/>
      <w:r>
        <w:commentReference w:id="4"/>
      </w:r>
      <w:r>
        <w:rPr>
          <w:shd w:fill="auto" w:val="clear"/>
        </w:rPr>
        <w:t xml:space="preserve"> on the local waterways. </w:t>
      </w:r>
      <w:r>
        <w:rPr>
          <w:shd w:fill="FFFF00" w:val="clear"/>
        </w:rPr>
        <w:t>[insert something about long treks, forced]</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b/>
          <w:bCs/>
          <w:i w:val="false"/>
          <w:iCs w:val="false"/>
        </w:rPr>
        <w:t>Point 3: Solution to point 2 (PAC Land Valuation, assets, building etc)</w:t>
      </w:r>
    </w:p>
    <w:p>
      <w:pPr>
        <w:pStyle w:val="Normal"/>
        <w:bidi w:val="0"/>
        <w:spacing w:lineRule="auto" w:line="480"/>
        <w:jc w:val="start"/>
        <w:rPr>
          <w:b w:val="false"/>
          <w:bCs w:val="false"/>
          <w:highlight w:val="none"/>
          <w:shd w:fill="FFFF00" w:val="clear"/>
        </w:rPr>
      </w:pPr>
      <w:r>
        <w:rPr>
          <w:b w:val="false"/>
          <w:bCs w:val="false"/>
          <w:i w:val="false"/>
          <w:iCs w:val="false"/>
          <w:shd w:fill="FFFF00" w:val="clear"/>
        </w:rPr>
        <w:t>[instead of working the land to produce food, they stole it from natives and shipped it in from elsewhere. furniture and other capital goods.]</w:t>
      </w:r>
    </w:p>
    <w:p>
      <w:pPr>
        <w:pStyle w:val="Normal"/>
        <w:bidi w:val="0"/>
        <w:spacing w:lineRule="auto" w:line="480"/>
        <w:jc w:val="start"/>
        <w:rPr>
          <w:rFonts w:ascii="Liberation Serif" w:hAnsi="Liberation Serif"/>
        </w:rPr>
      </w:pPr>
      <w:r>
        <w:rPr>
          <w:b w:val="false"/>
          <w:bCs w:val="false"/>
        </w:rPr>
        <w:tab/>
        <w:t>Recent scholarship into the corporate structure and accounting practices of the PAC have provided valuable insight into the methods used to conduct profitable business in the unique economic considerations that differentiated the region from the rest of the Amazon. Although the debt-bondage relation that characterized Amazonian wild rubber production was operative in the Putumayo, it served a somewhat different purpose. Whereas in the lower Amazon, the debt relation allowed workers some level of autonomy, as has been argued convincingly by Barbara Weinstein, we have seen that in the Putumayo it served to mask the extreme levels of unfreedom that actually prevailed. This was e</w:t>
      </w:r>
      <w:commentRangeStart w:id="5"/>
      <w:r>
        <w:rPr>
          <w:b w:val="false"/>
          <w:bCs w:val="false"/>
        </w:rPr>
        <w:t xml:space="preserve">specially important for Arana's solicitation of capital investment in Britain, as the debt relation served to add a veneer of legality to a system of enslavement that otherwise would have deterred British capital investment. </w:t>
      </w:r>
      <w:r>
        <w:rPr>
          <w:b w:val="false"/>
          <w:bCs w:val="false"/>
        </w:rPr>
      </w:r>
      <w:commentRangeEnd w:id="5"/>
      <w:r>
        <w:commentReference w:id="5"/>
      </w:r>
      <w:r>
        <w:rPr>
          <w:b w:val="false"/>
          <w:bCs w:val="false"/>
        </w:rPr>
        <w:t xml:space="preserve">As the Putumayo region was contested territory between Colombia and Peru, land deeds were scarce, and the PAC was required to establish the legitimacy of its claim to the land it was exploiting. The debt relation and control over the indigenous population served as a crucial element in their assertion of land rights. </w:t>
      </w:r>
    </w:p>
    <w:p>
      <w:pPr>
        <w:pStyle w:val="Normal"/>
        <w:bidi w:val="0"/>
        <w:spacing w:lineRule="auto" w:line="480"/>
        <w:jc w:val="start"/>
        <w:rPr>
          <w:rFonts w:ascii="Liberation Serif" w:hAnsi="Liberation Serif"/>
        </w:rPr>
      </w:pPr>
      <w:r>
        <w:rPr>
          <w:b w:val="false"/>
          <w:bCs w:val="false"/>
        </w:rPr>
        <w:tab/>
        <w:t>Stephen Walker's recent article "The Peruvian Amazon Company: An Accounting Perspective" makes the case that the debt-bondage relation is one of many accounting practices which should be "no longer perceived as a purely technical endeavor that is isolated from the organizational and social context in which it is practiced. Accounting information is now comprehended as socially constructed, as value laden, and the production of accounts is recognized as a highly political process."</w:t>
      </w:r>
      <w:r>
        <w:rPr>
          <w:rStyle w:val="FootnoteReference"/>
          <w:b w:val="false"/>
          <w:bCs w:val="false"/>
        </w:rPr>
        <w:footnoteReference w:id="17"/>
      </w:r>
      <w:r>
        <w:rPr>
          <w:b w:val="false"/>
          <w:bCs w:val="false"/>
        </w:rPr>
        <w:t xml:space="preserve"> There were several anomalies in the PAC's accounting practices, each of which contributed both to the extension of control over the native population, and to disguising the violent nature of this control. Among these anomalies were the valuation of land not based on ownership rights but on access to the land's inhabitants, capital outlays for </w:t>
      </w:r>
      <w:r>
        <w:rPr>
          <w:b w:val="false"/>
          <w:bCs w:val="false"/>
          <w:i/>
          <w:iCs/>
        </w:rPr>
        <w:t>Gastos de Conquistacion</w:t>
      </w:r>
      <w:r>
        <w:rPr>
          <w:b w:val="false"/>
          <w:bCs w:val="false"/>
          <w:i w:val="false"/>
          <w:iCs w:val="false"/>
        </w:rPr>
        <w:t xml:space="preserve"> (expenses of conquest), and the charging of arbitrary debts to the Indigenous workers and treating these debts as company assets.</w:t>
      </w:r>
    </w:p>
    <w:p>
      <w:pPr>
        <w:pStyle w:val="Normal"/>
        <w:bidi w:val="0"/>
        <w:spacing w:lineRule="auto" w:line="480"/>
        <w:jc w:val="start"/>
        <w:rPr>
          <w:rFonts w:ascii="Liberation Serif" w:hAnsi="Liberation Serif"/>
        </w:rPr>
      </w:pPr>
      <w:r>
        <w:rPr>
          <w:b w:val="false"/>
          <w:bCs w:val="false"/>
          <w:i w:val="false"/>
          <w:iCs w:val="false"/>
        </w:rPr>
        <w:tab/>
        <w:t>As Hardenburg had witnessed firsthand, the PAC came into possession of many of its estates through the "</w:t>
      </w:r>
      <w:r>
        <w:rPr>
          <w:b w:val="false"/>
          <w:bCs w:val="false"/>
          <w:i w:val="false"/>
          <w:iCs w:val="false"/>
          <w:shd w:fill="auto" w:val="clear"/>
        </w:rPr>
        <w:t>systematic persecution of ... Colombian establishments ... with the object of making them abandon the region and then taking possession of their properties."</w:t>
      </w:r>
      <w:r>
        <w:rPr>
          <w:rStyle w:val="FootnoteReference"/>
          <w:b w:val="false"/>
          <w:bCs w:val="false"/>
          <w:i w:val="false"/>
          <w:iCs w:val="false"/>
          <w:shd w:fill="auto" w:val="clear"/>
        </w:rPr>
        <w:footnoteReference w:id="18"/>
      </w:r>
      <w:r>
        <w:rPr>
          <w:b w:val="false"/>
          <w:bCs w:val="false"/>
          <w:i w:val="false"/>
          <w:iCs w:val="false"/>
          <w:shd w:fill="auto" w:val="clear"/>
        </w:rPr>
        <w:t xml:space="preserve"> Casement confirms this point, but notes that the Colombians had also been settlers who exploited the native population, and he frequently mentions them as parties to raids and massacres of the indigenous people. The Colombians' purpose in dealing with any Indigenous community was the same as the PAC: "enslaving that tribe and forcing it to work rubber for them."</w:t>
      </w:r>
      <w:r>
        <w:rPr>
          <w:rStyle w:val="FootnoteReference"/>
          <w:b w:val="false"/>
          <w:bCs w:val="false"/>
          <w:i w:val="false"/>
          <w:iCs w:val="false"/>
          <w:shd w:fill="auto" w:val="clear"/>
        </w:rPr>
        <w:footnoteReference w:id="19"/>
      </w:r>
      <w:r>
        <w:rPr>
          <w:b w:val="false"/>
          <w:bCs w:val="false"/>
        </w:rPr>
        <w:t xml:space="preserve"> </w:t>
      </w:r>
      <w:commentRangeStart w:id="6"/>
      <w:r>
        <w:rPr>
          <w:b w:val="false"/>
          <w:bCs w:val="false"/>
        </w:rPr>
        <w:t>Although "[i]</w:t>
      </w:r>
      <w:r>
        <w:rPr>
          <w:b w:val="false"/>
          <w:bCs w:val="false"/>
          <w:i w:val="false"/>
          <w:iCs w:val="false"/>
          <w:shd w:fill="auto" w:val="clear"/>
        </w:rPr>
        <w:t>n some cases these Colombian settlers appear to have held concessions from their government,</w:t>
      </w:r>
      <w:r>
        <w:rPr>
          <w:b w:val="false"/>
          <w:bCs w:val="false"/>
        </w:rPr>
        <w:t>" in the contested region of the Putumayo the legality of land titles was shaky. At any rate by the time the estates passed into the hands of the Peruvians, the majority of their estates did not have legal titles, and "[t]he PAC's chairman conceded that the company held only squatter's rights."</w:t>
      </w:r>
      <w:r>
        <w:rPr>
          <w:rStyle w:val="FootnoteReference"/>
          <w:b w:val="false"/>
          <w:bCs w:val="false"/>
        </w:rPr>
        <w:footnoteReference w:id="20"/>
      </w:r>
      <w:r>
        <w:rPr>
          <w:b w:val="false"/>
          <w:bCs w:val="false"/>
        </w:rPr>
        <w:t xml:space="preserve"> The PAC's rights to the estates had been asserted by extra-legal means and persisted through the overwhelming use of force against anyone who might challenge them - native or Colombian.</w:t>
      </w:r>
      <w:commentRangeEnd w:id="6"/>
      <w:r>
        <w:commentReference w:id="6"/>
      </w:r>
      <w:r>
        <w:rPr>
          <w:b w:val="false"/>
          <w:bCs w:val="false"/>
        </w:rPr>
      </w:r>
    </w:p>
    <w:p>
      <w:pPr>
        <w:pStyle w:val="Normal"/>
        <w:bidi w:val="0"/>
        <w:spacing w:lineRule="auto" w:line="480"/>
        <w:jc w:val="start"/>
        <w:rPr>
          <w:rFonts w:ascii="Liberation Serif" w:hAnsi="Liberation Serif"/>
        </w:rPr>
      </w:pPr>
      <w:r>
        <w:rPr>
          <w:b w:val="false"/>
          <w:bCs w:val="false"/>
        </w:rPr>
        <w:tab/>
        <w:t>Far more important than a legal claim to title over the Putumayo was the ability to effectively exploit the land's inhabitants. Whereas land assets are often tallied on a per-acre basis, "PAC accounting practices suggested that valuation was primarily understood to be a function of the presence of exploitable labor."</w:t>
      </w:r>
      <w:r>
        <w:rPr>
          <w:rStyle w:val="FootnoteReference"/>
          <w:b w:val="false"/>
          <w:bCs w:val="false"/>
        </w:rPr>
        <w:footnoteReference w:id="21"/>
      </w:r>
      <w:r>
        <w:rPr>
          <w:b w:val="false"/>
          <w:bCs w:val="false"/>
        </w:rPr>
        <w:t xml:space="preserve"> </w:t>
      </w:r>
      <w:commentRangeStart w:id="7"/>
      <w:r>
        <w:rPr>
          <w:b w:val="false"/>
          <w:bCs w:val="false"/>
          <w:strike/>
        </w:rPr>
        <w:t>Unlike in the lower Amazon, where labor was scarce, in the Putumayo "there was a strategic advantage constituted by the large Indian population that had not been decimated by the advances of slave traffickers and Luso-Brazilian settlers of the seventeenth and eighteenth centuries."</w:t>
      </w:r>
      <w:r>
        <w:rPr>
          <w:rStyle w:val="FootnoteReference"/>
          <w:b w:val="false"/>
          <w:bCs w:val="false"/>
          <w:strike/>
        </w:rPr>
        <w:footnoteReference w:id="22"/>
      </w:r>
      <w:r>
        <w:rPr>
          <w:b w:val="false"/>
          <w:bCs w:val="false"/>
          <w:strike/>
        </w:rPr>
        <w:t xml:space="preserve"> </w:t>
      </w:r>
      <w:r>
        <w:rPr>
          <w:b w:val="false"/>
          <w:bCs w:val="false"/>
          <w:strike/>
        </w:rPr>
      </w:r>
      <w:commentRangeEnd w:id="7"/>
      <w:r>
        <w:commentReference w:id="7"/>
      </w:r>
      <w:r>
        <w:rPr>
          <w:b w:val="false"/>
          <w:bCs w:val="false"/>
        </w:rPr>
        <w:t xml:space="preserve">In a region spanning half a continent that was full of rubber, it was primarily the presence of ready workers that would not have to be imported that made the Putumayo valuable. </w:t>
      </w:r>
    </w:p>
    <w:p>
      <w:pPr>
        <w:pStyle w:val="Normal"/>
        <w:bidi w:val="0"/>
        <w:spacing w:lineRule="auto" w:line="480"/>
        <w:jc w:val="start"/>
        <w:rPr>
          <w:rFonts w:ascii="Liberation Serif" w:hAnsi="Liberation Serif"/>
        </w:rPr>
      </w:pPr>
      <w:r>
        <w:rPr>
          <w:b w:val="false"/>
          <w:bCs w:val="false"/>
        </w:rPr>
        <w:tab/>
        <w:t>Workers would not have to be imported, but</w:t>
      </w:r>
      <w:r>
        <w:rPr>
          <w:b w:val="false"/>
          <w:bCs w:val="false"/>
        </w:rPr>
        <w:t xml:space="preserve"> as we have seen</w:t>
      </w:r>
      <w:r>
        <w:rPr>
          <w:b w:val="false"/>
          <w:bCs w:val="false"/>
        </w:rPr>
        <w:t xml:space="preserve"> the native Putumayans did not accept enslavement quietly. In fact, their resistance cost the company signifcantly. In order to subdue the indigenous population, the PAC brought in Black Barbadian migrants to serve as overseers, and layed out significant capital on </w:t>
      </w:r>
      <w:r>
        <w:rPr>
          <w:b w:val="false"/>
          <w:bCs w:val="false"/>
          <w:i/>
          <w:iCs/>
        </w:rPr>
        <w:t>gastos de conquistacion</w:t>
      </w:r>
      <w:r>
        <w:rPr>
          <w:b w:val="false"/>
          <w:bCs w:val="false"/>
          <w:i w:val="false"/>
          <w:iCs w:val="false"/>
        </w:rPr>
        <w:t>. These armaments, though not representing a large portion of the company's assets, were significant enough to appear on a 1909 financial audit of the PAC, where they were lumped into a category of "office furniture, armaments, and moveable plant."</w:t>
      </w:r>
      <w:r>
        <w:rPr>
          <w:rStyle w:val="FootnoteReference"/>
          <w:b w:val="false"/>
          <w:bCs w:val="false"/>
          <w:i w:val="false"/>
          <w:iCs w:val="false"/>
        </w:rPr>
        <w:footnoteReference w:id="23"/>
      </w:r>
      <w:r>
        <w:rPr>
          <w:b w:val="false"/>
          <w:bCs w:val="false"/>
          <w:i w:val="false"/>
          <w:iCs w:val="false"/>
        </w:rPr>
        <w:t xml:space="preserve"> The head of the PAC, J.C. Arana, argued that "conquest referred to attracting Indians, a process of converting uncivilized people to a realtionship of exchange," but a later investigative committee "affirmed that the </w:t>
      </w:r>
      <w:r>
        <w:rPr>
          <w:b w:val="false"/>
          <w:bCs w:val="false"/>
          <w:i/>
          <w:iCs/>
        </w:rPr>
        <w:t>Gastos de Conquistacion</w:t>
      </w:r>
      <w:r>
        <w:rPr>
          <w:b w:val="false"/>
          <w:bCs w:val="false"/>
          <w:i w:val="false"/>
          <w:iCs w:val="false"/>
        </w:rPr>
        <w:t xml:space="preserve"> represented the cost of the manhunts and slave raids, which 'were regarded as preliminary expenses' of starting a section for collecting rubber."</w:t>
      </w:r>
      <w:r>
        <w:rPr>
          <w:rStyle w:val="FootnoteReference"/>
          <w:b w:val="false"/>
          <w:bCs w:val="false"/>
          <w:i w:val="false"/>
          <w:iCs w:val="false"/>
        </w:rPr>
        <w:footnoteReference w:id="24"/>
      </w:r>
      <w:r>
        <w:rPr>
          <w:b w:val="false"/>
          <w:bCs w:val="false"/>
          <w:i w:val="false"/>
          <w:iCs w:val="false"/>
        </w:rPr>
        <w:t xml:space="preserve"> </w:t>
      </w:r>
    </w:p>
    <w:p>
      <w:pPr>
        <w:pStyle w:val="Normal"/>
        <w:bidi w:val="0"/>
        <w:spacing w:lineRule="auto" w:line="480"/>
        <w:jc w:val="start"/>
        <w:rPr>
          <w:rFonts w:ascii="Liberation Serif" w:hAnsi="Liberation Serif"/>
        </w:rPr>
      </w:pPr>
      <w:r>
        <w:rPr>
          <w:b w:val="false"/>
          <w:bCs w:val="false"/>
          <w:i w:val="false"/>
          <w:iCs w:val="false"/>
        </w:rPr>
        <w:tab/>
        <w:t>The appearance of a large amount of munitions on a list of company assets offers us a glimpse into the violence that underpinned the operations of the PAC. It is a sort of economic residue of non-economic compulsion, and it demonstrates a tension at the heart of the wild rubber industry. In order to cheaply extract rubber from the Putumayo region, the company employed genocidal violence against the local population. But in order to participate in the global economy, all assets had to be accounted for and framed as legitimate - and so the guns were lumped in with office furniture. The contradiction between the violence of the gun and the quieter compulsion of the balance sheet is a fundamental dynamic of global capitalism that plays out in the subjugation of peripheral regions and the tranformation of people into workers.</w:t>
      </w:r>
    </w:p>
    <w:p>
      <w:pPr>
        <w:pStyle w:val="Normal"/>
        <w:bidi w:val="0"/>
        <w:spacing w:lineRule="auto" w:line="480"/>
        <w:jc w:val="start"/>
        <w:rPr>
          <w:highlight w:val="none"/>
          <w:shd w:fill="FFFF00" w:val="clear"/>
        </w:rPr>
      </w:pPr>
      <w:r>
        <w:rPr>
          <w:b w:val="false"/>
          <w:bCs w:val="false"/>
          <w:i w:val="false"/>
          <w:iCs w:val="false"/>
          <w:shd w:fill="FFFF00" w:val="clear"/>
        </w:rPr>
        <w:t>[something about the state, as well as the aftermath, and arana getting paid by the colombians]</w:t>
      </w:r>
    </w:p>
    <w:p>
      <w:pPr>
        <w:pStyle w:val="Normal"/>
        <w:bidi w:val="0"/>
        <w:spacing w:lineRule="auto" w:line="480"/>
        <w:jc w:val="start"/>
        <w:rPr>
          <w:rFonts w:ascii="Liberation Serif" w:hAnsi="Liberation Serif"/>
          <w:b w:val="false"/>
          <w:bCs w:val="false"/>
          <w:highlight w:val="none"/>
          <w:shd w:fill="FFFF00" w:val="clear"/>
        </w:rPr>
      </w:pPr>
      <w:r>
        <w:rPr>
          <w:b w:val="false"/>
          <w:bCs w:val="false"/>
          <w:i w:val="false"/>
          <w:iCs w:val="false"/>
          <w:shd w:fill="FFFF00" w:val="clear"/>
        </w:rPr>
        <w:t>[what to do with the stuff below:]</w:t>
      </w:r>
    </w:p>
    <w:p>
      <w:pPr>
        <w:pStyle w:val="Normal"/>
        <w:bidi w:val="0"/>
        <w:spacing w:lineRule="auto" w:line="480"/>
        <w:jc w:val="start"/>
        <w:rPr>
          <w:rFonts w:ascii="Liberation Serif" w:hAnsi="Liberation Serif"/>
        </w:rPr>
      </w:pPr>
      <w:r>
        <w:rPr>
          <w:b w:val="false"/>
          <w:bCs w:val="false"/>
          <w:i w:val="false"/>
          <w:iCs w:val="false"/>
        </w:rPr>
        <w:tab/>
        <w:t xml:space="preserve">The outsized stock of weapons kept on the PAC undermine the frequent characterizations such as those made by Casement that the Amazonian peoples were "by nature docile and obedient" and whose "weakness of character and docility of temperament are not match for the dominating ability of those with European blood in their veins." While Casement may have been trying to garner sympathy by framing the indigenous groups as passive victims, in reality the native Putumayans actively resisted colonization. This resistance would then be used by the oppressors as justification for violent reprisal. </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b w:val="false"/>
          <w:bCs w:val="false"/>
          <w:i w:val="false"/>
          <w:iCs w:val="false"/>
        </w:rPr>
        <w:t>Point 4: State Interest</w:t>
      </w:r>
    </w:p>
    <w:p>
      <w:pPr>
        <w:pStyle w:val="Normal"/>
        <w:bidi w:val="0"/>
        <w:spacing w:lineRule="auto" w:line="480"/>
        <w:jc w:val="start"/>
        <w:rPr>
          <w:rFonts w:ascii="Liberation Serif" w:hAnsi="Liberation Serif"/>
        </w:rPr>
      </w:pPr>
      <w:r>
        <w:rPr>
          <w:b w:val="false"/>
          <w:bCs w:val="false"/>
        </w:rPr>
        <w:t>[something like - in an area where land claims are contested, they can be reinforced by violence. state was interested in this etc.]</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r>
    </w:p>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15T11:25:50Z" w:initials="">
    <w:p>
      <w:pPr>
        <w:overflowPunct w:val="false"/>
        <w:bidi w:val="0"/>
        <w:rPr/>
      </w:pPr>
      <w:r>
        <w:rPr>
          <w:rFonts w:eastAsia="DejaVu Sans" w:cs="Noto Sans Arabic"/>
          <w:kern w:val="0"/>
          <w:lang w:val="en-US" w:eastAsia="en-US" w:bidi="en-US"/>
        </w:rPr>
        <w:t>Make this section more about land</w:t>
      </w:r>
    </w:p>
  </w:comment>
  <w:comment w:id="1" w:author="Unknown Author" w:date="2026-06-16T09:52:37Z" w:initials="">
    <w:p>
      <w:pPr>
        <w:overflowPunct w:val="true"/>
        <w:bidi w:val="0"/>
        <w:rPr/>
      </w:pPr>
      <w:r>
        <w:rPr>
          <w:rFonts w:eastAsia="DejaVu Sans" w:cs="Noto Sans Arabic"/>
          <w:kern w:val="0"/>
          <w:lang w:val="en-US" w:eastAsia="en-US" w:bidi="en-US"/>
        </w:rPr>
        <w:t>But my whole point is that capital is not exactly a rationalizing force</w:t>
      </w:r>
    </w:p>
  </w:comment>
  <w:comment w:id="2" w:author="Unknown Author" w:date="2026-06-17T17:50:50Z" w:initials="">
    <w:p>
      <w:pPr>
        <w:overflowPunct w:val="false"/>
        <w:rPr/>
      </w:pPr>
      <w:r>
        <w:rPr>
          <w:rFonts w:eastAsia="DejaVu Sans" w:cs="Noto Sans Arabic"/>
          <w:kern w:val="0"/>
          <w:lang w:val="en-US" w:eastAsia="en-US" w:bidi="en-US"/>
        </w:rPr>
        <w:t>My tenses are all over the fucking place</w:t>
      </w:r>
    </w:p>
  </w:comment>
  <w:comment w:id="3" w:author="Unknown Author" w:date="2026-06-18T16:41:35Z" w:initials="">
    <w:p>
      <w:pPr>
        <w:overflowPunct w:val="true"/>
        <w:rPr/>
      </w:pPr>
      <w:r>
        <w:rPr>
          <w:rFonts w:eastAsia="DejaVu Sans" w:cs="Noto Sans Arabic"/>
          <w:kern w:val="0"/>
          <w:lang w:val="en-US" w:eastAsia="en-US" w:bidi="en-US"/>
        </w:rPr>
        <w:t>I need to have talked about this higher up, maybe in the labor section</w:t>
      </w:r>
    </w:p>
  </w:comment>
  <w:comment w:id="4" w:author="Unknown Author" w:date="2026-06-18T18:30:36Z" w:initials="">
    <w:p>
      <w:pPr>
        <w:overflowPunct w:val="true"/>
        <w:rPr/>
      </w:pPr>
      <w:r>
        <w:rPr>
          <w:rFonts w:eastAsia="DejaVu Sans" w:cs="Noto Sans Arabic"/>
          <w:kern w:val="0"/>
          <w:lang w:val="en-US" w:eastAsia="en-US" w:bidi="en-US"/>
        </w:rPr>
        <w:t>Is this right?</w:t>
      </w:r>
    </w:p>
  </w:comment>
  <w:comment w:id="5" w:author="Unknown Author" w:date="2026-06-04T10:52:03Z" w:initials="">
    <w:p>
      <w:pPr>
        <w:overflowPunct w:val="true"/>
        <w:bidi w:val="0"/>
        <w:rPr/>
      </w:pPr>
      <w:r>
        <w:rPr>
          <w:rFonts w:eastAsia="DejaVu Sans" w:cs="Noto Sans Arabic"/>
          <w:kern w:val="0"/>
          <w:lang w:val="en-US" w:eastAsia="en-US" w:bidi="en-US"/>
        </w:rPr>
        <w:t>Some citation.</w:t>
      </w:r>
    </w:p>
  </w:comment>
  <w:comment w:id="6" w:author="Unknown Author" w:date="2026-06-18T18:49:40Z" w:initials="">
    <w:p>
      <w:pPr>
        <w:overflowPunct w:val="true"/>
        <w:rPr/>
      </w:pPr>
      <w:r>
        <w:rPr>
          <w:rFonts w:eastAsia="DejaVu Sans" w:cs="Noto Sans Arabic"/>
          <w:kern w:val="0"/>
          <w:lang w:val="en-US" w:eastAsia="en-US" w:bidi="en-US"/>
        </w:rPr>
        <w:t xml:space="preserve">Highlight this more. </w:t>
      </w:r>
    </w:p>
  </w:comment>
  <w:comment w:id="7" w:author="Unknown Author" w:date="2026-06-13T13:32:55Z" w:initials="">
    <w:p>
      <w:pPr>
        <w:overflowPunct w:val="true"/>
        <w:bidi w:val="0"/>
        <w:rPr/>
      </w:pPr>
      <w:r>
        <w:rPr>
          <w:rFonts w:eastAsia="DejaVu Sans" w:cs="Noto Sans Arabic"/>
          <w:kern w:val="0"/>
          <w:lang w:val="en-US" w:eastAsia="en-US" w:bidi="en-US"/>
        </w:rPr>
        <w:t>I already cited this above. Did I? Or did I move it down below?</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ootnoteCharacters"/>
        </w:rPr>
        <w:footnoteRef/>
      </w:r>
      <w:r>
        <w:rPr/>
        <w:tab/>
        <w:t>Hardenburg p 36</w:t>
      </w:r>
    </w:p>
    <w:p>
      <w:pPr>
        <w:pStyle w:val="FootnoteText"/>
        <w:bidi w:val="0"/>
        <w:jc w:val="start"/>
        <w:rPr/>
      </w:pPr>
      <w:r>
        <w:rPr/>
      </w:r>
    </w:p>
  </w:footnote>
  <w:footnote w:id="3">
    <w:p>
      <w:pPr>
        <w:pStyle w:val="FootnoteText"/>
        <w:bidi w:val="0"/>
        <w:jc w:val="start"/>
        <w:rPr/>
      </w:pPr>
      <w:r>
        <w:rPr>
          <w:rStyle w:val="FootnoteCharacters"/>
        </w:rPr>
        <w:footnoteRef/>
      </w:r>
      <w:r>
        <w:rPr/>
        <w:tab/>
        <w:t>Hardenburg p 37</w:t>
      </w:r>
    </w:p>
  </w:footnote>
  <w:footnote w:id="4">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5">
    <w:p>
      <w:pPr>
        <w:pStyle w:val="FootnoteText"/>
        <w:rPr/>
      </w:pPr>
      <w:r>
        <w:rPr>
          <w:rStyle w:val="FootnoteCharacters"/>
        </w:rPr>
        <w:footnoteRef/>
      </w:r>
      <w:r>
        <w:rPr/>
        <w:tab/>
        <w:t xml:space="preserve">For a much more extensive list and analysis of the many latex producing plants, see Harold Brown, </w:t>
      </w:r>
      <w:r>
        <w:rPr>
          <w:i/>
        </w:rPr>
        <w:t>Rubber: Its Sources, Cultivation and Preparation</w:t>
      </w:r>
      <w:r>
        <w:rPr/>
        <w:t xml:space="preserve"> (J. Murray, 1914).</w:t>
      </w:r>
    </w:p>
  </w:footnote>
  <w:footnote w:id="6">
    <w:p>
      <w:pPr>
        <w:pStyle w:val="FootnoteText"/>
        <w:rPr/>
      </w:pPr>
      <w:r>
        <w:rPr>
          <w:rStyle w:val="FootnoteCharacters"/>
        </w:rPr>
        <w:footnoteRef/>
      </w:r>
      <w:r>
        <w:rPr/>
        <w:tab/>
        <w:t xml:space="preserve">Katrina Cornish et al., “Guayule Latex Provides a Solution for the Critical Demands of the Non-Allergenic Medical Products Market,” </w:t>
      </w:r>
      <w:r>
        <w:rPr>
          <w:i/>
        </w:rPr>
        <w:t>Agro Food Industry Hi Tech</w:t>
      </w:r>
      <w:r>
        <w:rPr/>
        <w:t xml:space="preserve"> 12, no. 6 (2001): 27–32.</w:t>
      </w:r>
    </w:p>
  </w:footnote>
  <w:footnote w:id="7">
    <w:p>
      <w:pPr>
        <w:pStyle w:val="FootnoteText"/>
        <w:rPr/>
      </w:pPr>
      <w:r>
        <w:rPr>
          <w:rStyle w:val="FootnoteCharacters"/>
        </w:rPr>
        <w:footnoteRef/>
      </w:r>
      <w:r>
        <w:rPr/>
        <w:tab/>
        <w:t xml:space="preserve">Robert Harms, “The End of Red Rubber: A Reassessment,” </w:t>
      </w:r>
      <w:r>
        <w:rPr>
          <w:i/>
        </w:rPr>
        <w:t>The Journal of African History</w:t>
      </w:r>
      <w:r>
        <w:rPr/>
        <w:t xml:space="preserve"> 16, no. 1 (1975): 75.</w:t>
      </w:r>
    </w:p>
  </w:footnote>
  <w:footnote w:id="8">
    <w:p>
      <w:pPr>
        <w:pStyle w:val="FootnoteText"/>
        <w:rPr/>
      </w:pPr>
      <w:r>
        <w:rPr>
          <w:rStyle w:val="FootnoteCharacters"/>
        </w:rPr>
        <w:footnoteRef/>
      </w:r>
      <w:r>
        <w:rPr/>
        <w:tab/>
        <w:t xml:space="preserve">SR Hoover et al., “Cryptostegia Leaf Rubber.,” </w:t>
      </w:r>
      <w:r>
        <w:rPr>
          <w:i/>
        </w:rPr>
        <w:t>Industrial &amp; Engineering Chemistry</w:t>
      </w:r>
      <w:r>
        <w:rPr/>
        <w:t xml:space="preserve"> 37, no. 9 (1945): 803–9.</w:t>
      </w:r>
    </w:p>
  </w:footnote>
  <w:footnote w:id="9">
    <w:p>
      <w:pPr>
        <w:pStyle w:val="FootnoteText"/>
        <w:rPr/>
      </w:pPr>
      <w:r>
        <w:rPr>
          <w:rStyle w:val="FootnoteCharacters"/>
        </w:rPr>
        <w:footnoteRef/>
      </w:r>
      <w:r>
        <w:rPr/>
        <w:tab/>
        <w:t xml:space="preserve">EM Blair and TF Ford, “Castilla as a Western Hemisphere Rubber.,” </w:t>
      </w:r>
      <w:r>
        <w:rPr>
          <w:i/>
        </w:rPr>
        <w:t>Industrial &amp; Engineering Chemistry</w:t>
      </w:r>
      <w:r>
        <w:rPr/>
        <w:t xml:space="preserve"> 37, no. 8 (1945): 760.</w:t>
      </w:r>
    </w:p>
  </w:footnote>
  <w:footnote w:id="10">
    <w:p>
      <w:pPr>
        <w:pStyle w:val="FootnoteText"/>
        <w:rPr/>
      </w:pPr>
      <w:r>
        <w:rPr>
          <w:rStyle w:val="FootnoteCharacters"/>
        </w:rPr>
        <w:footnoteRef/>
      </w:r>
      <w:r>
        <w:rPr/>
        <w:tab/>
        <w:t xml:space="preserve">Ernest P. Imle, “Hevea Rubber: Past and Future,” </w:t>
      </w:r>
      <w:r>
        <w:rPr>
          <w:i/>
        </w:rPr>
        <w:t>Economic Botany</w:t>
      </w:r>
      <w:r>
        <w:rPr/>
        <w:t xml:space="preserve"> 32, no. 3 (1978): 264–77, JSTOR.</w:t>
      </w:r>
    </w:p>
  </w:footnote>
  <w:footnote w:id="11">
    <w:p>
      <w:pPr>
        <w:pStyle w:val="FootnoteText"/>
        <w:rPr>
          <w:highlight w:val="none"/>
          <w:shd w:fill="FFFF00" w:val="clear"/>
        </w:rPr>
      </w:pPr>
      <w:r>
        <w:rPr>
          <w:rStyle w:val="FootnoteCharacters"/>
        </w:rPr>
        <w:footnoteRef/>
      </w:r>
      <w:r>
        <w:rPr>
          <w:shd w:fill="FFFF00" w:val="clear"/>
        </w:rPr>
        <w:tab/>
        <w:t>Cook, p 206</w:t>
      </w:r>
    </w:p>
  </w:footnote>
  <w:footnote w:id="12">
    <w:p>
      <w:pPr>
        <w:pStyle w:val="FootnoteText"/>
        <w:rPr/>
      </w:pPr>
      <w:r>
        <w:rPr>
          <w:rStyle w:val="FootnoteCharacters"/>
        </w:rPr>
        <w:footnoteRef/>
      </w:r>
      <w:r>
        <w:rPr/>
        <w:tab/>
        <w:t>Hardenburg 95</w:t>
      </w:r>
    </w:p>
  </w:footnote>
  <w:footnote w:id="13">
    <w:p>
      <w:pPr>
        <w:pStyle w:val="FootnoteText"/>
        <w:rPr/>
      </w:pPr>
      <w:r>
        <w:rPr>
          <w:rStyle w:val="FootnoteCharacters"/>
        </w:rPr>
        <w:footnoteRef/>
      </w:r>
      <w:r>
        <w:rPr/>
        <w:tab/>
        <w:t xml:space="preserve"> </w:t>
      </w:r>
      <w:r>
        <w:rPr/>
        <w:t xml:space="preserve">"La </w:t>
      </w:r>
      <w:r>
        <w:rPr>
          <w:b/>
          <w:bCs/>
        </w:rPr>
        <w:t>Hevea</w:t>
      </w:r>
      <w:r>
        <w:rPr/>
        <w:t xml:space="preserve"> </w:t>
      </w:r>
      <w:r>
        <w:rPr>
          <w:b/>
          <w:bCs/>
        </w:rPr>
        <w:t>guianensis</w:t>
      </w:r>
      <w:r>
        <w:rPr/>
        <w:t xml:space="preserve"> y su variedad </w:t>
      </w:r>
      <w:r>
        <w:rPr>
          <w:b/>
          <w:bCs/>
        </w:rPr>
        <w:t>lutea</w:t>
      </w:r>
      <w:r>
        <w:rPr/>
        <w:t xml:space="preserve"> y la </w:t>
      </w:r>
      <w:r>
        <w:rPr>
          <w:b/>
          <w:bCs/>
        </w:rPr>
        <w:t>Hevea</w:t>
      </w:r>
      <w:r>
        <w:rPr/>
        <w:t xml:space="preserve"> </w:t>
      </w:r>
      <w:r>
        <w:rPr>
          <w:b/>
          <w:bCs/>
        </w:rPr>
        <w:t>benthamiana</w:t>
      </w:r>
      <w:r>
        <w:rPr/>
        <w:t xml:space="preserve"> son las tres especies y variedades más productivas y de mejor calidad entre las denominadas siringas fracas o jebes débiles, es decir, gomas de Hevea que tienden a perder mas peso que las siringas verdaderas y que, por lo tanto, tienen menor valor en el mercado. Ademéas, son de extraccién más dificil. Con las demás especies y variedades de jebes débiles sólo se realiza su explotación en casos excepcionales, debido a su produccién muy baja y, en algunos casos, a las caracteristicas pegajosas del látex que hace la goma indeseable en el mercado (siringaranas)."  Camilo Dominguez and Augusto Gomez, </w:t>
      </w:r>
      <w:r>
        <w:rPr>
          <w:i/>
        </w:rPr>
        <w:t>La Economia Extractiva En La Amazonia Colombiana: 1850 - 1930</w:t>
      </w:r>
      <w:r>
        <w:rPr/>
        <w:t xml:space="preserve"> (Tropembos Colombia, 1990), 93.</w:t>
      </w:r>
    </w:p>
  </w:footnote>
  <w:footnote w:id="14">
    <w:p>
      <w:pPr>
        <w:pStyle w:val="FootnoteTex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15">
    <w:p>
      <w:pPr>
        <w:pStyle w:val="FootnoteText"/>
        <w:rPr/>
      </w:pPr>
      <w:r>
        <w:rPr>
          <w:rStyle w:val="FootnoteCharacters"/>
        </w:rPr>
        <w:footnoteRef/>
      </w:r>
      <w:r>
        <w:rPr/>
        <w:tab/>
        <w:t xml:space="preserve">Randolph R. Resor, “Rubber in Brazil: Dominance and Collapse, 1876-1945,” </w:t>
      </w:r>
      <w:r>
        <w:rPr>
          <w:i/>
        </w:rPr>
        <w:t>The Business History Review</w:t>
      </w:r>
      <w:r>
        <w:rPr/>
        <w:t xml:space="preserve"> 51, no. 3 (1977), 353</w:t>
      </w:r>
    </w:p>
  </w:footnote>
  <w:footnote w:id="16">
    <w:p>
      <w:pPr>
        <w:pStyle w:val="FootnoteText"/>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 43.</w:t>
      </w:r>
    </w:p>
  </w:footnote>
  <w:footnote w:id="17">
    <w:p>
      <w:pPr>
        <w:pStyle w:val="FootnoteText"/>
        <w:bidi w:val="0"/>
        <w:jc w:val="start"/>
        <w:rPr>
          <w:highlight w:val="none"/>
          <w:shd w:fill="FFFF00" w:val="clear"/>
        </w:rPr>
      </w:pPr>
      <w:r>
        <w:rPr>
          <w:rStyle w:val="FootnoteCharacters"/>
        </w:rPr>
        <w:footnoteRef/>
      </w:r>
      <w:r>
        <w:rPr>
          <w:shd w:fill="FFFF00" w:val="clear"/>
        </w:rPr>
        <w:tab/>
        <w:t>PAC Accounting 282</w:t>
      </w:r>
    </w:p>
  </w:footnote>
  <w:footnote w:id="18">
    <w:p>
      <w:pPr>
        <w:pStyle w:val="FootnoteText"/>
        <w:bidi w:val="0"/>
        <w:jc w:val="start"/>
        <w:rPr>
          <w:highlight w:val="none"/>
          <w:shd w:fill="FFFF00" w:val="clear"/>
        </w:rPr>
      </w:pPr>
      <w:r>
        <w:rPr>
          <w:rStyle w:val="FootnoteCharacters"/>
        </w:rPr>
        <w:footnoteRef/>
      </w:r>
      <w:r>
        <w:rPr>
          <w:shd w:fill="FFFF00" w:val="clear"/>
        </w:rPr>
        <w:tab/>
        <w:t>Hardenburg 201</w:t>
      </w:r>
    </w:p>
  </w:footnote>
  <w:footnote w:id="19">
    <w:p>
      <w:pPr>
        <w:pStyle w:val="FootnoteText"/>
        <w:bidi w:val="0"/>
        <w:jc w:val="start"/>
        <w:rPr>
          <w:highlight w:val="none"/>
          <w:shd w:fill="FFFF00" w:val="clear"/>
        </w:rPr>
      </w:pPr>
      <w:r>
        <w:rPr>
          <w:rStyle w:val="FootnoteCharacters"/>
        </w:rPr>
        <w:footnoteRef/>
      </w:r>
      <w:r>
        <w:rPr>
          <w:shd w:fill="FFFF00" w:val="clear"/>
        </w:rPr>
        <w:tab/>
        <w:t>Casement 11</w:t>
      </w:r>
    </w:p>
  </w:footnote>
  <w:footnote w:id="20">
    <w:p>
      <w:pPr>
        <w:pStyle w:val="FootnoteText"/>
        <w:bidi w:val="0"/>
        <w:jc w:val="start"/>
        <w:rPr>
          <w:highlight w:val="none"/>
          <w:shd w:fill="FFFF00" w:val="clear"/>
        </w:rPr>
      </w:pPr>
      <w:r>
        <w:rPr>
          <w:rStyle w:val="FootnoteCharacters"/>
        </w:rPr>
        <w:footnoteRef/>
      </w:r>
      <w:r>
        <w:rPr>
          <w:shd w:fill="FFFF00" w:val="clear"/>
        </w:rPr>
        <w:tab/>
        <w:t>PAC Accounting 289</w:t>
      </w:r>
    </w:p>
  </w:footnote>
  <w:footnote w:id="21">
    <w:p>
      <w:pPr>
        <w:pStyle w:val="FootnoteText"/>
        <w:bidi w:val="0"/>
        <w:jc w:val="start"/>
        <w:rPr>
          <w:highlight w:val="none"/>
          <w:shd w:fill="FFFF00" w:val="clear"/>
        </w:rPr>
      </w:pPr>
      <w:r>
        <w:rPr>
          <w:rStyle w:val="FootnoteCharacters"/>
        </w:rPr>
        <w:footnoteRef/>
      </w:r>
      <w:r>
        <w:rPr>
          <w:shd w:fill="FFFF00" w:val="clear"/>
        </w:rPr>
        <w:tab/>
        <w:t>PAC Accounting 292</w:t>
      </w:r>
    </w:p>
  </w:footnote>
  <w:footnote w:id="22">
    <w:p>
      <w:pPr>
        <w:pStyle w:val="FootnoteText"/>
        <w:bidi w:val="0"/>
        <w:jc w:val="start"/>
        <w:rPr>
          <w:highlight w:val="none"/>
          <w:shd w:fill="FFFF00" w:val="clear"/>
        </w:rPr>
      </w:pPr>
      <w:r>
        <w:rPr>
          <w:rStyle w:val="FootnoteCharacters"/>
        </w:rPr>
        <w:footnoteRef/>
      </w:r>
      <w:r>
        <w:rPr>
          <w:shd w:fill="FFFF00" w:val="clear"/>
        </w:rPr>
        <w:tab/>
        <w:t>Serje 483</w:t>
      </w:r>
    </w:p>
  </w:footnote>
  <w:footnote w:id="23">
    <w:p>
      <w:pPr>
        <w:pStyle w:val="FootnoteText"/>
        <w:bidi w:val="0"/>
        <w:jc w:val="start"/>
        <w:rPr>
          <w:highlight w:val="none"/>
          <w:shd w:fill="FFFF00" w:val="clear"/>
        </w:rPr>
      </w:pPr>
      <w:r>
        <w:rPr>
          <w:rStyle w:val="FootnoteCharacters"/>
        </w:rPr>
        <w:footnoteRef/>
      </w:r>
      <w:r>
        <w:rPr>
          <w:shd w:fill="FFFF00" w:val="clear"/>
        </w:rPr>
        <w:tab/>
        <w:t>Walker, PAC accounting 295.</w:t>
      </w:r>
    </w:p>
  </w:footnote>
  <w:footnote w:id="24">
    <w:p>
      <w:pPr>
        <w:pStyle w:val="FootnoteText"/>
        <w:bidi w:val="0"/>
        <w:jc w:val="start"/>
        <w:rPr>
          <w:highlight w:val="none"/>
          <w:shd w:fill="FFFF00" w:val="clear"/>
        </w:rPr>
      </w:pPr>
      <w:r>
        <w:rPr>
          <w:rStyle w:val="FootnoteCharacters"/>
        </w:rPr>
        <w:footnoteRef/>
      </w:r>
      <w:r>
        <w:rPr>
          <w:shd w:fill="FFFF00" w:val="clear"/>
        </w:rPr>
        <w:tab/>
        <w:t>Walker, PAC accounting 294</w:t>
      </w:r>
    </w:p>
  </w:footnote>
</w:footnotes>
</file>

<file path=word/settings.xml><?xml version="1.0" encoding="utf-8"?>
<w:settings xmlns:w="http://schemas.openxmlformats.org/wordprocessingml/2006/main">
  <w:zoom w:percent="68"/>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251</TotalTime>
  <Application>LibreOffice/24.2.7.2$Linux_X86_64 LibreOffice_project/420$Build-2</Application>
  <AppVersion>15.0000</AppVersion>
  <Pages>8</Pages>
  <Words>2531</Words>
  <Characters>13151</Characters>
  <CharactersWithSpaces>15651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2026-06-16T11:20:09Z</dcterms:created>
  <dc:creator/>
  <dc:description/>
  <dc:language>en-US</dc:language>
  <cp:lastModifiedBy/>
  <dcterms:modified xsi:type="dcterms:W3CDTF">2026-06-19T12:59:56Z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