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footnotes.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notes.xml" ContentType="application/vnd.openxmlformats-officedocument.wordprocessingml.footnot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b/>
          <w:bCs/>
        </w:rPr>
      </w:pPr>
      <w:r>
        <w:rPr>
          <w:b/>
          <w:bCs/>
        </w:rPr>
        <w:t>Brazil Chapter</w:t>
      </w:r>
    </w:p>
    <w:p>
      <w:pPr>
        <w:pStyle w:val="Normal"/>
        <w:bidi w:val="0"/>
        <w:jc w:val="start"/>
        <w:rPr/>
      </w:pPr>
      <w:r>
        <w:rPr/>
        <w:t>Kenyon Cavender</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Amazon Rubber Boom</w:t>
      </w:r>
    </w:p>
    <w:p>
      <w:pPr>
        <w:pStyle w:val="Normal"/>
        <w:bidi w:val="0"/>
        <w:jc w:val="start"/>
        <w:rPr/>
      </w:pPr>
      <w:r>
        <w:rPr/>
        <w:t>Debt-Merchandise Relation</w:t>
      </w:r>
    </w:p>
    <w:p>
      <w:pPr>
        <w:pStyle w:val="Normal"/>
        <w:bidi w:val="0"/>
        <w:jc w:val="start"/>
        <w:rPr/>
      </w:pPr>
      <w:r>
        <w:rPr/>
        <w:t>Wage Labor</w:t>
      </w:r>
    </w:p>
    <w:p>
      <w:pPr>
        <w:pStyle w:val="Normal"/>
        <w:bidi w:val="0"/>
        <w:jc w:val="start"/>
        <w:rPr/>
      </w:pPr>
      <w:r>
        <w:rPr/>
        <w:t>Slavery</w:t>
      </w:r>
    </w:p>
    <w:p>
      <w:pPr>
        <w:pStyle w:val="Normal"/>
        <w:bidi w:val="0"/>
        <w:jc w:val="start"/>
        <w:rPr/>
      </w:pPr>
      <w:r>
        <w:rPr/>
        <w:t>Rubber Soldiers</w:t>
      </w:r>
    </w:p>
    <w:p>
      <w:pPr>
        <w:pStyle w:val="Normal"/>
        <w:bidi w:val="0"/>
        <w:jc w:val="start"/>
        <w:rPr/>
      </w:pPr>
      <w:r>
        <w:rPr/>
        <w:t>Plantation</w:t>
      </w:r>
    </w:p>
    <w:p>
      <w:pPr>
        <w:pStyle w:val="Normal"/>
        <w:bidi w:val="0"/>
        <w:jc w:val="start"/>
        <w:rPr/>
      </w:pPr>
      <w:r>
        <w:rPr/>
      </w:r>
    </w:p>
    <w:p>
      <w:pPr>
        <w:pStyle w:val="Normal"/>
        <w:bidi w:val="0"/>
        <w:jc w:val="start"/>
        <w:rPr>
          <w:b/>
          <w:bCs/>
        </w:rPr>
      </w:pPr>
      <w:r>
        <w:rPr>
          <w:b/>
          <w:bCs/>
        </w:rPr>
        <w:t>Introduction</w:t>
      </w:r>
    </w:p>
    <w:p>
      <w:pPr>
        <w:pStyle w:val="Normal"/>
        <w:bidi w:val="0"/>
        <w:jc w:val="start"/>
        <w:rPr/>
      </w:pPr>
      <w:r>
        <w:rPr/>
        <w:t xml:space="preserve">Until 1913, the Amazon was by far the largest producer of rubber for the world market. During the Amazon Rubber Boom a massive influx of foreign capital transformed life in the Amazon. The development of infrastructure connected the relatively isolated region to global markets, and rubber barons subjected the people of the Amazon, as well as displaced migrants from other regions of Brazil looking for work, to new forms of labor exploitation. </w:t>
      </w:r>
    </w:p>
    <w:p>
      <w:pPr>
        <w:pStyle w:val="Normal"/>
        <w:bidi w:val="0"/>
        <w:jc w:val="start"/>
        <w:rPr/>
      </w:pPr>
      <w:r>
        <w:rPr/>
      </w:r>
    </w:p>
    <w:p>
      <w:pPr>
        <w:pStyle w:val="Normal"/>
        <w:bidi w:val="0"/>
        <w:jc w:val="start"/>
        <w:rPr>
          <w:b/>
          <w:bCs/>
        </w:rPr>
      </w:pPr>
      <w:r>
        <w:rPr>
          <w:b/>
          <w:bCs/>
        </w:rPr>
        <w:t>The Free Laborer</w:t>
      </w:r>
    </w:p>
    <w:p>
      <w:pPr>
        <w:pStyle w:val="Normal"/>
        <w:bidi w:val="0"/>
        <w:jc w:val="start"/>
        <w:rPr/>
      </w:pPr>
      <w:r>
        <w:rPr/>
        <w:t xml:space="preserve">This section looks at one sense of the freedom of proletarianization - the dissolution of traditional social ties and community relationships. In the nineteenth century, </w:t>
      </w:r>
      <w:r>
        <w:rPr/>
        <w:t>several</w:t>
      </w:r>
      <w:r>
        <w:rPr/>
        <w:t xml:space="preserve"> major events undermined the relations of dependency that structured Brazilian society. </w:t>
      </w:r>
      <w:r>
        <w:rPr/>
        <w:t>Chief among them</w:t>
      </w:r>
      <w:r>
        <w:rPr/>
        <w:t xml:space="preserve"> were the </w:t>
      </w:r>
      <w:r>
        <w:rPr>
          <w:i/>
          <w:iCs/>
        </w:rPr>
        <w:t>Grand Seca</w:t>
      </w:r>
      <w:r>
        <w:rPr/>
        <w:t xml:space="preserve"> and the abolition of slavery. </w:t>
      </w:r>
      <w:r>
        <w:rPr/>
        <w:t>These two events each</w:t>
      </w:r>
      <w:r>
        <w:rPr/>
        <w:t xml:space="preserve"> set loose some portion of the population which had previously been bound in a customary social hierarchy. Unlike their fellow workers of the North, however, they did not become proletarians, selling their labor for a wage and meeting their needs through a market of commodities. They were rather cast adrift to scratch out a living as </w:t>
      </w:r>
      <w:r>
        <w:rPr>
          <w:i/>
          <w:iCs/>
        </w:rPr>
        <w:t>seringueiros</w:t>
      </w:r>
      <w:r>
        <w:rPr/>
        <w:t>, or rubber workers, in the Amazon where market penetration was both shallow and mediated by the workers' debt contracts.</w:t>
      </w:r>
    </w:p>
    <w:p>
      <w:pPr>
        <w:pStyle w:val="Normal"/>
        <w:bidi w:val="0"/>
        <w:jc w:val="start"/>
        <w:rPr/>
      </w:pPr>
      <w:r>
        <w:rPr/>
      </w:r>
    </w:p>
    <w:p>
      <w:pPr>
        <w:pStyle w:val="Normal"/>
        <w:bidi w:val="0"/>
        <w:jc w:val="start"/>
        <w:rPr>
          <w:i/>
          <w:i/>
          <w:iCs/>
        </w:rPr>
      </w:pPr>
      <w:r>
        <w:rPr>
          <w:i/>
          <w:iCs/>
        </w:rPr>
        <w:t>The Grand Seca</w:t>
      </w:r>
    </w:p>
    <w:p>
      <w:pPr>
        <w:pStyle w:val="Normal"/>
        <w:bidi w:val="0"/>
        <w:jc w:val="start"/>
        <w:rPr>
          <w:i/>
          <w:i/>
          <w:iCs/>
        </w:rPr>
      </w:pPr>
      <w:r>
        <w:rPr>
          <w:i w:val="false"/>
          <w:iCs w:val="false"/>
        </w:rPr>
        <w:t xml:space="preserve">The northeast of Brazil is dominated by the </w:t>
      </w:r>
      <w:r>
        <w:rPr>
          <w:i/>
          <w:iCs/>
        </w:rPr>
        <w:t>sertão</w:t>
      </w:r>
      <w:r>
        <w:rPr>
          <w:i w:val="false"/>
          <w:iCs w:val="false"/>
        </w:rPr>
        <w:t xml:space="preserve">, a semi-arid and sparsely populated region visited periodically by great droughts. </w:t>
      </w:r>
      <w:r>
        <w:rPr>
          <w:i w:val="false"/>
          <w:iCs w:val="false"/>
        </w:rPr>
        <w:t xml:space="preserve">The turn of the century saw a series of especially bad droughts, the worst of which was the </w:t>
      </w:r>
      <w:r>
        <w:rPr>
          <w:i/>
          <w:iCs/>
        </w:rPr>
        <w:t>Grand Seca</w:t>
      </w:r>
      <w:r>
        <w:rPr>
          <w:i w:val="false"/>
          <w:iCs w:val="false"/>
        </w:rPr>
        <w:t xml:space="preserve"> of 1877. This drought and those which followed saw a fundamental reconfiguration of the </w:t>
      </w:r>
      <w:r>
        <w:rPr>
          <w:i/>
          <w:iCs/>
        </w:rPr>
        <w:t>sertão</w:t>
      </w:r>
      <w:r>
        <w:rPr>
          <w:i w:val="false"/>
          <w:iCs w:val="false"/>
        </w:rPr>
        <w:t xml:space="preserve">'s social fabric. Between 1877 and 1919, two million people in the northeast died from the droughts and their effects. In addition to this, tens of thousands of the inhabitants of the </w:t>
      </w:r>
      <w:r>
        <w:rPr>
          <w:i/>
          <w:iCs/>
        </w:rPr>
        <w:t>sertão</w:t>
      </w:r>
      <w:r>
        <w:rPr>
          <w:i w:val="false"/>
          <w:iCs w:val="false"/>
        </w:rPr>
        <w:t xml:space="preserve"> left their homes to look for work and subsistence in other parts of Brazil, principally working as rubber harvesters in the Amazon. </w:t>
      </w:r>
      <w:r>
        <w:rPr>
          <w:i w:val="false"/>
          <w:iCs w:val="false"/>
        </w:rPr>
        <w:t>The already precarious conditions of life and labor in the northeast were so decisively undermined that "the infamous drought of 1877 ... definitively ended slavery in Ceará, an event which anticipated the emancipation of all slaves throughout Brazil in 1888."</w:t>
      </w:r>
      <w:r>
        <w:rPr>
          <w:rStyle w:val="FootnoteReference"/>
          <w:i w:val="false"/>
          <w:iCs w:val="false"/>
        </w:rPr>
        <w:footnoteReference w:id="2"/>
      </w:r>
    </w:p>
    <w:p>
      <w:pPr>
        <w:pStyle w:val="Normal"/>
        <w:bidi w:val="0"/>
        <w:jc w:val="start"/>
        <w:rPr>
          <w:i w:val="false"/>
          <w:i w:val="false"/>
          <w:iCs w:val="false"/>
        </w:rPr>
      </w:pPr>
      <w:r>
        <w:rPr>
          <w:i/>
          <w:iCs/>
        </w:rPr>
      </w:r>
    </w:p>
    <w:p>
      <w:pPr>
        <w:pStyle w:val="Normal"/>
        <w:bidi w:val="0"/>
        <w:jc w:val="start"/>
        <w:rPr>
          <w:i/>
          <w:i/>
          <w:iCs/>
        </w:rPr>
      </w:pPr>
      <w:r>
        <w:rPr>
          <w:i w:val="false"/>
          <w:iCs w:val="false"/>
        </w:rPr>
        <w:t>Mike Davis argues that drought "always has a manmade dimension and is never simply a natural disaster."</w:t>
      </w:r>
      <w:r>
        <w:rPr>
          <w:rStyle w:val="FootnoteReference"/>
          <w:i w:val="false"/>
          <w:iCs w:val="false"/>
        </w:rPr>
        <w:footnoteReference w:id="3"/>
      </w:r>
      <w:r>
        <w:rPr>
          <w:i w:val="false"/>
          <w:iCs w:val="false"/>
        </w:rPr>
        <w:t xml:space="preserve"> Indeed, although the droughts</w:t>
      </w:r>
      <w:r>
        <w:rPr>
          <w:i w:val="false"/>
          <w:iCs w:val="false"/>
        </w:rPr>
        <w:t xml:space="preserve"> in the </w:t>
      </w:r>
      <w:r>
        <w:rPr>
          <w:i/>
          <w:iCs/>
        </w:rPr>
        <w:t>sertão</w:t>
      </w:r>
      <w:r>
        <w:rPr>
          <w:i w:val="false"/>
          <w:iCs w:val="false"/>
        </w:rPr>
        <w:t xml:space="preserve"> are linked to the semi-regular occurence of the El Niño in the Pacific, their human cost is a result not merely of climatic caprice but is inflamed by </w:t>
      </w:r>
      <w:r>
        <w:rPr>
          <w:i w:val="false"/>
          <w:iCs w:val="false"/>
        </w:rPr>
        <w:t>various human factors, from the development of infrastructural projects (or lack thereof)</w:t>
      </w:r>
      <w:r>
        <w:rPr>
          <w:i w:val="false"/>
          <w:iCs w:val="false"/>
        </w:rPr>
        <w:t xml:space="preserve"> </w:t>
      </w:r>
      <w:r>
        <w:rPr>
          <w:i w:val="false"/>
          <w:iCs w:val="false"/>
        </w:rPr>
        <w:t xml:space="preserve">to the </w:t>
      </w:r>
      <w:r>
        <w:rPr>
          <w:i w:val="false"/>
          <w:iCs w:val="false"/>
        </w:rPr>
        <w:t xml:space="preserve">prevailing property relations in affected regions. </w:t>
      </w:r>
      <w:r>
        <w:rPr>
          <w:i w:val="false"/>
          <w:iCs w:val="false"/>
        </w:rPr>
        <w:t xml:space="preserve">In the nineteenth century, Brazil was a major producer of both coffee and sugar, but these were mainly limited to the south of the country. In Ceará, the state most affected by the </w:t>
      </w:r>
      <w:r>
        <w:rPr>
          <w:i/>
          <w:iCs/>
        </w:rPr>
        <w:t>Grand Seca</w:t>
      </w:r>
      <w:r>
        <w:rPr>
          <w:i w:val="false"/>
          <w:iCs w:val="false"/>
        </w:rPr>
        <w:t>, the population relied on cattle and cotton produced for export. Although better suited to the arid climate of Ceará</w:t>
      </w:r>
      <w:r>
        <w:rPr>
          <w:i w:val="false"/>
          <w:iCs w:val="false"/>
        </w:rPr>
        <w:t xml:space="preserve"> than other industries, cattle raising cannot be said to have thrived there. Davis notes that cattle were "forced out of the </w:t>
      </w:r>
      <w:r>
        <w:rPr>
          <w:i/>
          <w:iCs/>
        </w:rPr>
        <w:t xml:space="preserve">zona de mata </w:t>
      </w:r>
      <w:r>
        <w:rPr>
          <w:i w:val="false"/>
          <w:iCs w:val="false"/>
        </w:rPr>
        <w:t>by the sugar boom," and settled in the</w:t>
      </w:r>
      <w:r>
        <w:rPr>
          <w:i/>
          <w:iCs/>
        </w:rPr>
        <w:t xml:space="preserve"> sertão</w:t>
      </w:r>
      <w:r>
        <w:rPr>
          <w:i w:val="false"/>
          <w:iCs w:val="false"/>
        </w:rPr>
        <w:t xml:space="preserve"> as a sort of last resort. Whereas in much of the world a hectare of ranch land can support</w:t>
      </w:r>
      <w:r>
        <w:rPr>
          <w:i/>
          <w:iCs/>
        </w:rPr>
        <w:t xml:space="preserve"> </w:t>
      </w:r>
      <w:r>
        <w:rPr>
          <w:i w:val="false"/>
          <w:iCs w:val="false"/>
        </w:rPr>
        <w:t xml:space="preserve">1-2 cattle, in northeast Brazil, a "typical ranch of 1,000 hectares, for example, might sustain only 50 scrawny cattle; and even the biggest </w:t>
      </w:r>
      <w:r>
        <w:rPr>
          <w:i/>
          <w:iCs/>
        </w:rPr>
        <w:t>fazendas</w:t>
      </w:r>
      <w:r>
        <w:rPr>
          <w:i w:val="false"/>
          <w:iCs w:val="false"/>
        </w:rPr>
        <w:t xml:space="preserve"> (10,000 hectares or more) rarely pastured herds larger than 1,000."</w:t>
      </w:r>
      <w:r>
        <w:rPr>
          <w:rStyle w:val="FootnoteReference"/>
          <w:i w:val="false"/>
          <w:iCs w:val="false"/>
        </w:rPr>
        <w:footnoteReference w:id="4"/>
      </w:r>
    </w:p>
    <w:p>
      <w:pPr>
        <w:pStyle w:val="Normal"/>
        <w:bidi w:val="0"/>
        <w:jc w:val="start"/>
        <w:rPr>
          <w:i w:val="false"/>
          <w:i w:val="false"/>
          <w:iCs w:val="false"/>
        </w:rPr>
      </w:pPr>
      <w:r>
        <w:rPr>
          <w:i/>
          <w:iCs/>
        </w:rPr>
      </w:r>
    </w:p>
    <w:p>
      <w:pPr>
        <w:pStyle w:val="Normal"/>
        <w:bidi w:val="0"/>
        <w:jc w:val="start"/>
        <w:rPr>
          <w:i/>
          <w:i/>
          <w:iCs/>
        </w:rPr>
      </w:pPr>
      <w:r>
        <w:rPr>
          <w:i w:val="false"/>
          <w:iCs w:val="false"/>
        </w:rPr>
        <w:t xml:space="preserve">Cotton began to eclipse cattle in the eighteenth century as droughts weakened cattle herds, especially </w:t>
      </w:r>
      <w:r>
        <w:rPr>
          <w:i w:val="false"/>
          <w:iCs w:val="false"/>
        </w:rPr>
        <w:t>during</w:t>
      </w:r>
      <w:r>
        <w:rPr>
          <w:i w:val="false"/>
          <w:iCs w:val="false"/>
        </w:rPr>
        <w:t xml:space="preserve"> the American Civil War </w:t>
      </w:r>
      <w:r>
        <w:rPr>
          <w:i w:val="false"/>
          <w:iCs w:val="false"/>
        </w:rPr>
        <w:t xml:space="preserve">which </w:t>
      </w:r>
      <w:r>
        <w:rPr>
          <w:i w:val="false"/>
          <w:iCs w:val="false"/>
        </w:rPr>
        <w:t xml:space="preserve">disrupted the global cotton market. </w:t>
      </w:r>
      <w:r>
        <w:rPr>
          <w:i w:val="false"/>
          <w:iCs w:val="false"/>
        </w:rPr>
        <w:t xml:space="preserve">Large plantations combined cotton and cattle, but they crucially also relied on subsistence agriculture to maintain the working population. </w:t>
      </w:r>
    </w:p>
    <w:p>
      <w:pPr>
        <w:pStyle w:val="Normal"/>
        <w:bidi w:val="0"/>
        <w:jc w:val="start"/>
        <w:rPr>
          <w:i w:val="false"/>
          <w:i w:val="false"/>
          <w:iCs w:val="false"/>
        </w:rPr>
      </w:pPr>
      <w:r>
        <w:rPr>
          <w:i/>
          <w:iCs/>
        </w:rPr>
      </w:r>
    </w:p>
    <w:p>
      <w:pPr>
        <w:pStyle w:val="Normal"/>
        <w:bidi w:val="0"/>
        <w:jc w:val="start"/>
        <w:rPr>
          <w:i/>
          <w:i/>
          <w:iCs/>
        </w:rPr>
      </w:pPr>
      <w:r>
        <w:rPr>
          <w:i w:val="false"/>
          <w:iCs w:val="false"/>
        </w:rPr>
        <w:t>S</w:t>
      </w:r>
      <w:r>
        <w:rPr>
          <w:i w:val="false"/>
          <w:iCs w:val="false"/>
        </w:rPr>
        <w:t>tate measures such as an investment in infrastructure could have mitigated the effects of the great droughts, but during the nineteenth century, they were only sporadically applied. Projects such as road building or the construction of dams were often implemented during drought years and abandoned in years of plenty. While they provided necessary income that allowed some individuals to surivive the worst years, they amounted to a stop-gap rather than a robust or long-term solution.</w:t>
      </w:r>
      <w:r>
        <w:rPr>
          <w:rStyle w:val="FootnoteReference"/>
          <w:i w:val="false"/>
          <w:iCs w:val="false"/>
        </w:rPr>
        <w:footnoteReference w:id="5"/>
      </w:r>
    </w:p>
    <w:sectPr>
      <w:footnotePr>
        <w:numFmt w:val="decimal"/>
      </w:footnote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Text"/>
        <w:rPr/>
      </w:pPr>
      <w:r>
        <w:rPr>
          <w:rStyle w:val="FootnoteCharacters"/>
        </w:rPr>
        <w:footnoteRef/>
      </w:r>
      <w:r>
        <w:rPr/>
        <w:tab/>
        <w:t xml:space="preserve"> </w:t>
      </w:r>
      <w:r>
        <w:rPr/>
        <w:t xml:space="preserve">Reuben H. Brooks, “HUMAN RESPONSE TO RECURRENT DROUGHT IN NORTHEASTERN BRAZIL” </w:t>
      </w:r>
      <w:r>
        <w:rPr>
          <w:i/>
        </w:rPr>
        <w:t>The Professional Geographer</w:t>
      </w:r>
      <w:r>
        <w:rPr/>
        <w:t xml:space="preserve"> 23, no. 1 (1971): 40–44, </w:t>
      </w:r>
      <w:hyperlink r:id="rId1">
        <w:r>
          <w:rPr>
            <w:rStyle w:val="Hyperlink"/>
          </w:rPr>
          <w:t>https://doi.org/10.1111/j.0033-0124.1971.00040.x</w:t>
        </w:r>
      </w:hyperlink>
      <w:r>
        <w:rPr/>
        <w:t>.</w:t>
      </w:r>
      <w:r>
        <w:rPr/>
        <w:t xml:space="preserve"> 42</w:t>
      </w:r>
    </w:p>
  </w:footnote>
  <w:footnote w:id="3">
    <w:p>
      <w:pPr>
        <w:pStyle w:val="FootnoteText"/>
        <w:rPr/>
      </w:pPr>
      <w:r>
        <w:rPr>
          <w:rStyle w:val="FootnoteCharacters"/>
        </w:rPr>
        <w:footnoteRef/>
      </w:r>
      <w:r>
        <w:rPr/>
        <w:tab/>
        <w:t xml:space="preserve"> </w:t>
      </w:r>
      <w:r>
        <w:rPr/>
        <w:t xml:space="preserve">Mike Davis, </w:t>
      </w:r>
      <w:r>
        <w:rPr>
          <w:i/>
        </w:rPr>
        <w:t>Late Victorian Holocausts: El Niño Famines and the Making of the Third World</w:t>
      </w:r>
      <w:r>
        <w:rPr/>
        <w:t xml:space="preserve"> (2001; Verso, 2017).</w:t>
      </w:r>
      <w:r>
        <w:rPr/>
        <w:t xml:space="preserve"> 20</w:t>
      </w:r>
    </w:p>
  </w:footnote>
  <w:footnote w:id="4">
    <w:p>
      <w:pPr>
        <w:pStyle w:val="FootnoteText"/>
        <w:rPr/>
      </w:pPr>
      <w:r>
        <w:rPr>
          <w:rStyle w:val="FootnoteCharacters"/>
        </w:rPr>
        <w:footnoteRef/>
      </w:r>
      <w:r>
        <w:rPr/>
        <w:tab/>
        <w:t xml:space="preserve"> </w:t>
      </w:r>
      <w:r>
        <w:rPr/>
        <w:t xml:space="preserve">Davis, </w:t>
      </w:r>
      <w:r>
        <w:rPr>
          <w:i/>
        </w:rPr>
        <w:t>Late Victorian Holocausts</w:t>
      </w:r>
      <w:r>
        <w:rPr/>
        <w:t>.</w:t>
      </w:r>
      <w:r>
        <w:rPr/>
        <w:t xml:space="preserve"> 405</w:t>
      </w:r>
    </w:p>
  </w:footnote>
  <w:footnote w:id="5">
    <w:p>
      <w:pPr>
        <w:pStyle w:val="FootnoteText"/>
        <w:rPr/>
      </w:pPr>
      <w:r>
        <w:rPr>
          <w:rStyle w:val="FootnoteCharacters"/>
        </w:rPr>
        <w:footnoteRef/>
      </w:r>
      <w:r>
        <w:rPr/>
        <w:tab/>
        <w:t xml:space="preserve"> </w:t>
      </w:r>
      <w:r>
        <w:rPr/>
        <w:t xml:space="preserve">Bernard J. Siegel, “Migration Dynamics in the Interior of Ceará, Brazil,” </w:t>
      </w:r>
      <w:r>
        <w:rPr>
          <w:i/>
        </w:rPr>
        <w:t>Southwestern Journal of Anthropology</w:t>
      </w:r>
      <w:r>
        <w:rPr/>
        <w:t xml:space="preserve"> 27, no. 3 (1971): 234–58.</w:t>
      </w:r>
    </w:p>
  </w:footnote>
</w:footnotes>
</file>

<file path=word/settings.xml><?xml version="1.0" encoding="utf-8"?>
<w:settings xmlns:w="http://schemas.openxmlformats.org/wordprocessingml/2006/main">
  <w:zoom w:percent="64"/>
  <w:defaultTabStop w:val="709"/>
  <w:autoHyphenation w:val="true"/>
  <w:footnotePr>
    <w:numFmt w:val="decimal"/>
    <w:footnote w:id="0"/>
    <w:footnote w:id="1"/>
  </w:footnotePr>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character" w:styleId="Bullets">
    <w:name w:val="Bullets"/>
    <w:qFormat/>
    <w:rPr>
      <w:rFonts w:ascii="OpenSymbol" w:hAnsi="OpenSymbol" w:eastAsia="OpenSymbol" w:cs="OpenSymbol"/>
    </w:rPr>
  </w:style>
  <w:style w:type="character" w:styleId="FootnoteCharacters">
    <w:name w:val="Footnote Characters"/>
    <w:qFormat/>
    <w:rPr/>
  </w:style>
  <w:style w:type="character" w:styleId="FootnoteReference">
    <w:name w:val="Footnote Reference"/>
    <w:rPr>
      <w:vertAlign w:val="superscript"/>
    </w:rPr>
  </w:style>
  <w:style w:type="character" w:styleId="Hyperlink">
    <w:name w:val="Hyperlink"/>
    <w:rPr>
      <w:color w:val="000080"/>
      <w:u w:val="single"/>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FootnoteText">
    <w:name w:val="Footnote Text"/>
    <w:basedOn w:val="Normal"/>
    <w:pPr>
      <w:suppressLineNumbers/>
      <w:ind w:hanging="340" w:start="340"/>
    </w:pPr>
    <w:rPr>
      <w:sz w:val="20"/>
      <w:szCs w:val="20"/>
    </w:rPr>
  </w:style>
  <w:style w:type="paragraph" w:styleId="Comment">
    <w:name w:val="Comment"/>
    <w:basedOn w:val="Normal"/>
    <w:qFormat/>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_rels/footnotes.xml.rels><?xml version="1.0" encoding="UTF-8"?>
<Relationships xmlns="http://schemas.openxmlformats.org/package/2006/relationships"><Relationship Id="rId1" Type="http://schemas.openxmlformats.org/officeDocument/2006/relationships/hyperlink" Target="https://doi.org/10.1111/j.0033-0124.1971.00040.x" TargetMode="Externa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1276</TotalTime>
  <Application>LibreOffice/24.2.7.2$Linux_X86_64 LibreOffice_project/420$Build-2</Application>
  <AppVersion>15.0000</AppVersion>
  <Pages>2</Pages>
  <Words>771</Words>
  <Characters>4110</Characters>
  <CharactersWithSpaces>4864</CharactersWithSpaces>
  <Paragraphs>21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2026-03-11T13:03:57Z</dcterms:created>
  <dc:creator/>
  <dc:description/>
  <dc:language>en-US</dc:language>
  <cp:lastModifiedBy/>
  <dcterms:modified xsi:type="dcterms:W3CDTF">2026-04-13T11:52:59Z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