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24"/>
          <w:szCs w:val="24"/>
        </w:rPr>
      </w:pPr>
      <w:r>
        <w:rPr>
          <w:b/>
          <w:bCs/>
          <w:sz w:val="24"/>
          <w:szCs w:val="24"/>
        </w:rPr>
        <w:t xml:space="preserve">ELABORATING A 'NEW KIND OF FAMILY': </w:t>
      </w:r>
    </w:p>
    <w:p>
      <w:pPr>
        <w:pStyle w:val="Normal"/>
        <w:bidi w:val="0"/>
        <w:jc w:val="center"/>
        <w:rPr>
          <w:sz w:val="24"/>
          <w:szCs w:val="24"/>
        </w:rPr>
      </w:pPr>
      <w:r>
        <w:rPr>
          <w:b/>
          <w:bCs/>
          <w:sz w:val="24"/>
          <w:szCs w:val="24"/>
        </w:rPr>
        <w:t xml:space="preserve">FORDIST SOCIAL POLICIES AND RUBBER WORKERS IN THE GLOBAL SOUTH </w:t>
      </w:r>
    </w:p>
    <w:p>
      <w:pPr>
        <w:pStyle w:val="Normal"/>
        <w:bidi w:val="0"/>
        <w:jc w:val="center"/>
        <w:rPr>
          <w:sz w:val="24"/>
          <w:szCs w:val="24"/>
        </w:rPr>
      </w:pPr>
      <w:r>
        <w:rPr/>
      </w:r>
    </w:p>
    <w:p>
      <w:pPr>
        <w:pStyle w:val="Normal"/>
        <w:bidi w:val="0"/>
        <w:spacing w:lineRule="auto" w:line="480" w:before="0" w:after="0"/>
        <w:jc w:val="center"/>
        <w:rPr>
          <w:sz w:val="24"/>
          <w:szCs w:val="24"/>
        </w:rPr>
      </w:pPr>
      <w:r>
        <w:rPr>
          <w:b/>
          <w:bCs/>
          <w:sz w:val="24"/>
          <w:szCs w:val="24"/>
        </w:rPr>
        <w:t>Abstract</w:t>
      </w:r>
    </w:p>
    <w:p>
      <w:pPr>
        <w:pStyle w:val="Normal"/>
        <w:bidi w:val="0"/>
        <w:spacing w:lineRule="auto" w:line="480"/>
        <w:jc w:val="start"/>
        <w:rPr>
          <w:sz w:val="24"/>
          <w:szCs w:val="24"/>
        </w:rPr>
      </w:pPr>
      <w:r>
        <w:rPr>
          <w:b/>
          <w:bCs/>
          <w:sz w:val="24"/>
          <w:szCs w:val="24"/>
        </w:rPr>
        <w:tab/>
      </w:r>
      <w:r>
        <w:rPr>
          <w:sz w:val="24"/>
          <w:szCs w:val="24"/>
        </w:rPr>
        <w:t>Gramsci claimed that central to the rise of Fordism was an attempt to 'elaborate a new kind of man'</w:t>
      </w:r>
      <w:r>
        <w:rPr>
          <w:rStyle w:val="FootnoteReference"/>
          <w:sz w:val="24"/>
          <w:szCs w:val="24"/>
        </w:rPr>
        <w:footnoteReference w:id="2"/>
      </w:r>
      <w:r>
        <w:rPr>
          <w:sz w:val="24"/>
          <w:szCs w:val="24"/>
        </w:rPr>
        <w:t xml:space="preserve"> to work in Ford's factories. This 'new kind of man' was fundamentally a 'family man,' and Fordist social policies such as the the Five Dollar Day explicitly encouraged the development of single-wage nuclear families. In the traditional historiography of Fordism, the productive relations of Fordism, after being perfected in America, were exported - first to Europe during the World Wars, and then to the Global South in the 1970s and 1980s. According to Alain Lipietz, however, by the time Fordist production landed in the Global South, it had been shorn of its social-familial aspect and took the form of a 'Bloody Taylorism'.</w:t>
      </w:r>
      <w:r>
        <w:rPr>
          <w:rStyle w:val="FootnoteReference"/>
          <w:sz w:val="24"/>
          <w:szCs w:val="24"/>
        </w:rPr>
        <w:footnoteReference w:id="3"/>
      </w:r>
      <w:r>
        <w:rPr>
          <w:sz w:val="24"/>
          <w:szCs w:val="24"/>
        </w:rPr>
        <w:t xml:space="preserve"> My dissertation challenges this stagist notion of Fordism and demonstrates that the rise of Fordism in fact had an immediate effect on social relations of families in the Global South. By examining the rubber producing regions of the Amazon and British Malaya, I will show that the increased demand for rubber effected a reconfiguration of family and community relations; a 'new type of man' and corresponding new family forms were elaborated in these regions, albeit on very different terms than in North America. My dissertation will </w:t>
      </w:r>
      <w:r>
        <w:rPr>
          <w:sz w:val="24"/>
          <w:szCs w:val="24"/>
        </w:rPr>
        <w:t xml:space="preserve">draw on the work of world-systems analysts and of Marxist feminists to examine the social reproductive dynamics that emerged in the growing rubber industry. I will </w:t>
      </w:r>
      <w:r>
        <w:rPr>
          <w:sz w:val="24"/>
          <w:szCs w:val="24"/>
        </w:rPr>
        <w:t>answer a series of related questio</w:t>
      </w:r>
      <w:r>
        <w:rPr>
          <w:sz w:val="24"/>
          <w:szCs w:val="24"/>
          <w:shd w:fill="auto" w:val="clear"/>
        </w:rPr>
        <w:t xml:space="preserve">ns: How were existing family relations transformed and exploited by rubber producers in service of increased production? </w:t>
      </w:r>
      <w:r>
        <w:rPr>
          <w:sz w:val="24"/>
          <w:szCs w:val="24"/>
          <w:shd w:fill="auto" w:val="clear"/>
        </w:rPr>
        <w:t xml:space="preserve">What were the different forms of labor employed in the rubber fields, and how did they correspond to different regimes of social reproduction? and </w:t>
      </w:r>
      <w:r>
        <w:rPr>
          <w:sz w:val="24"/>
          <w:szCs w:val="24"/>
          <w:shd w:fill="auto" w:val="clear"/>
        </w:rPr>
        <w:t>How did workers draw on their families to resist exploitation?</w:t>
      </w:r>
    </w:p>
    <w:sectPr>
      <w:footnotePr>
        <w:numFmt w:val="decimal"/>
      </w:footnote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FootnoteCharacters"/>
        </w:rPr>
        <w:footnoteRef/>
      </w:r>
      <w:r>
        <w:rPr/>
        <w:tab/>
        <w:t xml:space="preserve">Gramsci, Antonio. </w:t>
      </w:r>
      <w:r>
        <w:rPr>
          <w:i/>
          <w:iCs/>
        </w:rPr>
        <w:t>Selections from the Prison Notebooks</w:t>
      </w:r>
      <w:r>
        <w:rPr/>
        <w:t>. Translated by Hoare Quintin and Geoffrey Nowell Smith. New York: International Publishers Co, 1971. (p 286)</w:t>
      </w:r>
    </w:p>
  </w:footnote>
  <w:footnote w:id="3">
    <w:p>
      <w:pPr>
        <w:pStyle w:val="FootnoteText"/>
        <w:suppressLineNumbers/>
        <w:bidi w:val="0"/>
        <w:ind w:hanging="340" w:start="340"/>
        <w:jc w:val="start"/>
        <w:rPr/>
      </w:pPr>
      <w:r>
        <w:rPr>
          <w:rStyle w:val="FootnoteCharacters"/>
        </w:rPr>
        <w:footnoteRef/>
      </w:r>
      <w:r>
        <w:rPr/>
        <w:tab/>
        <w:t xml:space="preserve">Alain Lipietz, “Towards Global Fordism?,” </w:t>
      </w:r>
      <w:r>
        <w:rPr>
          <w:i/>
        </w:rPr>
        <w:t>New Left Review</w:t>
      </w:r>
      <w:r>
        <w:rPr/>
        <w:t>, no. 132 (1982): 33–47.</w:t>
      </w:r>
    </w:p>
  </w:footnote>
</w:footnotes>
</file>

<file path=word/settings.xml><?xml version="1.0" encoding="utf-8"?>
<w:settings xmlns:w="http://schemas.openxmlformats.org/wordprocessingml/2006/main">
  <w:zoom w:percent="9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2026-08-04T11:55:39Z</dcterms:created>
  <dc:creator/>
  <dc:description/>
  <dc:language>en-US</dc:language>
  <cp:lastModifiedBy/>
  <dcterms:modified xsi:type="dcterms:W3CDTF">2026-08-04T11:57:03Z</dcterms:modified>
  <cp:revision>1</cp:revision>
  <dc:subject/>
  <dc:title/>
</cp:coreProperties>
</file>