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Liberation Serif" w:hAnsi="Liberation Serif"/>
        </w:rPr>
      </w:pPr>
      <w:r>
        <w:rPr>
          <w:b/>
          <w:bCs/>
        </w:rPr>
        <w:t>Rubber Genocide in the Putumayo</w:t>
      </w:r>
    </w:p>
    <w:p>
      <w:pPr>
        <w:pStyle w:val="Normal"/>
        <w:spacing w:lineRule="auto" w:line="480"/>
        <w:jc w:val="center"/>
        <w:rPr>
          <w:rFonts w:ascii="Liberation Serif" w:hAnsi="Liberation Serif"/>
        </w:rPr>
      </w:pPr>
      <w:r>
        <w:rPr/>
        <w:t>Kenyon Cavender</w:t>
      </w:r>
    </w:p>
    <w:p>
      <w:pPr>
        <w:pStyle w:val="Normal"/>
        <w:spacing w:lineRule="auto" w:line="480"/>
        <w:rPr>
          <w:rFonts w:ascii="Liberation Serif" w:hAnsi="Liberation Serif"/>
        </w:rPr>
      </w:pPr>
      <w:r>
        <w:rPr/>
      </w:r>
    </w:p>
    <w:p>
      <w:pPr>
        <w:pStyle w:val="Normal"/>
        <w:spacing w:lineRule="auto" w:line="480"/>
        <w:rPr>
          <w:rFonts w:ascii="Liberation Serif" w:hAnsi="Liberation Serif"/>
        </w:rPr>
      </w:pPr>
      <w:r>
        <w:rPr>
          <w:b/>
          <w:bCs/>
        </w:rPr>
        <w:t>Introduction</w:t>
      </w:r>
    </w:p>
    <w:p>
      <w:pPr>
        <w:pStyle w:val="Normal"/>
        <w:spacing w:lineRule="auto" w:line="480"/>
        <w:rPr>
          <w:rFonts w:ascii="Liberation Serif" w:hAnsi="Liberation Serif"/>
        </w:rPr>
      </w:pPr>
      <w:r>
        <w:rPr>
          <w:b w:val="false"/>
          <w:bCs w:val="false"/>
        </w:rPr>
        <w:tab/>
        <w:t>The production of automobiles requires raw materials in massive quantities. Henry Ford tried his best to vertically integrate the entirety of the automotive production process by purchasing operations that produced all of the necessary natural resources. He was mostly successful, owning iron mines and forests in Michigan and coal mines in Appalachia.</w:t>
      </w:r>
      <w:r>
        <w:rPr>
          <w:rStyle w:val="FootnoteReference"/>
          <w:b w:val="false"/>
          <w:bCs w:val="false"/>
        </w:rPr>
        <w:footnoteReference w:id="2"/>
      </w:r>
      <w:r>
        <w:rPr>
          <w:b w:val="false"/>
          <w:bCs w:val="false"/>
        </w:rPr>
        <w:t xml:space="preserve"> Rubber, however, could not be produced within the US, and his attempt to establish a rubber plantation in Brazil was a failure. Instead, rubber was imported into the US, primarily from the Amazon until 1913 when Amazonian production was eclipsed by Malayan rubber. Although the creation of a consuming class of workers, with nuclear families and owned homes, was a crucial part of Ford's production strategy, the rubber producers that fed his factories labored and lived under very different conditions. </w:t>
      </w:r>
    </w:p>
    <w:p>
      <w:pPr>
        <w:pStyle w:val="Normal"/>
        <w:spacing w:lineRule="auto" w:line="480"/>
        <w:rPr>
          <w:rFonts w:ascii="Liberation Serif" w:hAnsi="Liberation Serif"/>
        </w:rPr>
      </w:pPr>
      <w:r>
        <w:rPr>
          <w:b w:val="false"/>
          <w:bCs w:val="false"/>
        </w:rPr>
        <w:tab/>
        <w:t>Throughout the first half of the twentieth century, rubber production was dominated by severe forms of exploitation: wage labor was much less common than debt bondage, indentured servitude, and outright slavery. In the Putumayo region of Peru (now Colombia) rubber companies enslaved the native inhabitants with methods so brutal that tens of thousands died in a rubber genocide. The system that prevailed in Putumayo was a brutal one, but it should not be thought of as 'pre-capitalist' or 'non-capitalist.' Rather it was an integral part of the global system of capitalist production. The brutality of the rubber companies was a response to the demands of the global market, and the problems of commodity production determined the living and laboring conditions of the rubber workers. This chapter will examine these conditions. We will look at how a rigid racial labor hierarchy was established and maintained with the importation of Black workers from Barbados, as well as the ways in which this hierarchy was resisted. Family and gender dynamics played an essential role in the consolidation of power, and they were explicitly manipulated by the white company men to subdue both the native workers and the Barbadian overseers. The reproductive scheme they established was essential in producing the cheapest possible labor, combining force, debt, and family obligations to compel the workers.</w:t>
      </w:r>
    </w:p>
    <w:p>
      <w:pPr>
        <w:pStyle w:val="Normal"/>
        <w:spacing w:lineRule="auto" w:line="480"/>
        <w:rPr>
          <w:rFonts w:ascii="Liberation Serif" w:hAnsi="Liberation Serif"/>
        </w:rPr>
      </w:pPr>
      <w:r>
        <w:rPr>
          <w:b w:val="false"/>
          <w:bCs w:val="false"/>
        </w:rPr>
        <w:tab/>
        <w:t>Finally, this article will consider the way in which the system of production in the Putumayo contributed to the reproduction of capitalism itself. Obviously the production of rubber was necessary for the growing industries in the Global North, but the undermining of the native patterns of production also contributed to the extension of the market for the finished goods produced by these industries. Despite the natural fertility of the Amazon Basin, workers and management alike were fed (if at all) with canned and preserved foods imported from abroad. The substitution of imported goods for domestic production was essential in the expansion of industrial production in the Global North.</w:t>
      </w:r>
    </w:p>
    <w:p>
      <w:pPr>
        <w:pStyle w:val="Normal"/>
        <w:spacing w:lineRule="auto" w:line="480"/>
        <w:rPr>
          <w:rFonts w:ascii="Liberation Serif" w:hAnsi="Liberation Serif"/>
          <w:b w:val="false"/>
          <w:bCs w:val="false"/>
        </w:rPr>
      </w:pPr>
      <w:r>
        <w:rPr>
          <w:b w:val="false"/>
          <w:bCs w:val="false"/>
        </w:rPr>
      </w:r>
    </w:p>
    <w:p>
      <w:pPr>
        <w:pStyle w:val="Normal"/>
        <w:bidi w:val="0"/>
        <w:spacing w:lineRule="auto" w:line="480" w:before="0" w:after="0"/>
        <w:ind w:hanging="0" w:start="0" w:end="0"/>
        <w:jc w:val="start"/>
        <w:rPr>
          <w:rFonts w:ascii="Liberation Serif" w:hAnsi="Liberation Serif"/>
        </w:rPr>
      </w:pPr>
      <w:r>
        <w:rPr>
          <w:b/>
          <w:bCs/>
        </w:rPr>
        <w:t>The Peruvian Amazon Company and the Putumayo Genocide</w:t>
      </w:r>
    </w:p>
    <w:p>
      <w:pPr>
        <w:pStyle w:val="Normal"/>
        <w:bidi w:val="0"/>
        <w:spacing w:lineRule="auto" w:line="480" w:before="0" w:after="0"/>
        <w:ind w:firstLine="720" w:start="0" w:end="0"/>
        <w:jc w:val="start"/>
        <w:rPr>
          <w:rFonts w:ascii="Liberation Serif" w:hAnsi="Liberation Serif"/>
        </w:rPr>
      </w:pPr>
      <w:r>
        <w:rPr/>
        <w:t>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In the late 19th and early 20th centuries, the land north of the river was claimed by both Peru and Colombia, each of whom sent 'settlers' into the area to establish land claims and harvest its rubber. Rubber was booming, and there was certainly a fortune to be made in its exploitation, but the rubber of the Putumayo region was of an inferior quality. In addition to the well-known Hevea Brasiliensis, which can be tapped, the region was also home to the lower quality Castilloa Elastica, which was cut down in the process of harvesting its natural latex. Evidently harvesting was so severe that a contemporary observer in 1907 noted that Colombian harvesters complained there was very little of this second type left.</w:t>
      </w:r>
      <w:r>
        <w:rPr>
          <w:rStyle w:val="FootnoteReference"/>
        </w:rPr>
        <w:footnoteReference w:id="3"/>
      </w:r>
      <w:r>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rFonts w:ascii="Liberation Serif" w:hAnsi="Liberation Serif"/>
        </w:rPr>
      </w:pPr>
      <w:r>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rPr>
        <w:footnoteReference w:id="4"/>
      </w:r>
      <w:r>
        <w:rPr/>
        <w:t xml:space="preserve"> Exact figures are disputed, but Roger Casement gives a conservative estimate of 30,000 total victims; the Putumayo region was depopulated by 90% during the rubber boom. The majority of the contemporary documentation of the genocide comes from three sources: the articles of Peruvian journalist Benjamin Saldaña Rocca, the memoir of engineer and adventurist W.E. Hardenburg who traveled to Putumayo in search of fortune in 1907 and published an account of his journey in 1912, and the report of Irishman Roger Casement who traveled to the Putumayo on behalf of the British Government in 1910, and who was first knighted for his advocacy of the victims of colonialism in Peru and the Congo, and later executed for running guns to Irish revolutionaries.</w:t>
      </w:r>
    </w:p>
    <w:p>
      <w:pPr>
        <w:pStyle w:val="Normal"/>
        <w:bidi w:val="0"/>
        <w:spacing w:lineRule="auto" w:line="480"/>
        <w:jc w:val="start"/>
        <w:rPr>
          <w:rFonts w:ascii="Liberation Serif" w:hAnsi="Liberation Serif"/>
        </w:rPr>
      </w:pPr>
      <w:r>
        <w:rPr>
          <w:b w:val="false"/>
          <w:bCs w:val="false"/>
        </w:rPr>
        <w:tab/>
        <w:t>The primary perpetrators of the Putumayo Genocide were the Peruvian agents of the J. C. Arana and Hermanos Company, which was, with an investment of British capital, renamed the Peruvian Amazon Company in 1907 (hereafter PAC). Originally a hat salesman, Julio César Arana began to work with small Colombian rubber interests in the late 1890s, and in 1903 started his own rubber company along with his brothers-in-law. He soon bought out his Colombian partners and attempted to push out the remainder of the Colombian competitors. Arana and his company were ruthless - when dealing with former partners, Arana "[took] advantage of their ignorance and stupidity to rob them scandalously," in the words of W.E. Hardenburg.</w:t>
      </w:r>
      <w:r>
        <w:rPr>
          <w:rStyle w:val="FootnoteReference"/>
          <w:b w:val="false"/>
          <w:bCs w:val="false"/>
        </w:rPr>
        <w:footnoteReference w:id="5"/>
      </w:r>
      <w:r>
        <w:rPr>
          <w:b w:val="false"/>
          <w:bCs w:val="false"/>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b w:val="false"/>
          <w:bCs w:val="false"/>
        </w:rPr>
        <w:footnoteReference w:id="6"/>
      </w:r>
      <w:r>
        <w:rPr>
          <w:b w:val="false"/>
          <w:bCs w:val="false"/>
        </w:rPr>
        <w:t xml:space="preserve"> </w:t>
      </w:r>
    </w:p>
    <w:p>
      <w:pPr>
        <w:pStyle w:val="Normal"/>
        <w:bidi w:val="0"/>
        <w:spacing w:lineRule="auto" w:line="480"/>
        <w:jc w:val="start"/>
        <w:rPr>
          <w:rFonts w:ascii="Liberation Serif" w:hAnsi="Liberation Serif"/>
        </w:rPr>
      </w:pPr>
      <w:r>
        <w:rPr>
          <w:b w:val="false"/>
          <w:bCs w:val="false"/>
        </w:rPr>
        <w:tab/>
        <w:t xml:space="preserve">There is something significant in Hardenburg using the phrase "taking away </w:t>
      </w:r>
      <w:r>
        <w:rPr>
          <w:b w:val="false"/>
          <w:bCs w:val="false"/>
          <w:i/>
          <w:iCs/>
        </w:rPr>
        <w:t>his</w:t>
      </w:r>
      <w:r>
        <w:rPr>
          <w:b w:val="false"/>
          <w:bCs w:val="false"/>
        </w:rPr>
        <w:t xml:space="preserve"> Indians" that we will return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jc w:val="start"/>
        <w:rPr>
          <w:rFonts w:ascii="Liberation Serif" w:hAnsi="Liberation Serif"/>
        </w:rPr>
      </w:pPr>
      <w:r>
        <w:rPr>
          <w:b w:val="false"/>
          <w:bCs w:val="false"/>
        </w:rPr>
        <w:tab/>
        <w:t>Hardenburg and his traveling companions were captured in one of these raids and held for some days at one of Arana's estates. It was here that he realized the extent of Arana's criminality. Their violence was not aimed only at competitors, but was directed against the local indigenous population as well. Whereas the Colombian rubber harvesters had paid the native workers - underpaid, to be sure, and often in commodities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b w:val="false"/>
          <w:bCs w:val="false"/>
        </w:rPr>
        <w:footnoteReference w:id="7"/>
      </w:r>
      <w:r>
        <w:rPr>
          <w:b w:val="false"/>
          <w:bCs w:val="false"/>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jc w:val="start"/>
        <w:rPr>
          <w:rFonts w:ascii="Liberation Serif" w:hAnsi="Liberation Serif"/>
        </w:rPr>
      </w:pPr>
      <w:r>
        <w:rPr>
          <w:b w:val="false"/>
          <w:bCs w:val="false"/>
        </w:rPr>
        <w:tab/>
        <w:t xml:space="preserve">In 1910, after Hardenburg's initial account had been published in the British newspaper </w:t>
      </w:r>
      <w:r>
        <w:rPr>
          <w:b w:val="false"/>
          <w:bCs w:val="false"/>
          <w:i/>
          <w:iCs/>
        </w:rPr>
        <w:t>Truth</w:t>
      </w:r>
      <w:r>
        <w:rPr>
          <w:b w:val="false"/>
          <w:bCs w:val="false"/>
          <w:i w:val="false"/>
          <w:iCs w:val="false"/>
        </w:rPr>
        <w:t>, Roger Casement was appointed by the UK Foreign Office to travel to the Putumayo to investigate several related matters: "whether any British subjects have suffered or are in distress, and if so from what causes, and whether they stand in need of relief," as well as "the methods of rubber collection and the treatment of the employés of the Company."</w:t>
      </w:r>
      <w:r>
        <w:rPr>
          <w:rStyle w:val="FootnoteReference"/>
          <w:b w:val="false"/>
          <w:bCs w:val="false"/>
          <w:i w:val="false"/>
          <w:iCs w:val="false"/>
        </w:rPr>
        <w:footnoteReference w:id="8"/>
      </w:r>
      <w:r>
        <w:rPr>
          <w:b w:val="false"/>
          <w:bCs w:val="false"/>
          <w:i w:val="false"/>
          <w:iCs w:val="false"/>
        </w:rPr>
        <w:t xml:space="preserve"> He was accompanied by 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b w:val="false"/>
          <w:bCs w:val="false"/>
          <w:i w:val="false"/>
          <w:iCs w:val="false"/>
        </w:rPr>
        <w:footnoteReference w:id="9"/>
      </w:r>
      <w:r>
        <w:rPr>
          <w:b w:val="false"/>
          <w:bCs w:val="false"/>
          <w:i w:val="false"/>
          <w:iCs w:val="false"/>
        </w:rPr>
        <w:t xml:space="preserve"> The British subjects whose welfare formed the primary object of Casements investigation were men and women from Barbados, recruited in 1904-5 and "shipped for Peru at the request of Señor Abel Alarco, at that time a partner of the firm in question," some of whom stayed with the company long after their initial two year contracts had expired.</w:t>
      </w:r>
      <w:r>
        <w:rPr>
          <w:rStyle w:val="FootnoteReference"/>
          <w:b w:val="false"/>
          <w:bCs w:val="false"/>
          <w:i w:val="false"/>
          <w:iCs w:val="false"/>
        </w:rPr>
        <w:footnoteReference w:id="10"/>
      </w:r>
      <w:r>
        <w:rPr>
          <w:b w:val="false"/>
          <w:bCs w:val="false"/>
          <w:i w:val="false"/>
          <w:iCs w:val="false"/>
        </w:rPr>
        <w:t xml:space="preserve"> Their testimonies provided the greatest part of the evidence submitted by Casement to the Foreign Office.</w:t>
      </w:r>
    </w:p>
    <w:p>
      <w:pPr>
        <w:pStyle w:val="Normal"/>
        <w:bidi w:val="0"/>
        <w:spacing w:lineRule="auto" w:line="480"/>
        <w:jc w:val="start"/>
        <w:rPr>
          <w:rFonts w:ascii="Liberation Serif" w:hAnsi="Liberation Serif"/>
        </w:rPr>
      </w:pPr>
      <w:r>
        <w:rPr>
          <w:b w:val="false"/>
          <w:bCs w:val="false"/>
          <w:i w:val="false"/>
          <w:iCs w:val="false"/>
        </w:rPr>
        <w:tab/>
        <w:t>Casement arrived in Iquitos on August 31st of 1910, and left for the Putumayo along with the commission from the PAC on September 14th. Casement stayed in the Amazon, visiting various stations within the Putumayo, interviewing company employees and observing the operations until December. His two page preliminary report notes that the charges brought by the men from Barbados against the company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b w:val="false"/>
          <w:bCs w:val="false"/>
          <w:i w:val="false"/>
          <w:iCs w:val="false"/>
        </w:rPr>
        <w:footnoteReference w:id="11"/>
      </w:r>
      <w:r>
        <w:rPr>
          <w:b w:val="false"/>
          <w:bCs w:val="false"/>
          <w:i w:val="false"/>
          <w:iCs w:val="false"/>
        </w:rPr>
        <w:t xml:space="preserve"> 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hierarchy. </w:t>
      </w:r>
    </w:p>
    <w:p>
      <w:pPr>
        <w:pStyle w:val="Normal"/>
        <w:bidi w:val="0"/>
        <w:spacing w:lineRule="auto" w:line="480"/>
        <w:jc w:val="start"/>
        <w:rPr>
          <w:rFonts w:ascii="Liberation Serif" w:hAnsi="Liberation Serif"/>
        </w:rPr>
      </w:pPr>
      <w:r>
        <w:rPr>
          <w:b w:val="false"/>
          <w:bCs w:val="false"/>
        </w:rPr>
        <w:tab/>
        <w:t>Although the men from Barbados were initially told that they would be contracted as laborers, there were signs that this was false even before they arrived in Peru. When they arrived in Manaus on the way up the Amazon river they were warned "by outsiders that in the countries to which they were going they would not be employed as labourers, but would be armed and used to force the Indians to work for their employers."</w:t>
      </w:r>
      <w:r>
        <w:rPr>
          <w:rStyle w:val="FootnoteReference"/>
          <w:b w:val="false"/>
          <w:bCs w:val="false"/>
        </w:rPr>
        <w:footnoteReference w:id="12"/>
      </w:r>
      <w:r>
        <w:rPr>
          <w:b w:val="false"/>
          <w:bCs w:val="false"/>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b w:val="false"/>
          <w:bCs w:val="false"/>
        </w:rPr>
        <w:footnoteReference w:id="13"/>
      </w:r>
      <w:r>
        <w:rPr>
          <w:b w:val="false"/>
          <w:bCs w:val="false"/>
        </w:rPr>
        <w:t xml:space="preserve"> Their suspicions were confirmed upon arrival in Putumayo, as the first group to arrive was immediately armed with rifles and ammunition and sent into the jungle on a raid against the indigenous Andokes people. 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jc w:val="start"/>
        <w:rPr>
          <w:rFonts w:ascii="Liberation Serif" w:hAnsi="Liberation Serif"/>
        </w:rPr>
      </w:pPr>
      <w:r>
        <w:rPr>
          <w:b w:val="false"/>
          <w:bCs w:val="false"/>
        </w:rPr>
        <w:tab/>
        <w:t>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from the furthest rubber station to the river was 70 miles, and took four or five days to traverse. 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into Matanzas."</w:t>
      </w:r>
      <w:r>
        <w:rPr>
          <w:rStyle w:val="FootnoteReference"/>
          <w:b w:val="false"/>
          <w:bCs w:val="false"/>
        </w:rPr>
        <w:footnoteReference w:id="14"/>
      </w:r>
      <w:r>
        <w:rPr>
          <w:b w:val="false"/>
          <w:bCs w:val="false"/>
        </w:rPr>
        <w:t xml:space="preserve"> 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b w:val="false"/>
          <w:bCs w:val="false"/>
        </w:rPr>
        <w:footnoteReference w:id="15"/>
      </w:r>
    </w:p>
    <w:p>
      <w:pPr>
        <w:pStyle w:val="Normal"/>
        <w:bidi w:val="0"/>
        <w:spacing w:lineRule="auto" w:line="480"/>
        <w:jc w:val="start"/>
        <w:rPr>
          <w:rFonts w:ascii="Liberation Serif" w:hAnsi="Liberation Serif"/>
        </w:rPr>
      </w:pPr>
      <w:r>
        <w:rPr>
          <w:b w:val="false"/>
          <w:bCs w:val="false"/>
        </w:rPr>
        <w:tab/>
        <w:t>These men also took part in the spoils of slavery. Casement reports that "every so-called civilised employé receives from the agent of the company, on arrival, and Indian woman to be his temporary wife."</w:t>
      </w:r>
      <w:r>
        <w:rPr>
          <w:rStyle w:val="FootnoteReference"/>
          <w:b w:val="false"/>
          <w:bCs w:val="false"/>
        </w:rPr>
        <w:footnoteReference w:id="16"/>
      </w:r>
      <w:r>
        <w:rPr>
          <w:b w:val="false"/>
          <w:bCs w:val="false"/>
        </w:rPr>
        <w:t xml:space="preserve"> According to Casement, "[w]ith the Barbados men it was no doubt a more or less voluntary contract on each side," but I hesitate to speak of volition in this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new woman was given to him every time he changed post. </w:t>
      </w:r>
    </w:p>
    <w:p>
      <w:pPr>
        <w:pStyle w:val="Normal"/>
        <w:bidi w:val="0"/>
        <w:spacing w:lineRule="auto" w:line="480"/>
        <w:jc w:val="start"/>
        <w:rPr>
          <w:rFonts w:ascii="Liberation Serif" w:hAnsi="Liberation Serif"/>
        </w:rPr>
      </w:pPr>
      <w:r>
        <w:rPr>
          <w:b w:val="false"/>
          <w:bCs w:val="false"/>
        </w:rPr>
        <w:tab/>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b w:val="false"/>
          <w:bCs w:val="false"/>
        </w:rPr>
        <w:footnoteReference w:id="17"/>
      </w:r>
      <w:r>
        <w:rPr>
          <w:b w:val="false"/>
          <w:bCs w:val="false"/>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 with one official claiming that "their indebtedness in these accounts was 'for medicines required for the men's Indian wives.'"</w:t>
      </w:r>
      <w:r>
        <w:rPr>
          <w:rStyle w:val="FootnoteReference"/>
          <w:b w:val="false"/>
          <w:bCs w:val="false"/>
        </w:rPr>
        <w:footnoteReference w:id="18"/>
      </w:r>
      <w:r>
        <w:rPr>
          <w:b w:val="false"/>
          <w:bCs w:val="false"/>
        </w:rPr>
        <w:t xml:space="preserve"> These nominal familial ties served to put the workers in the company's debt, which both disallowed the Barbados men from leaving, and cheapened their labor, as the profits from the company store far outweighed their salaries. </w:t>
      </w:r>
    </w:p>
    <w:p>
      <w:pPr>
        <w:pStyle w:val="Normal"/>
        <w:bidi w:val="0"/>
        <w:spacing w:lineRule="auto" w:line="480"/>
        <w:jc w:val="start"/>
        <w:rPr>
          <w:rFonts w:ascii="Liberation Serif" w:hAnsi="Liberation Serif"/>
        </w:rPr>
      </w:pPr>
      <w:r>
        <w:rPr>
          <w:b w:val="false"/>
          <w:bCs w:val="false"/>
        </w:rPr>
        <w:tab/>
        <w:t>Food was a central question for workers in the Putumayo. When the food provided or sold by the company was insufficient, employees "were often forced to steal food from the Indians, or to go out into the forest and the surrounding plantations and look for it and rob it."</w:t>
      </w:r>
      <w:r>
        <w:rPr>
          <w:rStyle w:val="FootnoteReference"/>
          <w:b w:val="false"/>
          <w:bCs w:val="false"/>
        </w:rPr>
        <w:footnoteReference w:id="19"/>
      </w:r>
      <w:r>
        <w:rPr>
          <w:b w:val="false"/>
          <w:bCs w:val="false"/>
        </w:rPr>
        <w:t xml:space="preserve"> In some cases they had to forage their own food and survive on "a wild herb called by the Indians 'airambo'."</w:t>
      </w:r>
      <w:r>
        <w:rPr>
          <w:rStyle w:val="FootnoteReference"/>
          <w:b w:val="false"/>
          <w:bCs w:val="false"/>
        </w:rPr>
        <w:footnoteReference w:id="20"/>
      </w:r>
      <w:r>
        <w:rPr>
          <w:b w:val="false"/>
          <w:bCs w:val="false"/>
        </w:rPr>
        <w:t xml:space="preserve"> On the long marches through the jungle, "[n]o food is to be obtained ... except from the few Indians who may be dwelling in the neighborhood, and these poor people now have little enough for themselves."</w:t>
      </w:r>
      <w:r>
        <w:rPr>
          <w:rStyle w:val="FootnoteReference"/>
          <w:b w:val="false"/>
          <w:bCs w:val="false"/>
        </w:rPr>
        <w:footnoteReference w:id="21"/>
      </w:r>
      <w:r>
        <w:rPr>
          <w:b w:val="false"/>
          <w:bCs w:val="false"/>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jc w:val="start"/>
        <w:rPr>
          <w:rFonts w:ascii="Liberation Serif" w:hAnsi="Liberation Serif"/>
        </w:rPr>
      </w:pPr>
      <w:r>
        <w:rPr>
          <w:b w:val="false"/>
          <w:bCs w:val="false"/>
        </w:rPr>
        <w:tab/>
        <w:t xml:space="preserve">As we can see, the men from Barbados were brought in as slave-drivers, but they were also themselves driven. In addition to outlining the debt they incurred and the conditions of starvation they faced, Casement recounts at length four cases in which the Barbadians were tortured and mistreated by the white company agents. 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p>
      <w:pPr>
        <w:pStyle w:val="Normal"/>
        <w:bidi w:val="0"/>
        <w:spacing w:lineRule="auto" w:line="480"/>
        <w:jc w:val="start"/>
        <w:rPr>
          <w:rFonts w:ascii="Liberation Serif" w:hAnsi="Liberation Serif"/>
          <w:b w:val="false"/>
          <w:bCs w:val="false"/>
        </w:rPr>
      </w:pPr>
      <w:r>
        <w:rPr>
          <w:b w:val="false"/>
          <w:bCs w:val="false"/>
        </w:rPr>
      </w:r>
    </w:p>
    <w:p>
      <w:pPr>
        <w:pStyle w:val="Normal"/>
        <w:bidi w:val="0"/>
        <w:spacing w:lineRule="auto" w:line="480"/>
        <w:jc w:val="start"/>
        <w:rPr>
          <w:rFonts w:ascii="Liberation Serif" w:hAnsi="Liberation Serif"/>
        </w:rPr>
      </w:pPr>
      <w:r>
        <w:rPr>
          <w:b/>
          <w:bCs/>
        </w:rPr>
        <w:t>Labour Discipline and Colonial Hegemony</w:t>
      </w:r>
    </w:p>
    <w:p>
      <w:pPr>
        <w:pStyle w:val="Normal"/>
        <w:bidi w:val="0"/>
        <w:spacing w:lineRule="auto" w:line="480"/>
        <w:jc w:val="start"/>
        <w:rPr>
          <w:rFonts w:ascii="Liberation Serif" w:hAnsi="Liberation Serif"/>
        </w:rPr>
      </w:pPr>
      <w:r>
        <w:rPr>
          <w:b w:val="false"/>
          <w:bCs w:val="false"/>
        </w:rPr>
        <w:tab/>
        <w:t>What was the purpose of this brutality? The contemporary accounts are shot through with attempts to make sense of something so offensive to sense and reason. Casement makes the argument in his report that the enslavement of the Huitoto people and their terrorization was a response by the Peruvian Amazon Company to the condition of labor scarcity in the region. The Barbadians were brought in to offset some of the dangers and difficulties of the slaving raids, and overseeing the native workers on their long marches through the forest. Due to the expense of transporting the rubber from the Putumayo to market, Casement says that the "company resorted to the use of forced labour under a debt-peonage system, and used torture to maintain labour discipline."</w:t>
      </w:r>
      <w:r>
        <w:rPr>
          <w:rStyle w:val="FootnoteReference"/>
          <w:b w:val="false"/>
          <w:bCs w:val="false"/>
        </w:rPr>
        <w:footnoteReference w:id="22"/>
      </w:r>
      <w:r>
        <w:rPr>
          <w:b w:val="false"/>
          <w:bCs w:val="false"/>
        </w:rPr>
        <w:t xml:space="preserve"> But as Michael Taussig claims, this, while not incorrect, can only be a partial explanation, as "terror and torture do not derive only from market pressure (which we can regard here as a trigger) but also from the process of cultural construction of evil as well."</w:t>
      </w:r>
      <w:r>
        <w:rPr>
          <w:rStyle w:val="FootnoteReference"/>
          <w:b w:val="false"/>
          <w:bCs w:val="false"/>
        </w:rPr>
        <w:footnoteReference w:id="23"/>
      </w:r>
      <w:r>
        <w:rPr>
          <w:b w:val="false"/>
          <w:bCs w:val="false"/>
        </w:rPr>
        <w:t xml:space="preserve"> Indeed, the violence employed by the PAC was not only directed at the native workers, but at their entire communities and even the salaried Barbadian employees, and in fact it undermined the workforce by starving, maiming, and ultimately slaughtering thousands of would-be rubber tappers. </w:t>
      </w:r>
    </w:p>
    <w:p>
      <w:pPr>
        <w:pStyle w:val="Normal"/>
        <w:bidi w:val="0"/>
        <w:spacing w:lineRule="auto" w:line="480"/>
        <w:jc w:val="start"/>
        <w:rPr>
          <w:rFonts w:ascii="Liberation Serif" w:hAnsi="Liberation Serif"/>
        </w:rPr>
      </w:pPr>
      <w:r>
        <w:rPr>
          <w:b w:val="false"/>
          <w:bCs w:val="false"/>
        </w:rPr>
        <w:tab/>
        <w:t>So again: what was the purpose of this horror? Taussig's analysis of this question sheds light on our initial concern with the transformation of the lives of rubber workers. The brutality of the PAC's methods were crucial in the elaboration, not only of a new kind of man, but of new kinds of family and a new kind of society built on a rigid racial hierarchy. He places the terror of the Putumayo within the context of the "construction of colonial reality that occurred in the New World... where the Indian and the African became subject to an initially far smaller number of Christians."</w:t>
      </w:r>
      <w:r>
        <w:rPr>
          <w:rStyle w:val="FootnoteReference"/>
          <w:b w:val="false"/>
          <w:bCs w:val="false"/>
        </w:rPr>
        <w:footnoteReference w:id="24"/>
      </w:r>
      <w:r>
        <w:rPr>
          <w:b w:val="false"/>
          <w:bCs w:val="false"/>
        </w:rPr>
        <w:t xml:space="preserve"> Terror played a fundamental role in this construction: terror "which as well as being a physiological state is also a social fact and a cultural construction whose baroque dimensions allow it to serve as the mediator</w:t>
      </w:r>
      <w:r>
        <w:rPr>
          <w:b w:val="false"/>
          <w:bCs w:val="false"/>
          <w:i/>
          <w:iCs/>
        </w:rPr>
        <w:t xml:space="preserve"> par excellence</w:t>
      </w:r>
      <w:r>
        <w:rPr>
          <w:b w:val="false"/>
          <w:bCs w:val="false"/>
          <w:i w:val="false"/>
          <w:iCs w:val="false"/>
        </w:rPr>
        <w:t xml:space="preserve"> of colonial hegemony."</w:t>
      </w:r>
      <w:r>
        <w:rPr>
          <w:rStyle w:val="FootnoteReference"/>
          <w:b w:val="false"/>
          <w:bCs w:val="false"/>
          <w:i w:val="false"/>
          <w:iCs w:val="false"/>
        </w:rPr>
        <w:footnoteReference w:id="25"/>
      </w:r>
      <w:r>
        <w:rPr>
          <w:b w:val="false"/>
          <w:bCs w:val="false"/>
          <w:i/>
          <w:iCs/>
        </w:rPr>
        <w:t xml:space="preserve"> </w:t>
      </w:r>
    </w:p>
    <w:p>
      <w:pPr>
        <w:pStyle w:val="Normal"/>
        <w:bidi w:val="0"/>
        <w:spacing w:lineRule="auto" w:line="480"/>
        <w:jc w:val="start"/>
        <w:rPr>
          <w:rFonts w:ascii="Liberation Serif" w:hAnsi="Liberation Serif"/>
        </w:rPr>
      </w:pPr>
      <w:r>
        <w:rPr>
          <w:b w:val="false"/>
          <w:bCs w:val="false"/>
          <w:i w:val="false"/>
          <w:iCs w:val="false"/>
        </w:rPr>
        <w:tab/>
        <w:t>The construction of colonial hegemony goes back a long way, and the actions of the Peruvian Amazon Company, which Hardenburg ironically calls the 'civilising company', can be seen in a sense as a continuation of the Valladolid debate: an attempt by European conquering powers to, as Jason Moore says "justify and enable the profit-driven conquest, appropriation, and exploitation of humans and the rest of nature so as to sustain the endless accumulation of capital."</w:t>
      </w:r>
      <w:r>
        <w:rPr>
          <w:rStyle w:val="FootnoteReference"/>
          <w:b w:val="false"/>
          <w:bCs w:val="false"/>
          <w:i w:val="false"/>
          <w:iCs w:val="false"/>
        </w:rPr>
        <w:footnoteReference w:id="26"/>
      </w:r>
      <w:r>
        <w:rPr>
          <w:b w:val="false"/>
          <w:bCs w:val="false"/>
          <w:i w:val="false"/>
          <w:iCs w:val="false"/>
        </w:rPr>
        <w:t xml:space="preserve"> This was indeed a Civilising Project by a "civilising company" in that it was an attempt to impose a civilizational order that not only extracted cheap labor from its racialized subjects, but that actively devalued both indigenous populations and their ways of life, as well as the natural world. </w:t>
      </w:r>
    </w:p>
    <w:p>
      <w:pPr>
        <w:pStyle w:val="Normal"/>
        <w:bidi w:val="0"/>
        <w:spacing w:lineRule="auto" w:line="480"/>
        <w:jc w:val="start"/>
        <w:rPr>
          <w:rFonts w:ascii="Liberation Serif" w:hAnsi="Liberation Serif"/>
        </w:rPr>
      </w:pPr>
      <w:r>
        <w:rPr>
          <w:b w:val="false"/>
          <w:bCs w:val="false"/>
          <w:i w:val="false"/>
          <w:iCs w:val="false"/>
        </w:rPr>
        <w:tab/>
        <w:t xml:space="preserve">But the perpetrators of genocide were not the only participants in the construction of colonial hegemony, though they may have been its most grotesque face. Indeed, many of the liberal humanitarians who were instrumental in exposing and stopping the genocide were also invested in the same civilising project - their difference of opinion with the PAC lay in the means, not the ends. I would now like to make a closer reading of some of the early publications that exposed the genocide and called for intervention. For the moment we will bracket and set aside Roger Casement and focus on Hardenburg's account in The Devil's Paradise, as edited and introduced by C. Reginald Enock. </w:t>
      </w:r>
    </w:p>
    <w:p>
      <w:pPr>
        <w:pStyle w:val="Normal"/>
        <w:bidi w:val="0"/>
        <w:spacing w:lineRule="auto" w:line="480"/>
        <w:jc w:val="start"/>
        <w:rPr>
          <w:rFonts w:ascii="Liberation Serif" w:hAnsi="Liberation Serif"/>
        </w:rPr>
      </w:pPr>
      <w:r>
        <w:rPr>
          <w:b w:val="false"/>
          <w:bCs w:val="false"/>
        </w:rPr>
        <w:tab/>
        <w:t>Enock's introduction to Hardenburg's account is an interesting document. Enock was a mining engineer who wrote several books about his travels through South America, and who, according to his obituary, "spent much of his life expounding an economic system based on Christian principles."</w:t>
      </w:r>
      <w:r>
        <w:rPr>
          <w:rStyle w:val="FootnoteReference"/>
          <w:b w:val="false"/>
          <w:bCs w:val="false"/>
        </w:rPr>
        <w:footnoteReference w:id="27"/>
      </w:r>
      <w:r>
        <w:rPr>
          <w:b w:val="false"/>
          <w:bCs w:val="false"/>
        </w:rPr>
        <w:t xml:space="preserve"> Indeed, his introduction is full of righteous anger and denunciations of the anti-Christian conduct done "under a republican Government in a Christianised country, at the behest of the agents of a great joint-stock company with headquarters in London."</w:t>
      </w:r>
      <w:r>
        <w:rPr>
          <w:rStyle w:val="FootnoteReference"/>
          <w:b w:val="false"/>
          <w:bCs w:val="false"/>
        </w:rPr>
        <w:footnoteReference w:id="28"/>
      </w:r>
      <w:r>
        <w:rPr>
          <w:b w:val="false"/>
          <w:bCs w:val="false"/>
        </w:rPr>
        <w:t xml:space="preserve"> He condemns the system in which "[i]n order to obtain rubber so that the luxurious-tyred motor-cars of civilisation might multiply in the cities of Christendom, the dismal forests of the Amazon have echoed with the cries of despairing and tortured Indian aborigines."</w:t>
      </w:r>
      <w:r>
        <w:rPr>
          <w:rStyle w:val="FootnoteReference"/>
          <w:b w:val="false"/>
          <w:bCs w:val="false"/>
        </w:rPr>
        <w:footnoteReference w:id="29"/>
      </w:r>
      <w:r>
        <w:rPr>
          <w:b w:val="false"/>
          <w:bCs w:val="false"/>
        </w:rPr>
        <w:t xml:space="preserve"> For him there is a great irony in the poor conduct of the Christians towards a people that he says "[i]n general are docile and have good qualities; they are naturally free from immorality and disease; they have a strong affection for their women and children and a regard for the aged." In the next sentence, however, he lets slip his mask: The people of the Putumayo are "well worthy of preservation, and might have been a valuable asset to the region."</w:t>
      </w:r>
      <w:r>
        <w:rPr>
          <w:rStyle w:val="FootnoteReference"/>
          <w:b w:val="false"/>
          <w:bCs w:val="false"/>
        </w:rPr>
        <w:footnoteReference w:id="30"/>
      </w:r>
    </w:p>
    <w:p>
      <w:pPr>
        <w:pStyle w:val="Normal"/>
        <w:bidi w:val="0"/>
        <w:spacing w:lineRule="auto" w:line="480"/>
        <w:jc w:val="start"/>
        <w:rPr>
          <w:rFonts w:ascii="Liberation Serif" w:hAnsi="Liberation Serif"/>
        </w:rPr>
      </w:pPr>
      <w:r>
        <w:rPr>
          <w:b w:val="false"/>
          <w:bCs w:val="false"/>
        </w:rPr>
        <w:tab/>
        <w:t xml:space="preserve">Enock's christian brotherliness only goes so far. The peoples of the Putumayo are "worthy of preservation" in so far as they are docile and free from immorality. He projects an explicit framework of racial classification in which some peoples are more valued than others. He initially rejects the prevailing racialization of the indigenous Putumayans, saying that "[t]hese people, although known as </w:t>
      </w:r>
      <w:r>
        <w:rPr>
          <w:b w:val="false"/>
          <w:bCs w:val="false"/>
          <w:i/>
          <w:iCs/>
        </w:rPr>
        <w:t>infieles</w:t>
      </w:r>
      <w:r>
        <w:rPr>
          <w:b w:val="false"/>
          <w:bCs w:val="false"/>
        </w:rPr>
        <w:t xml:space="preserve"> and </w:t>
      </w:r>
      <w:r>
        <w:rPr>
          <w:b w:val="false"/>
          <w:bCs w:val="false"/>
          <w:i/>
          <w:iCs/>
        </w:rPr>
        <w:t>salvages</w:t>
      </w:r>
      <w:r>
        <w:rPr>
          <w:b w:val="false"/>
          <w:bCs w:val="false"/>
        </w:rPr>
        <w:t xml:space="preserve"> - that is, 'un-faithed' and 'savage' - cannot be described as savages in the ordinary sense of the term. They have nothing in common with the bloody savages of Africa and other parts of the world." Even his praise is built on the devaluation of other races, but faint as it is he cannot hold onto it for long. A mere two pages later he attempts to describe the various peoples in Peru, saying "[t]</w:t>
      </w:r>
      <w:r>
        <w:rPr>
          <w:b w:val="false"/>
          <w:bCs w:val="false"/>
          <w:i w:val="false"/>
          <w:iCs w:val="false"/>
        </w:rPr>
        <w:t xml:space="preserve">he highland and coast people were those who formed the population under the Inca government, and under whose control they had reached a high degree of aboriginal civilisation; whilst the indigenes of the forests were more or less roving bands of savages, dwelling on the river banks, without other forms of government than that of the </w:t>
      </w:r>
      <w:r>
        <w:rPr>
          <w:b w:val="false"/>
          <w:bCs w:val="false"/>
          <w:i/>
          <w:iCs/>
        </w:rPr>
        <w:t>curacas</w:t>
      </w:r>
      <w:r>
        <w:rPr>
          <w:b w:val="false"/>
          <w:bCs w:val="false"/>
          <w:i w:val="false"/>
          <w:iCs w:val="false"/>
        </w:rPr>
        <w:t>, or petty chiefs of families or tribe.</w:t>
      </w:r>
      <w:r>
        <w:rPr>
          <w:b w:val="false"/>
          <w:bCs w:val="false"/>
        </w:rPr>
        <w:t xml:space="preserve">" As evidence of the virtue of the people in the coastal region, Enock says they live under an intelligible structure, in which "every village contains its </w:t>
      </w:r>
      <w:r>
        <w:rPr>
          <w:b w:val="false"/>
          <w:bCs w:val="false"/>
          <w:i/>
          <w:iCs/>
        </w:rPr>
        <w:t>iglesia</w:t>
      </w:r>
      <w:r>
        <w:rPr>
          <w:b w:val="false"/>
          <w:bCs w:val="false"/>
          <w:i w:val="false"/>
          <w:iCs w:val="false"/>
        </w:rPr>
        <w:t xml:space="preserve"> and village priest."</w:t>
      </w:r>
      <w:r>
        <w:rPr>
          <w:rStyle w:val="FootnoteReference"/>
          <w:b w:val="false"/>
          <w:bCs w:val="false"/>
          <w:i w:val="false"/>
          <w:iCs w:val="false"/>
        </w:rPr>
        <w:footnoteReference w:id="31"/>
      </w:r>
      <w:r>
        <w:rPr>
          <w:b w:val="false"/>
          <w:bCs w:val="false"/>
          <w:i w:val="false"/>
          <w:iCs w:val="false"/>
        </w:rPr>
        <w:t xml:space="preserve"> In perhaps the most bizarre expression of his racial calculus, Enock develops an explanation of why the Peruvian 'Christians' would commit such terrible crimes, and why the English stockholders should to some extent be exudes. To quote somewhat at length: </w:t>
      </w:r>
    </w:p>
    <w:p>
      <w:pPr>
        <w:pStyle w:val="Normal"/>
        <w:bidi w:val="0"/>
        <w:spacing w:lineRule="auto" w:line="480"/>
        <w:ind w:hanging="0" w:start="1080"/>
        <w:jc w:val="start"/>
        <w:rPr>
          <w:rFonts w:ascii="Liberation Serif" w:hAnsi="Liberation Serif"/>
        </w:rPr>
      </w:pPr>
      <w:r>
        <w:rPr/>
        <w:t xml:space="preserve">"Apart from topographical considerations, the sinister occurrences on the Putumayo are, to some extent, the result of a sinister human element - the Spanish and Portuguese character. The remarkable trait of callousness to human suffering which the Iberian people of Portugal and Spain - themselves a mixture of Moor, Goth, Semite, Vantal, and other peoples - introduced into the Latin American race is here shown in its intensity, and is augmented by a further Spanish quality. The Spaniard often regards the Indians as </w:t>
      </w:r>
      <w:r>
        <w:rPr>
          <w:i/>
          <w:iCs/>
        </w:rPr>
        <w:t>animals</w:t>
      </w:r>
      <w:r>
        <w:rPr>
          <w:i w:val="false"/>
          <w:iCs w:val="false"/>
        </w:rPr>
        <w:t>. Other European people may have abused the Indians of America, but none have that peculiar Spanish attitude towards them of frankly considering them as non-human.[ ... ]</w:t>
      </w:r>
      <w:r>
        <w:rPr/>
        <w:t xml:space="preserve">There is yet a further trait of the Latin American which to the Anglo-Saxon mind is almost inexplicable. This is the pleasure in the torture of the Indian as a </w:t>
      </w:r>
      <w:r>
        <w:rPr>
          <w:i/>
          <w:iCs/>
        </w:rPr>
        <w:t>diversion</w:t>
      </w:r>
      <w:r>
        <w:rPr>
          <w:i w:val="false"/>
          <w:iCs w:val="false"/>
        </w:rPr>
        <w:t>, not merely as a vengeance or 'punishment.'</w:t>
      </w:r>
      <w:r>
        <w:rPr/>
        <w:t>"</w:t>
      </w:r>
      <w:r>
        <w:rPr>
          <w:rStyle w:val="FootnoteReference"/>
        </w:rPr>
        <w:footnoteReference w:id="32"/>
      </w:r>
    </w:p>
    <w:p>
      <w:pPr>
        <w:pStyle w:val="Normal"/>
        <w:bidi w:val="0"/>
        <w:spacing w:lineRule="auto" w:line="480"/>
        <w:jc w:val="start"/>
        <w:rPr>
          <w:rFonts w:ascii="Liberation Serif" w:hAnsi="Liberation Serif"/>
        </w:rPr>
      </w:pPr>
      <w:r>
        <w:rPr/>
        <w:t xml:space="preserve">The explanation? That the Peruvians carry bad Iberian blood, blood of a lower class. Enock's analysis exists within a rigid racial hierarchy - even his criticism of ethnic cleansing reinforces colonial hierarchy. This is a criticism not </w:t>
      </w:r>
      <w:r>
        <w:rPr>
          <w:i/>
          <w:iCs/>
        </w:rPr>
        <w:t>of</w:t>
      </w:r>
      <w:r>
        <w:rPr/>
        <w:t xml:space="preserve">, but </w:t>
      </w:r>
      <w:r>
        <w:rPr>
          <w:i/>
          <w:iCs/>
        </w:rPr>
        <w:t>internal to</w:t>
      </w:r>
      <w:r>
        <w:rPr/>
        <w:t xml:space="preserve"> the Civilising Project.</w:t>
      </w:r>
    </w:p>
    <w:p>
      <w:pPr>
        <w:pStyle w:val="Normal"/>
        <w:bidi w:val="0"/>
        <w:spacing w:lineRule="auto" w:line="480"/>
        <w:jc w:val="start"/>
        <w:rPr>
          <w:rFonts w:ascii="Liberation Serif" w:hAnsi="Liberation Serif"/>
        </w:rPr>
      </w:pPr>
      <w:r>
        <w:rPr/>
        <w:tab/>
        <w:t>It is not surprising that, as an engineer, Enock would be chosen to introduce Hardenburg's narrative. Although Hardenburg is less explicit about his racial prejudices - he has them, but they don't shine through so vividly - he shares another interest with Enock. As they describe the natural space of the Putumayo basin and its inhabitants, they do so as surveyors and engineers, cataloging every natural and human element in terms of their potential to produce profit. Enock writes: "In the Peruvian Montaña, in its upper regions, Nature has been lavish of her products and opportunities. The rancher who should take up his abode there, with a small amount of capital, can rapidly acquire estates and wealth.... It is sufficient to cut down and burn the brush and scratch the soil and sow any seed, to recover return of a hundred for one." And a page later: "The whole Amazon Valley, when it shall have been opened up, will prove to be one of the most valuable parts of the earth's surface." What's odd about these quotes is that they are sandwiched between the diatribes against the "savages" of North and South America and the extended musings on the racial mixing of Spanish and Latin American races. It's written in a scattered way, as if Enock can't decide between the relative importance of accumulation and expounding his racial theories.</w:t>
      </w:r>
    </w:p>
    <w:p>
      <w:pPr>
        <w:pStyle w:val="Normal"/>
        <w:bidi w:val="0"/>
        <w:spacing w:lineRule="auto" w:line="480"/>
        <w:jc w:val="start"/>
        <w:rPr>
          <w:rFonts w:ascii="Liberation Serif" w:hAnsi="Liberation Serif"/>
        </w:rPr>
      </w:pPr>
      <w:r>
        <w:rPr/>
        <w:tab/>
        <w:t>Hardenburg's account is somewhat more focused on profit, as his journey was planned explicitly as an expedition to find potential areas of investment. He wanted to take advantage of the rubber boom, but kept a keen eye on any potentially profitable ventures. He similarly discusses the suitability of the region for agriculture, noting that "[a] part of the valley is low and swampy, but the rest is good, rich soil, quite suitable for agricultural purposes, and covered with a thick, short grass. Although all the encircling mountains are clad with forests, the valley is, at present, cleared and ready for cultivation."</w:t>
      </w:r>
      <w:r>
        <w:rPr>
          <w:rStyle w:val="FootnoteReference"/>
        </w:rPr>
        <w:footnoteReference w:id="33"/>
      </w:r>
      <w:r>
        <w:rPr/>
        <w:t xml:space="preserve"> As he travels down the river, he takes samples of rocks that might indicate the presence of valuable minerals.</w:t>
      </w:r>
    </w:p>
    <w:p>
      <w:pPr>
        <w:pStyle w:val="Normal"/>
        <w:bidi w:val="0"/>
        <w:spacing w:lineRule="auto" w:line="480"/>
        <w:jc w:val="start"/>
        <w:rPr>
          <w:rFonts w:ascii="Liberation Serif" w:hAnsi="Liberation Serif"/>
        </w:rPr>
      </w:pPr>
      <w:r>
        <w:rPr/>
        <w:tab/>
        <w:t xml:space="preserve">Once Hardenburg reaches the rubber producing regions, he quickly hits it off with the Colombian rubber agents. Talking to an agent named Duarte, Hardenburg learns that "all this rubber was collected by the Indians in the Company's service, who came periodically with what they had collected and exchanged it for merchandise, &amp;c., sold to them at rather exorbitant prices." This description hardly seems like a positive assessment of the Colombian Duarte, but it is explicitly presented as the positive complement to the maltreatment of the local inhabitants of the region by the Peruvians: "... the greatest portion of [the Huitotos] were in the service of the Peruvian Amazon Company, which, Duarte informed me, treated them very harshly, obliging them to work night and day without the slightest remuneration." </w:t>
      </w:r>
    </w:p>
    <w:p>
      <w:pPr>
        <w:pStyle w:val="Normal"/>
        <w:bidi w:val="0"/>
        <w:spacing w:lineRule="auto" w:line="480"/>
        <w:jc w:val="start"/>
        <w:rPr>
          <w:rFonts w:ascii="Liberation Serif" w:hAnsi="Liberation Serif"/>
        </w:rPr>
      </w:pPr>
      <w:r>
        <w:rPr/>
        <w:tab/>
        <w:t xml:space="preserve">Further anecdotes are meant to reflect well on the treatment of the Huitoto by the Colombian settlers, such as the observation that the native employees of the Colombian firms wear European clothes, but this purported concern for the welfare of the local inhabitants of the Putumayo is undermined by a description of the Christmas celebration that Hardenburg passes with the Colombian rubber men: </w:t>
      </w:r>
      <w:r>
        <w:rPr>
          <w:b w:val="false"/>
          <w:bCs w:val="false"/>
          <w:i w:val="false"/>
          <w:iCs w:val="false"/>
        </w:rPr>
        <w:t xml:space="preserve">"Then López brought out a small barrel of the indispensable </w:t>
      </w:r>
      <w:r>
        <w:rPr>
          <w:b w:val="false"/>
          <w:bCs w:val="false"/>
          <w:i/>
          <w:iCs/>
        </w:rPr>
        <w:t>aguardiente</w:t>
      </w:r>
      <w:r>
        <w:rPr>
          <w:b w:val="false"/>
          <w:bCs w:val="false"/>
          <w:i w:val="false"/>
          <w:iCs w:val="false"/>
        </w:rPr>
        <w:t>, and everybody, including the sick policemen, their Cioni boatmen, and Perkins and myself, got on more or less of a jag, which lasted all day, and was not interrupted even by the death of one of López' Indians, who, it seems, had been ailing for some time."</w:t>
      </w:r>
      <w:r>
        <w:rPr>
          <w:rStyle w:val="FootnoteReference"/>
          <w:b w:val="false"/>
          <w:bCs w:val="false"/>
          <w:i w:val="false"/>
          <w:iCs w:val="false"/>
        </w:rPr>
        <w:footnoteReference w:id="34"/>
      </w:r>
    </w:p>
    <w:p>
      <w:pPr>
        <w:pStyle w:val="Normal"/>
        <w:bidi w:val="0"/>
        <w:spacing w:lineRule="auto" w:line="480"/>
        <w:jc w:val="start"/>
        <w:rPr>
          <w:rFonts w:ascii="Liberation Serif" w:hAnsi="Liberation Serif"/>
        </w:rPr>
      </w:pPr>
      <w:r>
        <w:rPr/>
        <w:tab/>
        <w:t xml:space="preserve">A few days after the Christmas celebration, Hardenburg entered into negotiations to purchase stock in one of the Colombian rubber companies. Unfortunately for him, the negotiations were cut short when the Peruvian Amazon Company, accompanied by Peruvian soldiers, launched a raid on the Colombian rubber settlements, massacred the workers and agents, and took Hardenburg and his traveling mate captive. It is in captivity that Hardenburg witnessed the bulk of the atrocities that would inform his report which broke the news of the Putumayo Genocide to the English speaking world. It is clear, however, that what he witnessed before he saw the atrocities, what he witnessed while meeting and dealing with the Colombian rubber agents still formed part of the erasure of indigenous life and community in the service of rubber production. The colonial hegemony imposed on the Putumayo region was upheld not only by the atrocities committed by Arana and his agents, but by the cheating of native rubber workers, the enforcing of European customs, the undermining of indigenous production, and the callous disregard for native life expressed by Hardenburg and Enock in their accounts. </w:t>
      </w:r>
    </w:p>
    <w:p>
      <w:pPr>
        <w:pStyle w:val="Normal"/>
        <w:bidi w:val="0"/>
        <w:spacing w:lineRule="auto" w:line="480"/>
        <w:jc w:val="start"/>
        <w:rPr>
          <w:rFonts w:ascii="Liberation Serif" w:hAnsi="Liberation Serif"/>
          <w:b w:val="false"/>
          <w:bCs w:val="false"/>
        </w:rPr>
      </w:pPr>
      <w:r>
        <w:rPr>
          <w:b w:val="false"/>
          <w:bCs w:val="false"/>
        </w:rPr>
      </w:r>
    </w:p>
    <w:p>
      <w:pPr>
        <w:pStyle w:val="Normal"/>
        <w:bidi w:val="0"/>
        <w:spacing w:lineRule="auto" w:line="480"/>
        <w:jc w:val="start"/>
        <w:rPr>
          <w:rFonts w:ascii="Liberation Serif" w:hAnsi="Liberation Serif"/>
        </w:rPr>
      </w:pPr>
      <w:r>
        <w:rPr>
          <w:b/>
          <w:bCs/>
        </w:rPr>
        <w:t>Resistance</w:t>
      </w:r>
    </w:p>
    <w:p>
      <w:pPr>
        <w:pStyle w:val="Normal"/>
        <w:bidi w:val="0"/>
        <w:spacing w:lineRule="auto" w:line="480"/>
        <w:jc w:val="start"/>
        <w:rPr>
          <w:rFonts w:ascii="Liberation Serif" w:hAnsi="Liberation Serif"/>
        </w:rPr>
      </w:pPr>
      <w:r>
        <w:rPr>
          <w:b w:val="false"/>
          <w:bCs w:val="false"/>
        </w:rPr>
        <w:tab/>
        <w:t>Despite Casement's lament that "the Amazon Indian is by nature docile and obedient," and that his "weakness of character and docility of temperament are no match for the dominating ability of those with European blood in their veins,"</w:t>
      </w:r>
      <w:r>
        <w:rPr>
          <w:rStyle w:val="FootnoteReference"/>
          <w:b w:val="false"/>
          <w:bCs w:val="false"/>
        </w:rPr>
        <w:footnoteReference w:id="35"/>
      </w:r>
      <w:r>
        <w:rPr>
          <w:b w:val="false"/>
          <w:bCs w:val="false"/>
        </w:rPr>
        <w:t xml:space="preserve"> it would be wrong to characterize the indigenous peoples of the Amazon as mere passive recipients of civilizational violence. In his introductory remarks to the republication of Peruvian Judge Valcarcel's </w:t>
      </w:r>
      <w:r>
        <w:rPr>
          <w:b w:val="false"/>
          <w:bCs w:val="false"/>
          <w:i/>
          <w:iCs/>
        </w:rPr>
        <w:t>El Proceso del Putumayo</w:t>
      </w:r>
      <w:r>
        <w:rPr>
          <w:b w:val="false"/>
          <w:bCs w:val="false"/>
          <w:i w:val="false"/>
          <w:iCs w:val="false"/>
        </w:rPr>
        <w:t>, Alberto Chirif outlines a long lineage of resistance by Indigenous Amazonians to European colonization. He identifies three successive periods in which different justifications were claimed for the domination of the indigenous Americans.</w:t>
      </w:r>
      <w:r>
        <w:rPr>
          <w:rStyle w:val="FootnoteReference"/>
          <w:b w:val="false"/>
          <w:bCs w:val="false"/>
          <w:i w:val="false"/>
          <w:iCs w:val="false"/>
        </w:rPr>
        <w:footnoteReference w:id="36"/>
      </w:r>
      <w:r>
        <w:rPr>
          <w:b w:val="false"/>
          <w:bCs w:val="false"/>
          <w:i w:val="false"/>
          <w:iCs w:val="false"/>
        </w:rPr>
        <w:t xml:space="preserve"> Initially, the indigenous peoples were subjugated and enslaved by Europeans on the grounds that they were no human, but after the papal bull of 1537 which declared their humanity, the justification shifted. The natives peoples of the Americas were now considered human but atheists, and the west was justified in taking responsibility for their salvation. Finally, with the development of secularism in the 19th century, the theory of evolution was taken up by the advocates of western civilization who framed indigenous peoples as savage enemies of civilization. However, as Chirif notes, each of these successive justifications for conquest were in reality cumulative - they built on each other to further the civilizing project.</w:t>
      </w:r>
      <w:r>
        <w:rPr>
          <w:rStyle w:val="FootnoteReference"/>
          <w:b w:val="false"/>
          <w:bCs w:val="false"/>
          <w:i w:val="false"/>
          <w:iCs w:val="false"/>
        </w:rPr>
        <w:footnoteReference w:id="37"/>
      </w:r>
      <w:r>
        <w:rPr>
          <w:b w:val="false"/>
          <w:bCs w:val="false"/>
          <w:i w:val="false"/>
          <w:iCs w:val="false"/>
        </w:rPr>
        <w:t xml:space="preserve"> In the development of this logic, any action that the indigenous peoples took was framed negatively. If they fought back they were considered as either subhuman or heathen savages, and if they didn't then they had "weakness of character and docility of temperament." Moments of resistance especially were incorporated into the civilizing narrative as justifying the brutal methods of subjugation.</w:t>
      </w:r>
    </w:p>
    <w:p>
      <w:pPr>
        <w:pStyle w:val="Normal"/>
        <w:bidi w:val="0"/>
        <w:spacing w:lineRule="auto" w:line="480"/>
        <w:jc w:val="start"/>
        <w:rPr>
          <w:rFonts w:ascii="Liberation Serif" w:hAnsi="Liberation Serif"/>
        </w:rPr>
      </w:pPr>
      <w:r>
        <w:rPr>
          <w:b w:val="false"/>
          <w:bCs w:val="false"/>
          <w:i w:val="false"/>
          <w:iCs w:val="false"/>
        </w:rPr>
        <w:tab/>
        <w:t>In the case of Peru, the state was interested in incorporating the resource-rich Amazon into the national economy, as it was being under-utilized by its inhabitants.</w:t>
      </w:r>
      <w:r>
        <w:rPr>
          <w:rStyle w:val="FootnoteReference"/>
          <w:b w:val="false"/>
          <w:bCs w:val="false"/>
          <w:i w:val="false"/>
          <w:iCs w:val="false"/>
        </w:rPr>
        <w:footnoteReference w:id="38"/>
      </w:r>
      <w:r>
        <w:rPr>
          <w:b w:val="false"/>
          <w:bCs w:val="false"/>
          <w:i w:val="false"/>
          <w:iCs w:val="false"/>
        </w:rPr>
        <w:t xml:space="preserve"> In the 1860s, Peru began to assert its presence in the rain forest, and in 1866 sent a steamship along the Putumayo to determine its navigability. In August the steamship was attacked by the region's inhabitants, and two men were killed. In response, a second team was sent out with the express purpose of demonstrating the superiority of the Peruvians. This demonstration took the form of a massacre: an unrecorded number of dead men, along with three women and fourteen children taken prisoner. The place was renamed by the Peruvians the "port of Punishment."</w:t>
      </w:r>
      <w:r>
        <w:rPr>
          <w:rStyle w:val="FootnoteReference"/>
          <w:b w:val="false"/>
          <w:bCs w:val="false"/>
          <w:i w:val="false"/>
          <w:iCs w:val="false"/>
        </w:rPr>
        <w:footnoteReference w:id="39"/>
      </w:r>
      <w:r>
        <w:rPr>
          <w:b w:val="false"/>
          <w:bCs w:val="false"/>
          <w:i w:val="false"/>
          <w:iCs w:val="false"/>
        </w:rPr>
        <w:t xml:space="preserve"> </w:t>
      </w:r>
    </w:p>
    <w:p>
      <w:pPr>
        <w:pStyle w:val="Normal"/>
        <w:bidi w:val="0"/>
        <w:spacing w:lineRule="auto" w:line="480"/>
        <w:jc w:val="start"/>
        <w:rPr>
          <w:rFonts w:ascii="Liberation Serif" w:hAnsi="Liberation Serif"/>
        </w:rPr>
      </w:pPr>
      <w:r>
        <w:rPr>
          <w:b w:val="false"/>
          <w:bCs w:val="false"/>
          <w:i w:val="false"/>
          <w:iCs w:val="false"/>
        </w:rPr>
        <w:tab/>
        <w:t>This pattern of indigenous resistance to Peruvian incursion being met with overwhelming violence was continued in the Putumayo. As we have seen the first task of the Barbadians after they arrived in the Putumayo was to conduct a series of retaliatory raids on the Andokes people. These raids was characterized in two ways - on the one hand they were intended to "open up what were styled trade relations" with the Andokes people, but at the same time they were explicitly "termed punitive expeditions," payback for the theft of rifles and the killing of civilized Colombians.</w:t>
      </w:r>
      <w:r>
        <w:rPr>
          <w:rStyle w:val="FootnoteReference"/>
          <w:b w:val="false"/>
          <w:bCs w:val="false"/>
          <w:i w:val="false"/>
          <w:iCs w:val="false"/>
        </w:rPr>
        <w:footnoteReference w:id="40"/>
      </w:r>
      <w:r>
        <w:rPr>
          <w:b w:val="false"/>
          <w:bCs w:val="false"/>
          <w:i w:val="false"/>
          <w:iCs w:val="false"/>
        </w:rPr>
        <w:t xml:space="preserve"> The resistance of the Andokes people was used as justification for slaving expeditions: the phrase "trade relations" was a euphemism for the attempt to "capture Indians and compel them to come in and work for Señor Sanchez."</w:t>
      </w:r>
      <w:r>
        <w:rPr>
          <w:rStyle w:val="FootnoteReference"/>
          <w:b w:val="false"/>
          <w:bCs w:val="false"/>
          <w:i w:val="false"/>
          <w:iCs w:val="false"/>
        </w:rPr>
        <w:footnoteReference w:id="41"/>
      </w:r>
      <w:r>
        <w:rPr>
          <w:b w:val="false"/>
          <w:bCs w:val="false"/>
          <w:i w:val="false"/>
          <w:iCs w:val="false"/>
        </w:rPr>
        <w:t xml:space="preserve"> The primary norm of civilized society, trade, was synonymous with the enslavement of the uncivilized. </w:t>
      </w:r>
    </w:p>
    <w:p>
      <w:pPr>
        <w:pStyle w:val="Normal"/>
        <w:bidi w:val="0"/>
        <w:spacing w:lineRule="auto" w:line="480"/>
        <w:jc w:val="start"/>
        <w:rPr>
          <w:rFonts w:ascii="Liberation Serif" w:hAnsi="Liberation Serif"/>
        </w:rPr>
      </w:pPr>
      <w:r>
        <w:rPr>
          <w:b w:val="false"/>
          <w:bCs w:val="false"/>
          <w:i w:val="false"/>
          <w:iCs w:val="false"/>
        </w:rPr>
        <w:tab/>
        <w:t>Like the Andokes people, the Huitoto also attempted to steal rifles from their enslavers. Casement's report narrates the story of an unnamed 'capitán' of the Huitoto who was being held prisoner at the Matanzas station. After another native worker managed to multiple times escape capture, this capitán sent his son on an errand to bring him a rifle that the had secreted away in his house in the forest. The son was caught smuggling the rifle into the station and was hanged. The father was subsequently also hanged, but not before being beaten with machetes. One of the Barbadian workers, an Augustus Walcott, expressed some mild sympathy with the natives, remarking that "this was not the way to punish people" and that "it was a brutal act."</w:t>
      </w:r>
      <w:r>
        <w:rPr>
          <w:rStyle w:val="FootnoteReference"/>
          <w:b w:val="false"/>
          <w:bCs w:val="false"/>
          <w:i w:val="false"/>
          <w:iCs w:val="false"/>
        </w:rPr>
        <w:footnoteReference w:id="42"/>
      </w:r>
      <w:r>
        <w:rPr>
          <w:b w:val="false"/>
          <w:bCs w:val="false"/>
          <w:i w:val="false"/>
          <w:iCs w:val="false"/>
        </w:rPr>
        <w:t xml:space="preserve"> Walcott was threatened with punishment for making this comment, and for an evidently unrelated incident was himself later beaten with machetes and hanged - but by his hands rather than his neck, and so he survived.</w:t>
      </w:r>
    </w:p>
    <w:p>
      <w:pPr>
        <w:pStyle w:val="Normal"/>
        <w:bidi w:val="0"/>
        <w:spacing w:lineRule="auto" w:line="480"/>
        <w:jc w:val="start"/>
        <w:rPr>
          <w:rFonts w:ascii="Liberation Serif" w:hAnsi="Liberation Serif"/>
        </w:rPr>
      </w:pPr>
      <w:r>
        <w:rPr>
          <w:b w:val="false"/>
          <w:bCs w:val="false"/>
          <w:i w:val="false"/>
          <w:iCs w:val="false"/>
        </w:rPr>
        <w:tab/>
        <w:t>This expression of sympathy between the Barbadians and the Putumayo natives was not isolated, but such expressions were overwhelmed by conflict between them. Of course the Barbadians were mostly employed in violently forcing the natives to work, and the fact that they seem to have been compelled to do so by the violence visited on their own heads does not negate the fact that they behaved brutally towards the native workers. They were therefore occasionally the targets of acts of resistance. Although rifles were not easy to come by for the native peoples, they had other methods of resisting enslavement and death. Some simply ran away and evaded capture, but they also enacted positive means of self defense, attacking and wounding the company's employees. Casement notes that the Andokes and Boras peoples were sometimes successful in killing their would-be capturers, and he says that one Barbadian man, Clifford Quintin, had been wounded in one of his feet when they met. "This wound has been caused by a splinter of wood, probably poisoned, placed in the ground by the Indians in order to obstruct the approach of their dwelling places, in the hope of thereby hindering the armed raids made upon them to compel them to work rubber."</w:t>
      </w:r>
      <w:r>
        <w:rPr>
          <w:rStyle w:val="FootnoteReference"/>
          <w:b w:val="false"/>
          <w:bCs w:val="false"/>
          <w:i w:val="false"/>
          <w:iCs w:val="false"/>
        </w:rPr>
        <w:footnoteReference w:id="43"/>
      </w:r>
      <w:r>
        <w:rPr>
          <w:b w:val="false"/>
          <w:bCs w:val="false"/>
          <w:i w:val="false"/>
          <w:iCs w:val="false"/>
        </w:rPr>
        <w:t xml:space="preserve"> The employment of such means of defense around their homes was not merely retaliatory violence, but was quite literally a defense of their homes, and communities - their patterns of life.</w:t>
      </w:r>
    </w:p>
    <w:p>
      <w:pPr>
        <w:pStyle w:val="Normal"/>
        <w:bidi w:val="0"/>
        <w:spacing w:lineRule="auto" w:line="480"/>
        <w:jc w:val="start"/>
        <w:rPr>
          <w:rFonts w:ascii="Liberation Serif" w:hAnsi="Liberation Serif"/>
        </w:rPr>
      </w:pPr>
      <w:r>
        <w:rPr>
          <w:b w:val="false"/>
          <w:bCs w:val="false"/>
          <w:i w:val="false"/>
          <w:iCs w:val="false"/>
        </w:rPr>
        <w:tab/>
        <w:t>But the patterns of life among the native communities were precisely the target of colonial violence - it was the 'savagery' that would be wiped out by civilization. Taussig notes that the practices and culture of the native Putumayans were interpreted very differently by the Peruvians and Casement. Casement emphasizes the irrationality of fearing the Putumayans, indicating that their communities were fractured and they were both too poorly armed and too docile to provide much resistance. But among Peruvian and Colombian settlers, the natives were seen as almost mythically dangerous. When the Colombian slavers were killed by the people they tried to enslave, Casement's informant says that the only reason they did not eat them was "that Indians 'had a repugnance to eating white men, whom they hated too much.'"</w:t>
      </w:r>
      <w:r>
        <w:rPr>
          <w:rStyle w:val="FootnoteReference"/>
          <w:b w:val="false"/>
          <w:bCs w:val="false"/>
          <w:i w:val="false"/>
          <w:iCs w:val="false"/>
        </w:rPr>
        <w:footnoteReference w:id="44"/>
      </w:r>
      <w:r>
        <w:rPr>
          <w:b w:val="false"/>
          <w:bCs w:val="false"/>
          <w:i w:val="false"/>
          <w:iCs w:val="false"/>
        </w:rPr>
        <w:t xml:space="preserve"> Even the lack of cannibalism in this instance was somehow twisted into evidence of savagery.</w:t>
      </w:r>
    </w:p>
    <w:p>
      <w:pPr>
        <w:pStyle w:val="Normal"/>
        <w:bidi w:val="0"/>
        <w:spacing w:lineRule="auto" w:line="480"/>
        <w:jc w:val="start"/>
        <w:rPr>
          <w:rFonts w:ascii="Liberation Serif" w:hAnsi="Liberation Serif"/>
        </w:rPr>
      </w:pPr>
      <w:r>
        <w:rPr>
          <w:b w:val="false"/>
          <w:bCs w:val="false"/>
          <w:i w:val="false"/>
          <w:iCs w:val="false"/>
        </w:rPr>
        <w:tab/>
        <w:t>Thus resistance to colonial expansion was turned into fodder for the intensification of colonial activity. It was portrayed as uncivilized 'savagery' or 'malas acciones' and used to justify a far greater degree of brutality. This pattern, in which resistance to colonial violence is metabolized by the colonial beast and revisited on the indigenous population, is accompanied by a great mythmaking. Taussig notes two related themes around which these myths coalesce: "the horrors of the jungle, and the horrors of savagery."</w:t>
      </w:r>
      <w:r>
        <w:rPr>
          <w:rStyle w:val="FootnoteReference"/>
          <w:b w:val="false"/>
          <w:bCs w:val="false"/>
          <w:i w:val="false"/>
          <w:iCs w:val="false"/>
        </w:rPr>
        <w:footnoteReference w:id="45"/>
      </w:r>
      <w:r>
        <w:rPr>
          <w:b w:val="false"/>
          <w:bCs w:val="false"/>
          <w:i w:val="false"/>
          <w:iCs w:val="false"/>
        </w:rPr>
        <w:t xml:space="preserve"> The Amazon jungle was a place of horrors which degrades those who enter, and the people who have made it their home are, naturally horrific themselves. In the context of Peru's project of civilizing the jungle, the native population took on a "powerfully ambiguous image, a seesawing, bifocalized, and hazy composite of the animal and the human. In their human or human-like form, the wild Indians could all the better reflect back to the colonists the vast and baroque projections of human wildness that the colonists needed to establish their reality as civilized (not to mention business-like) people."</w:t>
      </w:r>
      <w:r>
        <w:rPr>
          <w:rStyle w:val="FootnoteReference"/>
          <w:b w:val="false"/>
          <w:bCs w:val="false"/>
          <w:i w:val="false"/>
          <w:iCs w:val="false"/>
        </w:rPr>
        <w:footnoteReference w:id="46"/>
      </w:r>
      <w:r>
        <w:rPr>
          <w:b w:val="false"/>
          <w:bCs w:val="false"/>
          <w:i w:val="false"/>
          <w:iCs w:val="false"/>
        </w:rPr>
        <w:t xml:space="preserve"> In their hybrid identity, the native peoples of the Amazon served a dual purpose for the rubber companies: they were both the engines of civilization as laborers, and the object of civilization as savages in want of pacification.</w:t>
      </w:r>
    </w:p>
    <w:p>
      <w:pPr>
        <w:pStyle w:val="Normal"/>
        <w:bidi w:val="0"/>
        <w:spacing w:lineRule="auto" w:line="480"/>
        <w:jc w:val="start"/>
        <w:rPr>
          <w:rFonts w:ascii="Liberation Serif" w:hAnsi="Liberation Serif"/>
        </w:rPr>
      </w:pPr>
      <w:r>
        <w:rPr>
          <w:b w:val="false"/>
          <w:bCs w:val="false"/>
          <w:i w:val="false"/>
          <w:iCs w:val="false"/>
        </w:rPr>
        <w:tab/>
        <w:t>For the companies and state actors engaged in the project of civilizing the jungle, the acts of resistance by the indigenous Amazonians were crucial, in that they provided justification for the project itself. The fact of their pacification and employment as laborers meanwhile - which should be considered not a natural state a la Casement, but a state created and enforced by unimaginable violence - provided proof of the project's success. Both the resistance of the Putumayo peoples and the violent reprisal were elements in the project of genocide-as-accumulation. They figured into its creation as well as into its reproduction and maintenance.</w:t>
      </w:r>
    </w:p>
    <w:p>
      <w:pPr>
        <w:pStyle w:val="Normal"/>
        <w:bidi w:val="0"/>
        <w:spacing w:lineRule="auto" w:line="480"/>
        <w:jc w:val="start"/>
        <w:rPr>
          <w:rFonts w:ascii="Liberation Serif" w:hAnsi="Liberation Serif"/>
        </w:rPr>
      </w:pPr>
      <w:r>
        <w:rPr>
          <w:b w:val="false"/>
          <w:bCs w:val="false"/>
          <w:i w:val="false"/>
          <w:iCs w:val="false"/>
        </w:rPr>
        <w:tab/>
        <w:t xml:space="preserve">The intertwined projects of pacification and rubber production are not reducible to either end. Although the violence of the genocide cannot be reduced to an attempt at labor discipline, neither can the genocide be reduced to bloodlust. The interests of the rubber industry were seized on by the capricious monsters of the Arana company who preferred the taste of blood to mammon. At the same time, the extermination of the Putumayo peoples was instrumentalized by the forces of capital. The next section will look at the Putumayo genocide in the context of the reproduction of capital on both a local and a global scale. </w:t>
      </w:r>
    </w:p>
    <w:p>
      <w:pPr>
        <w:pStyle w:val="Normal"/>
        <w:bidi w:val="0"/>
        <w:spacing w:lineRule="auto" w:line="480"/>
        <w:jc w:val="start"/>
        <w:rPr>
          <w:rFonts w:ascii="Liberation Serif" w:hAnsi="Liberation Serif"/>
          <w:b w:val="false"/>
          <w:bCs w:val="false"/>
        </w:rPr>
      </w:pPr>
      <w:r>
        <w:rPr>
          <w:b w:val="false"/>
          <w:bCs w:val="false"/>
        </w:rPr>
      </w:r>
    </w:p>
    <w:p>
      <w:pPr>
        <w:pStyle w:val="Normal"/>
        <w:bidi w:val="0"/>
        <w:spacing w:lineRule="auto" w:line="480"/>
        <w:jc w:val="start"/>
        <w:rPr>
          <w:rFonts w:ascii="Liberation Serif" w:hAnsi="Liberation Serif"/>
        </w:rPr>
      </w:pPr>
      <w:r>
        <w:rPr>
          <w:b/>
          <w:bCs/>
        </w:rPr>
        <w:t>Atrocious Reproduction</w:t>
      </w:r>
    </w:p>
    <w:p>
      <w:pPr>
        <w:pStyle w:val="Normal"/>
        <w:bidi w:val="0"/>
        <w:spacing w:lineRule="auto" w:line="480"/>
        <w:jc w:val="start"/>
        <w:rPr>
          <w:rFonts w:ascii="Liberation Serif" w:hAnsi="Liberation Serif"/>
        </w:rPr>
      </w:pPr>
      <w:r>
        <w:rPr>
          <w:b w:val="false"/>
          <w:bCs w:val="false"/>
        </w:rPr>
        <w:tab/>
        <w:t xml:space="preserve">As a social system, the Putumayo genocide was relatively short lived. It might seem odd to speak of the reproduction of a system that cannibalized itself in just a few short years, but the concept of social reproduction includes not only the generation, but also the daily scale. In the Putumayo, the long-term stable reproduction of the system of rubber collection in was sacrificed in order to intensify the short term collection of rubber. This is true both of the consumption of the rubber commodity and the consumption of labor. But in other ways, the Putumayo genocide contributed to the long-term reproduction of the capitalist world-economy itself. This is most clear in the way that the destruction of local food production opened up the Putumayo as a market for non-perishable goods, especially tinned meats from abroad. There are several key aspects of social reproduction to be examined here: the reproduction of labor, both short- and long-term; the extension of company control over labor, including the reproductive labor of employee's families; the reproduction of the rubber commodity; and the development of a market where sundry goods were bought and sold. </w:t>
      </w:r>
    </w:p>
    <w:p>
      <w:pPr>
        <w:pStyle w:val="Normal"/>
        <w:bidi w:val="0"/>
        <w:spacing w:lineRule="auto" w:line="480"/>
        <w:jc w:val="start"/>
        <w:rPr>
          <w:rFonts w:ascii="Liberation Serif" w:hAnsi="Liberation Serif"/>
        </w:rPr>
      </w:pPr>
      <w:r>
        <w:rPr>
          <w:b w:val="false"/>
          <w:bCs w:val="false"/>
        </w:rPr>
        <w:tab/>
        <w:t xml:space="preserve">It is a primary concern of every society how it will reproduce itself. The production of the necessary means of subsistence and their distribution and consumption are central to the structure of every social order. A defining feature of capitalism is the extent to which the production and consumption of the ordinary means of subsistence are divorced and mediated through exchange. Capitalist workers do not generally consume the direct products of their labor, but must exchange what they produce for a wage which will then allow them to purchase their daily needs - which are products of someone else's labor. Production and consumption become mediated through exchange, and therefore the worker's means of reproducing him- or her-self is likewise mediated through exchange. </w:t>
      </w:r>
    </w:p>
    <w:p>
      <w:pPr>
        <w:pStyle w:val="Normal"/>
        <w:bidi w:val="0"/>
        <w:spacing w:lineRule="auto" w:line="480"/>
        <w:jc w:val="start"/>
        <w:rPr>
          <w:rFonts w:ascii="Liberation Serif" w:hAnsi="Liberation Serif"/>
        </w:rPr>
      </w:pPr>
      <w:r>
        <w:rPr>
          <w:b w:val="false"/>
          <w:bCs w:val="false"/>
        </w:rPr>
        <w:tab/>
        <w:t xml:space="preserve">The act of purchasing what one needs to survive contributes to the reproduction of capitalism in two distinct ways. First, and most obviously, it allows workers to renew their labor power. They can eat the calories they expended and rest in rented rooms, and cloth themselves from the elements so that they may be able to show up to work again at full power. If their wage is high enough, they can purchase also what is necessary to raise children, and to ensure a steady stream of labor even after their death. It is a very common situation, however, that wages are not sufficient for generational reproduction. In a scenario where labor is relatively more abundant than jobs, competition can drive wages below the point of the renewal of labor, and so the workers must either die out or be subsidized by some other entity such as the state, the family, or the church. In cases where no such subsidy exists, a steady stream of labor is often supplied by immigration or by force. </w:t>
      </w:r>
    </w:p>
    <w:p>
      <w:pPr>
        <w:pStyle w:val="Normal"/>
        <w:bidi w:val="0"/>
        <w:spacing w:lineRule="auto" w:line="480"/>
        <w:jc w:val="start"/>
        <w:rPr>
          <w:rFonts w:ascii="Liberation Serif" w:hAnsi="Liberation Serif"/>
        </w:rPr>
      </w:pPr>
      <w:r>
        <w:rPr>
          <w:b w:val="false"/>
          <w:bCs w:val="false"/>
        </w:rPr>
        <w:tab/>
        <w:t xml:space="preserve">The second contribution of the act of purchase to the reproduction of capitalism is in a sense more fundamental, at least from the standpoint of capital. When the worker purchases some commodity for consumption, this represents the endpoint of the production process: the moment of purchase is also the moment of profit for the capitalist. In this exchange the worker receives what they need to live as a worker, and the capitalist also receives what they need to live </w:t>
      </w:r>
      <w:r>
        <w:rPr>
          <w:b w:val="false"/>
          <w:bCs w:val="false"/>
          <w:i/>
          <w:iCs/>
        </w:rPr>
        <w:t>as a capitalist</w:t>
      </w:r>
      <w:r>
        <w:rPr>
          <w:b w:val="false"/>
          <w:bCs w:val="false"/>
          <w:i w:val="false"/>
          <w:iCs w:val="false"/>
        </w:rPr>
        <w:t xml:space="preserve">, for this is the moment that their profit is realized, their entire </w:t>
      </w:r>
      <w:r>
        <w:rPr>
          <w:b w:val="false"/>
          <w:bCs w:val="false"/>
          <w:i/>
          <w:iCs/>
        </w:rPr>
        <w:t>raison d'etre</w:t>
      </w:r>
      <w:r>
        <w:rPr>
          <w:b w:val="false"/>
          <w:bCs w:val="false"/>
          <w:i w:val="false"/>
          <w:iCs w:val="false"/>
        </w:rPr>
        <w:t>. It is precisely this dual significance of the purchases of the worker that motivated the creation of a class of consuming workers under Fordism. But things were otherwise in Putumayo.</w:t>
      </w:r>
    </w:p>
    <w:p>
      <w:pPr>
        <w:pStyle w:val="Normal"/>
        <w:bidi w:val="0"/>
        <w:spacing w:lineRule="auto" w:line="480"/>
        <w:jc w:val="start"/>
        <w:rPr>
          <w:rFonts w:ascii="Liberation Serif" w:hAnsi="Liberation Serif"/>
        </w:rPr>
      </w:pPr>
      <w:r>
        <w:rPr>
          <w:b w:val="false"/>
          <w:bCs w:val="false"/>
          <w:i w:val="false"/>
          <w:iCs w:val="false"/>
        </w:rPr>
        <w:tab/>
        <w:t xml:space="preserve">We have seen in previous chapters that in the factories of Michigan, only a portion of the workforce was paid well enough to consume commodities on an enlarged scale: the workforce was stratified along racial lines into well-paid white wage-workers and under-paid Black and immigrant wage-workers. The poorer workers still consumed commodities, but to a lesser extent, and their consumption was supplemented by informal and reproductive labor, such as family gardens. In Putumayo a stratification was enforced, but between under-paid Black wage-workers and native slaves. </w:t>
      </w:r>
    </w:p>
    <w:p>
      <w:pPr>
        <w:pStyle w:val="Normal"/>
        <w:bidi w:val="0"/>
        <w:spacing w:lineRule="auto" w:line="480"/>
        <w:jc w:val="start"/>
        <w:rPr>
          <w:rFonts w:ascii="Liberation Serif" w:hAnsi="Liberation Serif"/>
        </w:rPr>
      </w:pPr>
      <w:r>
        <w:rPr>
          <w:b w:val="false"/>
          <w:bCs w:val="false"/>
          <w:i w:val="false"/>
          <w:iCs w:val="false"/>
        </w:rPr>
        <w:tab/>
        <w:t>As slaves, the native Putumayans were almost entirely left out of the wage-relation and thus excluded from purchasing commodities. Although there was sometimes a nominal system of barter whereby natives traded some rubber for sundry goods from the colonists, this served only to establish a debt against the natives. This debt could never be paid off, and was merely a veneer which covered the system of violent coercion. The economic compulsion of the wage was replaced by the direct compulsion of the whip and so labor was cheapened, but at the cost of removing from capital's ambit a potential market. Further, the genocidal viciousness of the slave drivers undermined both the short term and long term reproduction of labor, meaning that labor renewal was largely effected by constant slaving raids.</w:t>
      </w:r>
    </w:p>
    <w:p>
      <w:pPr>
        <w:pStyle w:val="Normal"/>
        <w:bidi w:val="0"/>
        <w:spacing w:lineRule="auto" w:line="480"/>
        <w:jc w:val="start"/>
        <w:rPr>
          <w:rFonts w:ascii="Liberation Serif" w:hAnsi="Liberation Serif"/>
        </w:rPr>
      </w:pPr>
      <w:r>
        <w:rPr>
          <w:b w:val="false"/>
          <w:bCs w:val="false"/>
          <w:i w:val="false"/>
          <w:iCs w:val="false"/>
        </w:rPr>
        <w:tab/>
        <w:t xml:space="preserve">The system of slavery on the Putumayo destroyed the generational reproduction of native labor, and pushed the daily reproduction to a minimum. Families were separated, with men forced to collect rubber and women and children being taken by company men as sex slaves. For the working men, Hardenburg states that their food was "given to them once a day, at noon; it consisted of a handful of </w:t>
      </w:r>
      <w:r>
        <w:rPr>
          <w:b w:val="false"/>
          <w:bCs w:val="false"/>
          <w:i/>
          <w:iCs/>
        </w:rPr>
        <w:t>fariña</w:t>
      </w:r>
      <w:r>
        <w:rPr>
          <w:b w:val="false"/>
          <w:bCs w:val="false"/>
          <w:i w:val="false"/>
          <w:iCs w:val="false"/>
        </w:rPr>
        <w:t xml:space="preserve"> and a tin of sardines - when there were any - for each group of four Indians, nothing more. And this was to sustain them for twenty-four hours, sixteen of which were spent at the hardest kind of labour."</w:t>
      </w:r>
      <w:r>
        <w:rPr>
          <w:rStyle w:val="FootnoteReference"/>
          <w:b w:val="false"/>
          <w:bCs w:val="false"/>
          <w:i w:val="false"/>
          <w:iCs w:val="false"/>
        </w:rPr>
        <w:footnoteReference w:id="47"/>
      </w:r>
      <w:r>
        <w:rPr>
          <w:b w:val="false"/>
          <w:bCs w:val="false"/>
          <w:i w:val="false"/>
          <w:iCs w:val="false"/>
        </w:rPr>
        <w:t xml:space="preserve"> On the long marches through the forest, the workers were given no food at all. When the workers inevitably fell ill, they were not given medicine, but were "exposed to the burning rays of the vertical sun and the cold rains and heavy dews of early morning until death released them from their sufferings. Then their companions carried their cold corpses ... to the river."</w:t>
      </w:r>
      <w:r>
        <w:rPr>
          <w:rStyle w:val="FootnoteReference"/>
          <w:b w:val="false"/>
          <w:bCs w:val="false"/>
          <w:i w:val="false"/>
          <w:iCs w:val="false"/>
        </w:rPr>
        <w:footnoteReference w:id="48"/>
      </w:r>
      <w:r>
        <w:rPr>
          <w:b w:val="false"/>
          <w:bCs w:val="false"/>
          <w:i w:val="false"/>
          <w:iCs w:val="false"/>
        </w:rPr>
        <w:t xml:space="preserve"> The renewal of the labor force depended entirely on a steady stream of newly enslaved workers from a population that was, like the rubber trees, fast dwindling.</w:t>
      </w:r>
    </w:p>
    <w:p>
      <w:pPr>
        <w:pStyle w:val="Normal"/>
        <w:bidi w:val="0"/>
        <w:spacing w:lineRule="auto" w:line="480"/>
        <w:jc w:val="start"/>
        <w:rPr>
          <w:rFonts w:ascii="Liberation Serif" w:hAnsi="Liberation Serif"/>
        </w:rPr>
      </w:pPr>
      <w:r>
        <w:rPr>
          <w:b w:val="false"/>
          <w:bCs w:val="false"/>
          <w:i w:val="false"/>
          <w:iCs w:val="false"/>
        </w:rPr>
        <w:tab/>
        <w:t>Although the native Putumayans were not allowed to labor to meet their own needs, they were compelled to do reproductive labor for the company. In addition to collecting rubber, both men and women were forced to work to provide food and shelter for their enslavers. Casement notes that "[w]hether it was food-stuffs that were required, labour for building houses or planting cassava, sugar-came, maize, or other produce for the needs of each station, or the collection of india-rubber, the Indians had to satisfy all the demands of the so-called commercial establishment which had planted itself in their midsts."</w:t>
      </w:r>
      <w:r>
        <w:rPr>
          <w:rStyle w:val="FootnoteReference"/>
          <w:b w:val="false"/>
          <w:bCs w:val="false"/>
          <w:i w:val="false"/>
          <w:iCs w:val="false"/>
        </w:rPr>
        <w:footnoteReference w:id="49"/>
      </w:r>
      <w:r>
        <w:rPr>
          <w:b w:val="false"/>
          <w:bCs w:val="false"/>
          <w:i w:val="false"/>
          <w:iCs w:val="false"/>
        </w:rPr>
        <w:t xml:space="preserve"> Indeed all of the houses at the rubber stations were built by the natives: </w:t>
      </w:r>
    </w:p>
    <w:p>
      <w:pPr>
        <w:pStyle w:val="Normal"/>
        <w:bidi w:val="0"/>
        <w:spacing w:lineRule="auto" w:line="480"/>
        <w:ind w:start="720"/>
        <w:jc w:val="start"/>
        <w:rPr>
          <w:rFonts w:ascii="Liberation Serif" w:hAnsi="Liberation Serif"/>
        </w:rPr>
      </w:pPr>
      <w:r>
        <w:rPr>
          <w:b w:val="false"/>
          <w:bCs w:val="false"/>
          <w:i w:val="false"/>
          <w:iCs w:val="false"/>
        </w:rPr>
        <w:t>The white settlers in the forest from the first compelled the Indians to build houses for them. The plan of the house would be the work of the white man, but the labour involved and all the materials would be supplied by the neighbouring Indian tribe or tribes he had reduced to work for him. All the houses that I visited outside the chief station of La Chorrera in which the company's agents lived, and where their goods were stored, were and are so constructed by the surrounding Indians, acting under the direct supervision of the agent and his white or half-caste employés. This labour of the Indians goes unremunerated. Not only do they build the houses and the stores for the white men, but they have to keep them in repair and supply labour for this purpose whenever called upon.</w:t>
      </w:r>
      <w:r>
        <w:rPr>
          <w:rStyle w:val="FootnoteReference"/>
          <w:b w:val="false"/>
          <w:bCs w:val="false"/>
          <w:i w:val="false"/>
          <w:iCs w:val="false"/>
        </w:rPr>
        <w:footnoteReference w:id="50"/>
      </w:r>
    </w:p>
    <w:p>
      <w:pPr>
        <w:pStyle w:val="Normal"/>
        <w:bidi w:val="0"/>
        <w:spacing w:lineRule="auto" w:line="480"/>
        <w:ind w:start="0"/>
        <w:jc w:val="start"/>
        <w:rPr>
          <w:rFonts w:ascii="Liberation Serif" w:hAnsi="Liberation Serif"/>
        </w:rPr>
      </w:pPr>
      <w:r>
        <w:rPr>
          <w:b w:val="false"/>
          <w:bCs w:val="false"/>
          <w:i w:val="false"/>
          <w:iCs w:val="false"/>
        </w:rPr>
        <w:t xml:space="preserve">These houses were built on huge clearings of up to 200 acres, the clearing and planting of which also fell to the natives. </w:t>
      </w:r>
    </w:p>
    <w:p>
      <w:pPr>
        <w:pStyle w:val="Normal"/>
        <w:bidi w:val="0"/>
        <w:spacing w:lineRule="auto" w:line="480"/>
        <w:ind w:start="0"/>
        <w:jc w:val="start"/>
        <w:rPr>
          <w:rFonts w:ascii="Liberation Serif" w:hAnsi="Liberation Serif"/>
        </w:rPr>
      </w:pPr>
      <w:r>
        <w:rPr>
          <w:b w:val="false"/>
          <w:bCs w:val="false"/>
          <w:i w:val="false"/>
          <w:iCs w:val="false"/>
        </w:rPr>
        <w:tab/>
        <w:t>The Barbadians also contributed reproductive work to the maintenance of the company. A portion of the workers from Barbados were employed at an estate near Iquitos, and were there "engaged mainly in agricultural work."</w:t>
      </w:r>
      <w:r>
        <w:rPr>
          <w:rStyle w:val="FootnoteReference"/>
          <w:b w:val="false"/>
          <w:bCs w:val="false"/>
          <w:i w:val="false"/>
          <w:iCs w:val="false"/>
        </w:rPr>
        <w:footnoteReference w:id="51"/>
      </w:r>
      <w:r>
        <w:rPr>
          <w:b w:val="false"/>
          <w:bCs w:val="false"/>
          <w:i w:val="false"/>
          <w:iCs w:val="false"/>
        </w:rPr>
        <w:t xml:space="preserve"> However, only a minority of the Barbadians were so employed, and most were sent up the Putumayo to work at the rubber stations. In addition to their main jobs terrorizing the native workers, they also contributed extensively to the maintenance of the stations. Casement mentions that at one of the stations he visited, "most of the furniture in the houses had been made by various Barbados men who from time to time had served there."</w:t>
      </w:r>
      <w:r>
        <w:rPr>
          <w:rStyle w:val="FootnoteReference"/>
          <w:b w:val="false"/>
          <w:bCs w:val="false"/>
          <w:i w:val="false"/>
          <w:iCs w:val="false"/>
        </w:rPr>
        <w:footnoteReference w:id="52"/>
      </w:r>
      <w:r>
        <w:rPr>
          <w:b w:val="false"/>
          <w:bCs w:val="false"/>
          <w:i w:val="false"/>
          <w:iCs w:val="false"/>
        </w:rPr>
        <w:t xml:space="preserve"> Although they were sometimes paid for their carpentry, they often were not. In one case a particularly talented carpenter from Barbados, Edward Crichlow, was imprisoned in stocks that he himself had made. This same man was at one point sent to Iquitos to be tried for petty theft, and while in prison there he was able to work as a carpenter. He apparently made significantly more than while working in Putumayo and was able to pay his legal fees with the money he made in jail.</w:t>
      </w:r>
    </w:p>
    <w:p>
      <w:pPr>
        <w:pStyle w:val="Normal"/>
        <w:bidi w:val="0"/>
        <w:spacing w:lineRule="auto" w:line="480"/>
        <w:jc w:val="start"/>
        <w:rPr>
          <w:rFonts w:ascii="Liberation Serif" w:hAnsi="Liberation Serif"/>
        </w:rPr>
      </w:pPr>
      <w:r>
        <w:rPr>
          <w:b w:val="false"/>
          <w:bCs w:val="false"/>
          <w:i w:val="false"/>
          <w:iCs w:val="false"/>
        </w:rPr>
        <w:tab/>
        <w:t>As mentioned previously, the large majority of the salaries of the Barbadians were eaten up by debts - especially for food. Although there was some crop cultivation at the stations, it seems to have not been very extensive. Despite the long odes to the fertility of the Amazon found in the accounts of Hardenburg and Enock, much of the land around the stations was cleared and then left empty. Casement claimed that at one station with 200 cleared acres, "scarcely 1 acre is under any form of cultivation."</w:t>
      </w:r>
      <w:r>
        <w:rPr>
          <w:rStyle w:val="FootnoteReference"/>
          <w:b w:val="false"/>
          <w:bCs w:val="false"/>
          <w:i w:val="false"/>
          <w:iCs w:val="false"/>
        </w:rPr>
        <w:footnoteReference w:id="53"/>
      </w:r>
      <w:r>
        <w:rPr>
          <w:b w:val="false"/>
          <w:bCs w:val="false"/>
          <w:i w:val="false"/>
          <w:iCs w:val="false"/>
        </w:rPr>
        <w:t xml:space="preserve"> As a result, "[f]ood which might easily be raised locally is brought literally from thousands of miles away at great expense, and often in insufficient quantity."</w:t>
      </w:r>
      <w:r>
        <w:rPr>
          <w:rStyle w:val="FootnoteReference"/>
          <w:b w:val="false"/>
          <w:bCs w:val="false"/>
          <w:i w:val="false"/>
          <w:iCs w:val="false"/>
        </w:rPr>
        <w:footnoteReference w:id="54"/>
      </w:r>
      <w:r>
        <w:rPr>
          <w:b w:val="false"/>
          <w:bCs w:val="false"/>
          <w:i w:val="false"/>
          <w:iCs w:val="false"/>
        </w:rPr>
        <w:t xml:space="preserve"> Although the terms of the contract stipulated that food would be provided to the Barbadians, in reality they often had to purchase this expensive food from the company, contributing to their great debt. Casement lists the account of Edward Crichlow, which included cassava meal, rice, biscuits, flour, condensed milk, cocoa and milk, preserved meat, sardines, salmon, lard, sugar, tea, and cod roes. All of these except the cassava, the rice, the flour and the tea were in tins. In addition to these foodstuffs were pots, pans, tobacco, soap, and other small items, along with a large quantity of cotton goods.</w:t>
      </w:r>
      <w:r>
        <w:rPr>
          <w:rStyle w:val="FootnoteReference"/>
          <w:b w:val="false"/>
          <w:bCs w:val="false"/>
          <w:i w:val="false"/>
          <w:iCs w:val="false"/>
        </w:rPr>
        <w:footnoteReference w:id="55"/>
      </w:r>
      <w:r>
        <w:rPr>
          <w:b w:val="false"/>
          <w:bCs w:val="false"/>
          <w:i w:val="false"/>
          <w:iCs w:val="false"/>
        </w:rPr>
        <w:t xml:space="preserve"> </w:t>
      </w:r>
    </w:p>
    <w:p>
      <w:pPr>
        <w:pStyle w:val="Normal"/>
        <w:bidi w:val="0"/>
        <w:spacing w:lineRule="auto" w:line="480"/>
        <w:jc w:val="start"/>
        <w:rPr>
          <w:rFonts w:ascii="Liberation Serif" w:hAnsi="Liberation Serif"/>
        </w:rPr>
      </w:pPr>
      <w:r>
        <w:rPr>
          <w:b w:val="false"/>
          <w:bCs w:val="false"/>
        </w:rPr>
        <w:tab/>
        <w:t xml:space="preserve">Casement seemed baffled by the substitution of imported goods for locally grown food, and it is on some level baffling. The immediate decision to undermine local agriculture and rely on tinned food was certainly not made in the name of profit or efficiency. However, there are several possible explanations. Destroying the ability of the native workers to cultivate their own food put them more thoroughly at the mercy of the company. Starvation was a major element of the terror imposed on the Putumayans, and was crucial in the destruction of native communities. Once captured, native women and children seemed to be more prized as sexual objects - both for the enjoyment of company men and as debt-anchors for the Barbadian workers - than as agricultural workers. As for the Barbadians, reliance on food purchased from the station stores was a way for the company to claw back their wages and then some. </w:t>
      </w:r>
    </w:p>
    <w:p>
      <w:pPr>
        <w:pStyle w:val="Normal"/>
        <w:bidi w:val="0"/>
        <w:spacing w:lineRule="auto" w:line="480"/>
        <w:jc w:val="start"/>
        <w:rPr>
          <w:rFonts w:ascii="Liberation Serif" w:hAnsi="Liberation Serif"/>
        </w:rPr>
      </w:pPr>
      <w:r>
        <w:rPr>
          <w:b w:val="false"/>
          <w:bCs w:val="false"/>
        </w:rPr>
        <w:tab/>
        <w:t>Whatever its immediate cause, the erosion of subsistence labor served a vital role in the reproduction of capitalism as a global system. The purchase and consumption of imported goods served the extension of the valorization of production in the Global North. Marx writes of the agricultural revolution in Europe that "[t]he expropriation and eviction of a part of the agricultural population not only set free for industrial capital the workers, their means of subsistence and the materials of their labour; it also created the home market."</w:t>
      </w:r>
      <w:r>
        <w:rPr>
          <w:rStyle w:val="FootnoteReference"/>
          <w:b w:val="false"/>
          <w:bCs w:val="false"/>
        </w:rPr>
        <w:footnoteReference w:id="56"/>
      </w:r>
      <w:r>
        <w:rPr>
          <w:b w:val="false"/>
          <w:bCs w:val="false"/>
        </w:rPr>
        <w:t xml:space="preserve"> The means of subsistence that were formerly provided outside the market by the reproductive labor of the family and community have been turned into commodities; they "are now transformed into articles of manufacture, the markets for which are found precisely in the country districts."</w:t>
      </w:r>
      <w:r>
        <w:rPr>
          <w:rStyle w:val="FootnoteReference"/>
          <w:b w:val="false"/>
          <w:bCs w:val="false"/>
        </w:rPr>
        <w:footnoteReference w:id="57"/>
      </w:r>
      <w:r>
        <w:rPr>
          <w:b w:val="false"/>
          <w:bCs w:val="false"/>
        </w:rPr>
        <w:t xml:space="preserve"> Marx is speaking of the division between the town and country side in Europe, but the dynamic holds true on the global scale: the peripheral countries which provided raw materials to the manufacturing companies of the capitalist core, themselves served as markets for the core's finished goods. </w:t>
      </w:r>
    </w:p>
    <w:p>
      <w:pPr>
        <w:pStyle w:val="Normal"/>
        <w:bidi w:val="0"/>
        <w:spacing w:lineRule="auto" w:line="480"/>
        <w:jc w:val="start"/>
        <w:rPr>
          <w:rFonts w:ascii="Liberation Serif" w:hAnsi="Liberation Serif"/>
        </w:rPr>
      </w:pPr>
      <w:r>
        <w:rPr>
          <w:b w:val="false"/>
          <w:bCs w:val="false"/>
        </w:rPr>
        <w:tab/>
        <w:t>The importation of tinned foodstuffs and other commodities into the Putumayo was a moment in the global reconfiguration of the dynamics of capital's reproduction. Historian Geoff Bertram, in a study of Peruvian imports, classifies the use cases of imported goods in several categories. Consumer goods imports, such as food, clothing, medicine, and other commodities, fluctuated between 30% and 40% of imports between 1891 and 1930. The value of this category rose from about 5,000 soles in the 1890s to consistently over 50,000 in the 1920s.</w:t>
      </w:r>
      <w:r>
        <w:rPr>
          <w:rStyle w:val="FootnoteReference"/>
          <w:b w:val="false"/>
          <w:bCs w:val="false"/>
        </w:rPr>
        <w:footnoteReference w:id="58"/>
      </w:r>
      <w:r>
        <w:rPr>
          <w:b w:val="false"/>
          <w:bCs w:val="false"/>
        </w:rPr>
        <w:t xml:space="preserve"> This was by far the largest absolute growth of any import category during these years. Other categories, such as manufacturing inputs and fuel fell as a proportion of total imports, while agricultural inputs, such as livestock feed grew slightly. The biggest proportional growth in imports was capital goods such as agricultural equipment and machinery - from less than 5% to over 15%.</w:t>
      </w:r>
    </w:p>
    <w:p>
      <w:pPr>
        <w:pStyle w:val="Normal"/>
        <w:bidi w:val="0"/>
        <w:spacing w:lineRule="auto" w:line="480"/>
        <w:jc w:val="start"/>
        <w:rPr>
          <w:rFonts w:ascii="Liberation Serif" w:hAnsi="Liberation Serif"/>
        </w:rPr>
      </w:pPr>
      <w:r>
        <w:rPr>
          <w:b w:val="false"/>
          <w:bCs w:val="false"/>
        </w:rPr>
        <w:tab/>
        <w:t>During this period, the United States grew to be by far Peru's greatest trading partner.  In the 1890s, the US accounted for barely 10% of imports to Peru and most years that decade received a yet smaller proportion of its exports. By the mid 1910s, the US accounted for over 50% of Peru's trading, both imports and exports.</w:t>
      </w:r>
      <w:r>
        <w:rPr>
          <w:rStyle w:val="FootnoteReference"/>
          <w:b w:val="false"/>
          <w:bCs w:val="false"/>
        </w:rPr>
        <w:footnoteReference w:id="59"/>
      </w:r>
      <w:r>
        <w:rPr>
          <w:b w:val="false"/>
          <w:bCs w:val="false"/>
        </w:rPr>
        <w:t xml:space="preserve"> The US was displacing the United Kingdom, which fell from over a third of imports and half of exports to about 20% of each over the same period. Some of this change was the result of trade disruptions during the first world war, but the trend of declining trade with Britain and increasing trade with the US had been well established prior to the war.</w:t>
      </w:r>
    </w:p>
    <w:p>
      <w:pPr>
        <w:pStyle w:val="Normal"/>
        <w:bidi w:val="0"/>
        <w:spacing w:lineRule="auto" w:line="480"/>
        <w:jc w:val="start"/>
        <w:rPr>
          <w:rFonts w:ascii="Liberation Serif" w:hAnsi="Liberation Serif"/>
        </w:rPr>
      </w:pPr>
      <w:r>
        <w:rPr>
          <w:b w:val="false"/>
          <w:bCs w:val="false"/>
        </w:rPr>
        <w:tab/>
        <w:t>Exemplary of this dynamic of Peru importing US consumer goods was the meat packing industry. Centered in Chicago, the meatpacking industry was highly rationalized - the automation of Chicago slaughterhouses had even provided inspiration for the automotive assembly line. This industry was growing rapidly during the late 19th and early 20th centuries, and in 1909 over 88 million animals were slaughtered for food, mostly hogs and cows but also sheep.</w:t>
      </w:r>
      <w:r>
        <w:rPr>
          <w:rStyle w:val="FootnoteReference"/>
          <w:b w:val="false"/>
          <w:bCs w:val="false"/>
        </w:rPr>
        <w:footnoteReference w:id="60"/>
      </w:r>
      <w:r>
        <w:rPr>
          <w:b w:val="false"/>
          <w:bCs w:val="false"/>
        </w:rPr>
        <w:t xml:space="preserve"> This massive operation fed the meatpacking business, and in 1910 exports were in excess of $130 million.</w:t>
      </w:r>
      <w:r>
        <w:rPr>
          <w:rStyle w:val="FootnoteReference"/>
          <w:b w:val="false"/>
          <w:bCs w:val="false"/>
        </w:rPr>
        <w:footnoteReference w:id="61"/>
      </w:r>
      <w:r>
        <w:rPr>
          <w:b w:val="false"/>
          <w:bCs w:val="false"/>
        </w:rPr>
        <w:t xml:space="preserve"> Much of this was canned, salted, pickled or otherwise cured meat - precisely the goods sold at exorbitant prices to the Barbadian workers in the Putumayo.</w:t>
      </w:r>
    </w:p>
    <w:p>
      <w:pPr>
        <w:pStyle w:val="Normal"/>
        <w:bidi w:val="0"/>
        <w:spacing w:lineRule="auto" w:line="480"/>
        <w:jc w:val="start"/>
        <w:rPr>
          <w:rFonts w:ascii="Liberation Serif" w:hAnsi="Liberation Serif"/>
          <w:b w:val="false"/>
          <w:bCs w:val="false"/>
        </w:rPr>
      </w:pPr>
      <w:r>
        <w:rPr>
          <w:b w:val="false"/>
          <w:bCs w:val="false"/>
        </w:rPr>
      </w:r>
    </w:p>
    <w:p>
      <w:pPr>
        <w:pStyle w:val="Normal"/>
        <w:bidi w:val="0"/>
        <w:spacing w:lineRule="auto" w:line="480"/>
        <w:jc w:val="start"/>
        <w:rPr>
          <w:rFonts w:ascii="Liberation Serif" w:hAnsi="Liberation Serif"/>
        </w:rPr>
      </w:pPr>
      <w:r>
        <w:rPr>
          <w:b/>
          <w:bCs/>
        </w:rPr>
        <w:t>Conclusion</w:t>
      </w:r>
    </w:p>
    <w:p>
      <w:pPr>
        <w:pStyle w:val="Normal"/>
        <w:bidi w:val="0"/>
        <w:spacing w:lineRule="auto" w:line="480"/>
        <w:jc w:val="start"/>
        <w:rPr>
          <w:rFonts w:ascii="Liberation Serif" w:hAnsi="Liberation Serif"/>
        </w:rPr>
      </w:pPr>
      <w:r>
        <w:rPr>
          <w:b w:val="false"/>
          <w:bCs w:val="false"/>
        </w:rPr>
        <w:tab/>
        <w:t>By the time Casement had arrived in Peru, both the population of the indigenous residents of  the Putumayo and the rubber output of the region had fallen considerably: from about 50,000 inhabitants in 1906 to "not more than 8,000 in 1911," and from 645,000 kilograms of rubber to 236,000 in the same period. Despite this, Casements notes that the individuals exploiting the Putumayo seemed unconcerned: "The disappearance of the London company as an active factor restricts the necessities of profit finding to a narrower field. While it needed a heavy output of hundreds of tons of rubber in 1906 upon which to found an appeal to British investors or speculators in 1907 ... a diminished yield of only 200 tons will still maintain many families and individuals on the spot."</w:t>
      </w:r>
      <w:r>
        <w:rPr>
          <w:rStyle w:val="FootnoteReference"/>
          <w:b w:val="false"/>
          <w:bCs w:val="false"/>
        </w:rPr>
        <w:footnoteReference w:id="62"/>
      </w:r>
      <w:r>
        <w:rPr>
          <w:b w:val="false"/>
          <w:bCs w:val="false"/>
        </w:rPr>
        <w:t xml:space="preserve"> </w:t>
      </w:r>
    </w:p>
    <w:p>
      <w:pPr>
        <w:pStyle w:val="Normal"/>
        <w:bidi w:val="0"/>
        <w:spacing w:lineRule="auto" w:line="480"/>
        <w:jc w:val="start"/>
        <w:rPr>
          <w:rFonts w:ascii="Liberation Serif" w:hAnsi="Liberation Serif"/>
        </w:rPr>
      </w:pPr>
      <w:r>
        <w:rPr>
          <w:b w:val="false"/>
          <w:bCs w:val="false"/>
        </w:rPr>
        <w:tab/>
        <w:t>According to the correspondence included in Casement's consular report, by July of 1911 the Peruvian government had issued more than 200 arrest warrants for the perpetrators of the Putumayo genocide. However, "[m]any [had] escaped to Brazil. Only accessories remain[ed] in the territory."</w:t>
      </w:r>
      <w:r>
        <w:rPr>
          <w:rStyle w:val="FootnoteReference"/>
          <w:b w:val="false"/>
          <w:bCs w:val="false"/>
        </w:rPr>
        <w:footnoteReference w:id="63"/>
      </w:r>
      <w:r>
        <w:rPr>
          <w:b w:val="false"/>
          <w:bCs w:val="false"/>
        </w:rPr>
        <w:t xml:space="preserve"> Many of the warrants were voided by Peruvian courts or tied up in bureaucratic technicalities in an attempt to bury the matter.</w:t>
      </w:r>
      <w:r>
        <w:rPr>
          <w:rStyle w:val="FootnoteReference"/>
          <w:b w:val="false"/>
          <w:bCs w:val="false"/>
        </w:rPr>
        <w:footnoteReference w:id="64"/>
      </w:r>
      <w:r>
        <w:rPr>
          <w:b w:val="false"/>
          <w:bCs w:val="false"/>
        </w:rPr>
        <w:t xml:space="preserve"> In 1913 the Peruvian Amazon Company was dissolved, but Arana maintained his estates and continued exploiting their rubber and residents.</w:t>
      </w:r>
      <w:r>
        <w:rPr>
          <w:rStyle w:val="FootnoteReference"/>
          <w:b w:val="false"/>
          <w:bCs w:val="false"/>
        </w:rPr>
        <w:footnoteReference w:id="65"/>
      </w:r>
      <w:r>
        <w:rPr>
          <w:b w:val="false"/>
          <w:bCs w:val="false"/>
        </w:rPr>
        <w:t xml:space="preserve"> Over 6,000 inhabitants of the Putumayo - evidently most of the remaining residents, if Casement's numbers were correct - were forced to leave their home territory in the late 1920s by two of Arana's managers. Half of them died on the march.</w:t>
      </w:r>
      <w:r>
        <w:rPr>
          <w:rStyle w:val="FootnoteReference"/>
          <w:b w:val="false"/>
          <w:bCs w:val="false"/>
        </w:rPr>
        <w:footnoteReference w:id="66"/>
      </w:r>
      <w:r>
        <w:rPr>
          <w:b w:val="false"/>
          <w:bCs w:val="false"/>
        </w:rPr>
        <w:t xml:space="preserve"> In the 1920s Arana became a Peruvian senator. In 1927 the territorial conflict over the Putumayo was finally settled between Peru and Colombia in favor of Colombia. Arana resisted the treaty, but managed to ensure that he would be compensated for his property. A Colombian bank bought Arana's rights, but he died before receiving the full payment. In the 1980s, a Colombian bank paid his heirs $160,000.</w:t>
      </w:r>
      <w:r>
        <w:rPr>
          <w:rStyle w:val="FootnoteReference"/>
          <w:b w:val="false"/>
          <w:bCs w:val="false"/>
        </w:rPr>
        <w:footnoteReference w:id="67"/>
      </w:r>
      <w:r>
        <w:rPr>
          <w:b w:val="false"/>
          <w:bCs w:val="false"/>
        </w:rPr>
        <w:t xml:space="preserve"> Taussig approvingly cites Edmund Morel's claim that the intervention spearheaded by Casement was one of the "only two [occasions] in which British diplomacy rose above the commonplace" and helped bring an end to the genocide. I'm not so sure. The rubber genocide in the Putumayo did not end because of external pressure, but because Arana ran out of people to kill.</w:t>
      </w:r>
    </w:p>
    <w:p>
      <w:pPr>
        <w:pStyle w:val="Normal"/>
        <w:bidi w:val="0"/>
        <w:spacing w:lineRule="auto" w:line="480"/>
        <w:jc w:val="start"/>
        <w:rPr>
          <w:rFonts w:ascii="Liberation Serif" w:hAnsi="Liberation Serif"/>
        </w:rPr>
      </w:pPr>
      <w:r>
        <w:rPr>
          <w:b w:val="false"/>
          <w:bCs w:val="false"/>
        </w:rPr>
        <w:tab/>
        <w:t xml:space="preserve">The genocide cannot be reduced to its economic dimension. Taussig refers to market pressure as a 'trigger' - not the sole cause of the genocide, just its immediate context. But although the market may not have demanded the specific torture of the Huitoto people, it did demand a radical reconfiguration of life in the Putumayo. Meeting the market demand for rubber in previously unimagined quantities required a logic of extraction to be imposed on the land, and labor discipline to be imposed on the workers. New forms of social and capital reproduction developed in response to the rise of industry in the Global North - both its need for raw material inputs, and its need for an increased market for consumer goods. The structure of the global market made way for this reconfiguration to be borne out by especially bloodthirsty actors in the remote region of the Putumayo. </w:t>
      </w:r>
    </w:p>
    <w:sectPr>
      <w:headerReference w:type="even" r:id="rId2"/>
      <w:headerReference w:type="default" r:id="rId3"/>
      <w:headerReference w:type="first" r:id="rId4"/>
      <w:footnotePr>
        <w:numFmt w:val="decimal"/>
      </w:footnotePr>
      <w:type w:val="nextPage"/>
      <w:pgSz w:w="12240" w:h="15840"/>
      <w:pgMar w:left="1440" w:right="1440" w:gutter="0" w:header="1440" w:top="1999" w:footer="0" w:bottom="1440"/>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https://www.thehenryford.org/visit/ford-rouge-factory-tour/history-and-timeline/fords-rouge/</w:t>
      </w:r>
    </w:p>
  </w:footnote>
  <w:footnote w:id="3">
    <w:p>
      <w:pPr>
        <w:pStyle w:val="FootnoteText"/>
        <w:bidi w:val="0"/>
        <w:jc w:val="start"/>
        <w:rPr/>
      </w:pPr>
      <w:r>
        <w:rPr>
          <w:rStyle w:val="FootnoteCharacters"/>
        </w:rPr>
        <w:footnoteRef/>
      </w:r>
      <w:r>
        <w:rPr/>
        <w:tab/>
        <w:t xml:space="preserve">W. E. Hardenburg, </w:t>
      </w:r>
      <w:r>
        <w:rPr>
          <w:i/>
        </w:rPr>
        <w:t>The Putumayo: The Devil’s Paradise</w:t>
      </w:r>
      <w:r>
        <w:rPr/>
        <w:t>, ed. C. R. Enock (T. Fisher Unwin, 1912), 94-5.</w:t>
      </w:r>
    </w:p>
  </w:footnote>
  <w:footnote w:id="4">
    <w:p>
      <w:pPr>
        <w:pStyle w:val="FootnoteText"/>
        <w:bidi w:val="0"/>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5">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6">
    <w:p>
      <w:pPr>
        <w:pStyle w:val="FootnoteText"/>
        <w:bidi w:val="0"/>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7">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179-80.</w:t>
      </w:r>
    </w:p>
  </w:footnote>
  <w:footnote w:id="8">
    <w:p>
      <w:pPr>
        <w:pStyle w:val="FootnoteText"/>
        <w:rPr>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 1.</w:t>
      </w:r>
    </w:p>
  </w:footnote>
  <w:footnote w:id="9">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10">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7.</w:t>
      </w:r>
    </w:p>
  </w:footnote>
  <w:footnote w:id="11">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3.</w:t>
      </w:r>
    </w:p>
  </w:footnote>
  <w:footnote w:id="12">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w:t>
      </w:r>
    </w:p>
  </w:footnote>
  <w:footnote w:id="13">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w:t>
      </w:r>
    </w:p>
  </w:footnote>
  <w:footnote w:id="14">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11-12.</w:t>
      </w:r>
    </w:p>
  </w:footnote>
  <w:footnote w:id="15">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12.</w:t>
      </w:r>
    </w:p>
  </w:footnote>
  <w:footnote w:id="16">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17">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18">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19.</w:t>
      </w:r>
    </w:p>
  </w:footnote>
  <w:footnote w:id="19">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12.</w:t>
      </w:r>
    </w:p>
  </w:footnote>
  <w:footnote w:id="20">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p>
  </w:footnote>
  <w:footnote w:id="21">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p>
  </w:footnote>
  <w:footnote w:id="22">
    <w:p>
      <w:pPr>
        <w:pStyle w:val="FootnoteText"/>
        <w:bidi w:val="0"/>
        <w:jc w:val="start"/>
        <w:rPr/>
      </w:pPr>
      <w:r>
        <w:rPr>
          <w:rStyle w:val="FootnoteCharacters"/>
        </w:rPr>
        <w:footnoteRef/>
      </w:r>
      <w:r>
        <w:rPr/>
        <w:tab/>
        <w:t xml:space="preserve">Michael Taussig, “Culture of Terror--Space of Death. Roger Casement’s Putumayo Report and the Explanation of Torture,” </w:t>
      </w:r>
      <w:r>
        <w:rPr>
          <w:i/>
        </w:rPr>
        <w:t>Comparative Studies in Society and History</w:t>
      </w:r>
      <w:r>
        <w:rPr/>
        <w:t xml:space="preserve"> 26, no. 3 (1984), 479.</w:t>
      </w:r>
    </w:p>
  </w:footnote>
  <w:footnote w:id="23">
    <w:p>
      <w:pPr>
        <w:pStyle w:val="FootnoteText"/>
        <w:bidi w:val="0"/>
        <w:jc w:val="start"/>
        <w:rPr/>
      </w:pPr>
      <w:r>
        <w:rPr>
          <w:rStyle w:val="FootnoteCharacters"/>
        </w:rPr>
        <w:footnoteRef/>
      </w:r>
      <w:r>
        <w:rPr/>
        <w:tab/>
        <w:t>Taussig, “Culture of Terror,” 479.</w:t>
      </w:r>
    </w:p>
  </w:footnote>
  <w:footnote w:id="24">
    <w:p>
      <w:pPr>
        <w:pStyle w:val="FootnoteText"/>
        <w:bidi w:val="0"/>
        <w:jc w:val="start"/>
        <w:rPr/>
      </w:pPr>
      <w:r>
        <w:rPr>
          <w:rStyle w:val="FootnoteCharacters"/>
        </w:rPr>
        <w:footnoteRef/>
      </w:r>
      <w:r>
        <w:rPr/>
        <w:tab/>
        <w:t>Taussig, “Culture of Terror,” 468.</w:t>
      </w:r>
    </w:p>
  </w:footnote>
  <w:footnote w:id="25">
    <w:p>
      <w:pPr>
        <w:pStyle w:val="FootnoteText"/>
        <w:bidi w:val="0"/>
        <w:jc w:val="start"/>
        <w:rPr/>
      </w:pPr>
      <w:r>
        <w:rPr>
          <w:rStyle w:val="FootnoteCharacters"/>
        </w:rPr>
        <w:footnoteRef/>
      </w:r>
      <w:r>
        <w:rPr/>
        <w:tab/>
        <w:t>Taussig, “Culture of Terror,” 468.</w:t>
      </w:r>
    </w:p>
  </w:footnote>
  <w:footnote w:id="26">
    <w:p>
      <w:pPr>
        <w:pStyle w:val="FootnoteText"/>
        <w:bidi w:val="0"/>
        <w:jc w:val="start"/>
        <w:rPr/>
      </w:pPr>
      <w:r>
        <w:rPr>
          <w:rStyle w:val="FootnoteCharacters"/>
        </w:rPr>
        <w:footnoteRef/>
      </w:r>
      <w:r>
        <w:rPr/>
        <w:tab/>
        <w:t xml:space="preserve">Jason W. Moore, “Our Capitalogenic World: Climate Crises, Class Politics, and the Civilizing Project,” </w:t>
      </w:r>
      <w:r>
        <w:rPr>
          <w:i/>
        </w:rPr>
        <w:t>Annales Universitatis Paedagogicae Cracoviensis. Studia Poetica</w:t>
      </w:r>
      <w:r>
        <w:rPr/>
        <w:t xml:space="preserve"> 11 (2023), 98.</w:t>
      </w:r>
    </w:p>
  </w:footnote>
  <w:footnote w:id="27">
    <w:p>
      <w:pPr>
        <w:pStyle w:val="FootnoteText"/>
        <w:suppressLineNumbers/>
        <w:bidi w:val="0"/>
        <w:ind w:hanging="340" w:start="340"/>
        <w:jc w:val="start"/>
        <w:rPr/>
      </w:pPr>
      <w:r>
        <w:rPr>
          <w:rStyle w:val="FootnoteCharacters"/>
        </w:rPr>
        <w:footnoteRef/>
      </w:r>
      <w:r>
        <w:rPr>
          <w:i/>
        </w:rPr>
        <w:tab/>
        <w:t>West Sussex Gazette,</w:t>
      </w:r>
      <w:r>
        <w:rPr/>
        <w:t xml:space="preserve"> 9th June 1949, accessed at http://www.enockfamilyhistory.co.uk/Charles_Reginald_Enock_-_1869-1970.htm</w:t>
      </w:r>
    </w:p>
  </w:footnote>
  <w:footnote w:id="28">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12.</w:t>
      </w:r>
    </w:p>
  </w:footnote>
  <w:footnote w:id="29">
    <w:p>
      <w:pPr>
        <w:pStyle w:val="FootnoteText"/>
        <w:bidi w:val="0"/>
        <w:jc w:val="start"/>
        <w:rPr/>
      </w:pPr>
      <w:r>
        <w:rPr>
          <w:rStyle w:val="FootnoteCharacters"/>
        </w:rPr>
        <w:footnoteRef/>
      </w:r>
      <w:r>
        <w:rPr>
          <w:shd w:fill="auto" w:val="clear"/>
        </w:rPr>
        <w:tab/>
        <w:t xml:space="preserve">Hardenburg, </w:t>
      </w:r>
      <w:r>
        <w:rPr>
          <w:i/>
          <w:shd w:fill="auto" w:val="clear"/>
        </w:rPr>
        <w:t xml:space="preserve">The Devil’s Paradise, </w:t>
      </w:r>
      <w:r>
        <w:rPr/>
        <w:t>12.</w:t>
      </w:r>
    </w:p>
  </w:footnote>
  <w:footnote w:id="30">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16.</w:t>
      </w:r>
    </w:p>
  </w:footnote>
  <w:footnote w:id="31">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19.</w:t>
      </w:r>
    </w:p>
  </w:footnote>
  <w:footnote w:id="32">
    <w:p>
      <w:pPr>
        <w:pStyle w:val="FootnoteText"/>
        <w:rPr/>
      </w:pPr>
      <w:r>
        <w:rPr>
          <w:rStyle w:val="FootnoteCharacters"/>
        </w:rPr>
        <w:footnoteRef/>
      </w:r>
      <w:r>
        <w:rPr/>
        <w:tab/>
        <w:t xml:space="preserve">Hardenburg, </w:t>
      </w:r>
      <w:r>
        <w:rPr>
          <w:i/>
          <w:iCs/>
        </w:rPr>
        <w:t>The Devil's Paradise</w:t>
      </w:r>
      <w:r>
        <w:rPr>
          <w:i w:val="false"/>
          <w:iCs w:val="false"/>
        </w:rPr>
        <w:t>, 37.</w:t>
      </w:r>
    </w:p>
  </w:footnote>
  <w:footnote w:id="33">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55.</w:t>
      </w:r>
    </w:p>
  </w:footnote>
  <w:footnote w:id="34">
    <w:p>
      <w:pPr>
        <w:pStyle w:val="FootnoteText"/>
        <w:bidi w:val="0"/>
        <w:jc w:val="start"/>
        <w:rPr/>
      </w:pPr>
      <w:r>
        <w:rPr>
          <w:rStyle w:val="FootnoteCharacters"/>
        </w:rPr>
        <w:footnoteRef/>
      </w:r>
      <w:r>
        <w:rPr>
          <w:shd w:fill="auto" w:val="clear"/>
        </w:rPr>
        <w:tab/>
        <w:t xml:space="preserve">Hardenburg, </w:t>
      </w:r>
      <w:r>
        <w:rPr>
          <w:i/>
          <w:shd w:fill="auto" w:val="clear"/>
        </w:rPr>
        <w:t>The Devil’s Paradise,</w:t>
      </w:r>
      <w:r>
        <w:rPr/>
        <w:t xml:space="preserve"> 134.</w:t>
      </w:r>
    </w:p>
  </w:footnote>
  <w:footnote w:id="35">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10-11.</w:t>
      </w:r>
    </w:p>
  </w:footnote>
  <w:footnote w:id="36">
    <w:p>
      <w:pPr>
        <w:pStyle w:val="FootnoteText"/>
        <w:rPr>
          <w:shd w:fill="auto" w:val="clear"/>
        </w:rPr>
      </w:pPr>
      <w:r>
        <w:rPr>
          <w:rStyle w:val="FootnoteCharacters"/>
        </w:rPr>
        <w:footnoteRef/>
      </w:r>
      <w:r>
        <w:rPr>
          <w:shd w:fill="auto" w:val="clear"/>
        </w:rPr>
        <w:tab/>
        <w:t xml:space="preserve">Carlos A. Valcárcel, </w:t>
      </w:r>
      <w:r>
        <w:rPr>
          <w:i/>
          <w:shd w:fill="auto" w:val="clear"/>
        </w:rPr>
        <w:t>El Proceso Del Putumayo y Sus Secretos Inauditos</w:t>
      </w:r>
      <w:r>
        <w:rPr>
          <w:shd w:fill="auto" w:val="clear"/>
        </w:rPr>
        <w:t xml:space="preserve"> (CETA, 2004), 28.</w:t>
      </w:r>
    </w:p>
  </w:footnote>
  <w:footnote w:id="37">
    <w:p>
      <w:pPr>
        <w:pStyle w:val="FootnoteText"/>
        <w:rPr/>
      </w:pPr>
      <w:r>
        <w:rPr>
          <w:rStyle w:val="FootnoteCharacters"/>
        </w:rPr>
        <w:footnoteRef/>
      </w:r>
      <w:r>
        <w:rPr/>
        <w:tab/>
        <w:t xml:space="preserve">Valcárcel, </w:t>
      </w:r>
      <w:r>
        <w:rPr>
          <w:i/>
        </w:rPr>
        <w:t>El Proceso Del Putumayo y Sus Secretos Inauditos,</w:t>
      </w:r>
      <w:r>
        <w:rPr/>
        <w:t xml:space="preserve"> 28: "Las tres imágenes históricas elaboradas por los occidentales para justificar su dominio frente a los indígenas (no-humanos, ateos y salvajes), en realidad no son sucesivias sino acumulativas."</w:t>
      </w:r>
    </w:p>
  </w:footnote>
  <w:footnote w:id="38">
    <w:p>
      <w:pPr>
        <w:pStyle w:val="FootnoteText"/>
        <w:rPr/>
      </w:pPr>
      <w:r>
        <w:rPr>
          <w:rStyle w:val="FootnoteCharacters"/>
        </w:rPr>
        <w:footnoteRef/>
      </w:r>
      <w:r>
        <w:rPr/>
        <w:tab/>
        <w:t xml:space="preserve">Valcárcel, </w:t>
      </w:r>
      <w:r>
        <w:rPr>
          <w:i/>
        </w:rPr>
        <w:t>El Proceso Del Putumayo y Sus Secretos Inauditos</w:t>
      </w:r>
      <w:r>
        <w:rPr/>
        <w:t>, 23.</w:t>
      </w:r>
    </w:p>
  </w:footnote>
  <w:footnote w:id="39">
    <w:p>
      <w:pPr>
        <w:pStyle w:val="FootnoteText"/>
        <w:rPr>
          <w:shd w:fill="auto" w:val="clear"/>
        </w:rPr>
      </w:pPr>
      <w:r>
        <w:rPr>
          <w:rStyle w:val="FootnoteCharacters"/>
        </w:rPr>
        <w:footnoteRef/>
      </w:r>
      <w:r>
        <w:rPr>
          <w:shd w:fill="auto" w:val="clear"/>
        </w:rPr>
        <w:tab/>
        <w:t xml:space="preserve">Valcárcel, </w:t>
      </w:r>
      <w:r>
        <w:rPr>
          <w:i/>
          <w:shd w:fill="auto" w:val="clear"/>
        </w:rPr>
        <w:t>El Proceso Del Putumayo y Sus Secretos Inauditos</w:t>
      </w:r>
      <w:r>
        <w:rPr>
          <w:shd w:fill="auto" w:val="clear"/>
        </w:rPr>
        <w:t>, 21-22.</w:t>
      </w:r>
    </w:p>
  </w:footnote>
  <w:footnote w:id="40">
    <w:p>
      <w:pPr>
        <w:pStyle w:val="FootnoteText"/>
        <w:rPr/>
      </w:pPr>
      <w:r>
        <w:rPr>
          <w:rStyle w:val="FootnoteCharacters"/>
        </w:rPr>
        <w:footnoteRef/>
      </w:r>
      <w:r>
        <w:rPr>
          <w:shd w:fill="auto" w:val="clear"/>
        </w:rPr>
        <w:tab/>
        <w:t xml:space="preserve">Casement, </w:t>
      </w:r>
      <w:r>
        <w:rPr>
          <w:i/>
          <w:shd w:fill="auto" w:val="clear"/>
        </w:rPr>
        <w:t xml:space="preserve">Correspondence, </w:t>
      </w:r>
      <w:r>
        <w:rPr/>
        <w:t>11.</w:t>
      </w:r>
    </w:p>
  </w:footnote>
  <w:footnote w:id="41">
    <w:p>
      <w:pPr>
        <w:pStyle w:val="FootnoteText"/>
        <w:rPr/>
      </w:pPr>
      <w:r>
        <w:rPr>
          <w:rStyle w:val="FootnoteCharacters"/>
        </w:rPr>
        <w:footnoteRef/>
      </w:r>
      <w:r>
        <w:rPr>
          <w:shd w:fill="auto" w:val="clear"/>
        </w:rPr>
        <w:tab/>
        <w:t xml:space="preserve">Casement, </w:t>
      </w:r>
      <w:r>
        <w:rPr>
          <w:i/>
          <w:shd w:fill="auto" w:val="clear"/>
        </w:rPr>
        <w:t xml:space="preserve">Correspondence, </w:t>
      </w:r>
      <w:r>
        <w:rPr/>
        <w:t>11.</w:t>
      </w:r>
    </w:p>
  </w:footnote>
  <w:footnote w:id="42">
    <w:p>
      <w:pPr>
        <w:pStyle w:val="FootnoteText"/>
        <w:rPr/>
      </w:pPr>
      <w:r>
        <w:rPr>
          <w:rStyle w:val="FootnoteCharacters"/>
        </w:rPr>
        <w:footnoteRef/>
      </w:r>
      <w:r>
        <w:rPr>
          <w:shd w:fill="auto" w:val="clear"/>
        </w:rPr>
        <w:tab/>
        <w:t xml:space="preserve">Casement, </w:t>
      </w:r>
      <w:r>
        <w:rPr>
          <w:i/>
          <w:shd w:fill="auto" w:val="clear"/>
        </w:rPr>
        <w:t xml:space="preserve">Correspondence, </w:t>
      </w:r>
      <w:r>
        <w:rPr/>
        <w:t>14.</w:t>
      </w:r>
    </w:p>
  </w:footnote>
  <w:footnote w:id="43">
    <w:p>
      <w:pPr>
        <w:pStyle w:val="FootnoteText"/>
        <w:rPr/>
      </w:pPr>
      <w:r>
        <w:rPr>
          <w:rStyle w:val="FootnoteCharacters"/>
        </w:rPr>
        <w:footnoteRef/>
      </w:r>
      <w:r>
        <w:rPr>
          <w:shd w:fill="auto" w:val="clear"/>
        </w:rPr>
        <w:tab/>
        <w:t xml:space="preserve">Casement, </w:t>
      </w:r>
      <w:r>
        <w:rPr>
          <w:i/>
          <w:shd w:fill="auto" w:val="clear"/>
        </w:rPr>
        <w:t xml:space="preserve">Correspondence, </w:t>
      </w:r>
      <w:r>
        <w:rPr/>
        <w:t>13.</w:t>
      </w:r>
    </w:p>
  </w:footnote>
  <w:footnote w:id="44">
    <w:p>
      <w:pPr>
        <w:pStyle w:val="FootnoteText"/>
        <w:rPr/>
      </w:pPr>
      <w:r>
        <w:rPr>
          <w:rStyle w:val="FootnoteCharacters"/>
        </w:rPr>
        <w:footnoteRef/>
      </w:r>
      <w:r>
        <w:rPr/>
        <w:tab/>
        <w:t xml:space="preserve">Taussig, “Culture of Terror,” 489; and </w:t>
      </w:r>
      <w:r>
        <w:rPr>
          <w:shd w:fill="auto" w:val="clear"/>
        </w:rPr>
        <w:t xml:space="preserve">Casement, </w:t>
      </w:r>
      <w:r>
        <w:rPr>
          <w:i/>
          <w:shd w:fill="auto" w:val="clear"/>
        </w:rPr>
        <w:t xml:space="preserve">Correspondence, </w:t>
      </w:r>
      <w:r>
        <w:rPr/>
        <w:t>30.</w:t>
      </w:r>
    </w:p>
  </w:footnote>
  <w:footnote w:id="45">
    <w:p>
      <w:pPr>
        <w:pStyle w:val="FootnoteText"/>
        <w:rPr>
          <w:shd w:fill="auto" w:val="clear"/>
        </w:rPr>
      </w:pPr>
      <w:r>
        <w:rPr>
          <w:rStyle w:val="FootnoteCharacters"/>
        </w:rPr>
        <w:footnoteRef/>
      </w:r>
      <w:r>
        <w:rPr>
          <w:shd w:fill="auto" w:val="clear"/>
        </w:rPr>
        <w:tab/>
        <w:t>Taussig, “Culture of Terror,” 482.</w:t>
      </w:r>
    </w:p>
  </w:footnote>
  <w:footnote w:id="46">
    <w:p>
      <w:pPr>
        <w:pStyle w:val="FootnoteText"/>
        <w:rPr>
          <w:shd w:fill="auto" w:val="clear"/>
        </w:rPr>
      </w:pPr>
      <w:r>
        <w:rPr>
          <w:rStyle w:val="FootnoteCharacters"/>
        </w:rPr>
        <w:footnoteRef/>
      </w:r>
      <w:r>
        <w:rPr>
          <w:shd w:fill="auto" w:val="clear"/>
        </w:rPr>
        <w:tab/>
        <w:t>Taussig, “Culture of Terror,” 483-4.</w:t>
      </w:r>
    </w:p>
  </w:footnote>
  <w:footnote w:id="47">
    <w:p>
      <w:pPr>
        <w:pStyle w:val="FootnoteTex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48">
    <w:p>
      <w:pPr>
        <w:pStyle w:val="FootnoteTex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49">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 xml:space="preserve"> 9.</w:t>
      </w:r>
    </w:p>
  </w:footnote>
  <w:footnote w:id="50">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17.</w:t>
      </w:r>
    </w:p>
  </w:footnote>
  <w:footnote w:id="51">
    <w:p>
      <w:pPr>
        <w:pStyle w:val="FootnoteText"/>
        <w:rPr/>
      </w:pPr>
      <w:r>
        <w:rPr>
          <w:rStyle w:val="FootnoteCharacters"/>
        </w:rPr>
        <w:footnoteRef/>
      </w:r>
      <w:r>
        <w:rPr>
          <w:shd w:fill="auto" w:val="clear"/>
        </w:rPr>
        <w:tab/>
        <w:t xml:space="preserve">Casement, </w:t>
      </w:r>
      <w:r>
        <w:rPr>
          <w:i/>
          <w:shd w:fill="auto" w:val="clear"/>
        </w:rPr>
        <w:t xml:space="preserve">Correspondence, </w:t>
      </w:r>
      <w:r>
        <w:rPr/>
        <w:t>8.</w:t>
      </w:r>
    </w:p>
  </w:footnote>
  <w:footnote w:id="52">
    <w:p>
      <w:pPr>
        <w:pStyle w:val="FootnoteText"/>
        <w:rPr>
          <w:shd w:fill="FFFF00" w:val="clear"/>
        </w:rPr>
      </w:pPr>
      <w:r>
        <w:rPr>
          <w:rStyle w:val="FootnoteCharacters"/>
        </w:rPr>
        <w:footnoteRef/>
      </w:r>
      <w:r>
        <w:rPr>
          <w:shd w:fill="auto" w:val="clear"/>
        </w:rPr>
        <w:tab/>
        <w:t xml:space="preserve">Casement, </w:t>
      </w:r>
      <w:r>
        <w:rPr>
          <w:i/>
          <w:shd w:fill="auto" w:val="clear"/>
        </w:rPr>
        <w:t xml:space="preserve">Correspondence, </w:t>
      </w:r>
      <w:r>
        <w:rPr>
          <w:shd w:fill="FFFF00" w:val="clear"/>
        </w:rPr>
        <w:t>18.</w:t>
      </w:r>
    </w:p>
  </w:footnote>
  <w:footnote w:id="53">
    <w:p>
      <w:pPr>
        <w:pStyle w:val="FootnoteText"/>
        <w:rPr>
          <w:shd w:fill="FFFF00"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r>
        <w:rPr>
          <w:shd w:fill="FFFF00" w:val="clear"/>
        </w:rPr>
        <w:t>8.</w:t>
      </w:r>
    </w:p>
  </w:footnote>
  <w:footnote w:id="54">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18.</w:t>
      </w:r>
    </w:p>
  </w:footnote>
  <w:footnote w:id="55">
    <w:p>
      <w:pPr>
        <w:pStyle w:val="FootnoteText"/>
        <w:rPr/>
      </w:pPr>
      <w:r>
        <w:rPr>
          <w:rStyle w:val="FootnoteCharacters"/>
        </w:rPr>
        <w:footnoteRef/>
      </w:r>
      <w:r>
        <w:rPr>
          <w:shd w:fill="auto" w:val="clear"/>
        </w:rPr>
        <w:tab/>
        <w:t xml:space="preserve">Casement, </w:t>
      </w:r>
      <w:r>
        <w:rPr>
          <w:i/>
          <w:shd w:fill="auto" w:val="clear"/>
        </w:rPr>
        <w:t xml:space="preserve">Correspondence, </w:t>
      </w:r>
      <w:r>
        <w:rPr/>
        <w:t>22.</w:t>
      </w:r>
    </w:p>
  </w:footnote>
  <w:footnote w:id="56">
    <w:p>
      <w:pPr>
        <w:pStyle w:val="FootnoteText"/>
        <w:rPr>
          <w:shd w:fill="auto" w:val="clear"/>
        </w:rPr>
      </w:pPr>
      <w:r>
        <w:rPr>
          <w:rStyle w:val="FootnoteCharacters"/>
        </w:rPr>
        <w:footnoteRef/>
      </w:r>
      <w:r>
        <w:rPr>
          <w:shd w:fill="auto" w:val="clear"/>
        </w:rPr>
        <w:tab/>
        <w:t xml:space="preserve">Karl Marx, </w:t>
      </w:r>
      <w:r>
        <w:rPr>
          <w:i/>
          <w:shd w:fill="auto" w:val="clear"/>
        </w:rPr>
        <w:t>Capital: A Critique of Political Economy</w:t>
      </w:r>
      <w:r>
        <w:rPr>
          <w:shd w:fill="auto" w:val="clear"/>
        </w:rPr>
        <w:t>, trans. Ben Fowkes, vol. 1 (Pelican Books, 1976), 910.</w:t>
      </w:r>
    </w:p>
  </w:footnote>
  <w:footnote w:id="57">
    <w:p>
      <w:pPr>
        <w:pStyle w:val="FootnoteText"/>
        <w:rPr/>
      </w:pPr>
      <w:r>
        <w:rPr>
          <w:rStyle w:val="FootnoteCharacters"/>
        </w:rPr>
        <w:footnoteRef/>
      </w:r>
      <w:r>
        <w:rPr/>
        <w:tab/>
        <w:t xml:space="preserve">Marx, </w:t>
      </w:r>
      <w:r>
        <w:rPr>
          <w:i/>
        </w:rPr>
        <w:t>Capital</w:t>
      </w:r>
      <w:r>
        <w:rPr/>
        <w:t>, vol. 1, 911.</w:t>
      </w:r>
    </w:p>
  </w:footnote>
  <w:footnote w:id="58">
    <w:p>
      <w:pPr>
        <w:pStyle w:val="FootnoteText"/>
        <w:rPr/>
      </w:pPr>
      <w:r>
        <w:rPr>
          <w:rStyle w:val="FootnoteCharacters"/>
        </w:rPr>
        <w:footnoteRef/>
      </w:r>
      <w:r>
        <w:rPr/>
        <w:tab/>
        <w:t>Geoff Bertram, “End-Use Classification of Peruvian Imports, 1891-1972,” St Antonys College Oxford, 1977.</w:t>
      </w:r>
    </w:p>
  </w:footnote>
  <w:footnote w:id="59">
    <w:p>
      <w:pPr>
        <w:pStyle w:val="FootnoteText"/>
        <w:rPr>
          <w:shd w:fill="auto" w:val="clear"/>
        </w:rPr>
      </w:pPr>
      <w:r>
        <w:rPr>
          <w:rStyle w:val="FootnoteCharacters"/>
        </w:rPr>
        <w:footnoteRef/>
      </w:r>
      <w:r>
        <w:rPr>
          <w:shd w:fill="auto" w:val="clear"/>
        </w:rPr>
        <w:tab/>
        <w:t xml:space="preserve">Dirección de Estadística del Ministerio de Fomento, </w:t>
      </w:r>
      <w:r>
        <w:rPr>
          <w:i/>
          <w:shd w:fill="auto" w:val="clear"/>
        </w:rPr>
        <w:t>Extracto Estadístico correspondiente al año 1918</w:t>
      </w:r>
      <w:r>
        <w:rPr>
          <w:shd w:fill="auto" w:val="clear"/>
        </w:rPr>
        <w:t xml:space="preserve"> (Lima, Peru, 1919), 57.</w:t>
      </w:r>
    </w:p>
  </w:footnote>
  <w:footnote w:id="60">
    <w:p>
      <w:pPr>
        <w:pStyle w:val="FootnoteTex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(1910), 345.</w:t>
      </w:r>
    </w:p>
  </w:footnote>
  <w:footnote w:id="61">
    <w:p>
      <w:pPr>
        <w:pStyle w:val="FootnoteTex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329.</w:t>
      </w:r>
    </w:p>
  </w:footnote>
  <w:footnote w:id="62">
    <w:p>
      <w:pPr>
        <w:pStyle w:val="FootnoteTex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157.</w:t>
      </w:r>
    </w:p>
  </w:footnote>
  <w:footnote w:id="63">
    <w:p>
      <w:pPr>
        <w:pStyle w:val="FootnoteTex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147.</w:t>
      </w:r>
    </w:p>
  </w:footnote>
  <w:footnote w:id="64">
    <w:p>
      <w:pPr>
        <w:pStyle w:val="FootnoteText"/>
        <w:rPr/>
      </w:pPr>
      <w:r>
        <w:rPr>
          <w:rStyle w:val="FootnoteCharacters"/>
        </w:rPr>
        <w:footnoteRef/>
      </w:r>
      <w:r>
        <w:rPr/>
        <w:tab/>
        <w:t xml:space="preserve">Pilar Jordán, “A Propósito de Redes Sociales, Económicas y Políticas En La Iquitos de Inicios Del Siglo XX,” </w:t>
      </w:r>
      <w:r>
        <w:rPr>
          <w:i/>
        </w:rPr>
        <w:t>Boletín Americanista, ISSN 0520-4100, N</w:t>
      </w:r>
      <w:r>
        <w:rPr>
          <w:i/>
          <w:position w:val="7"/>
          <w:sz w:val="16"/>
        </w:rPr>
        <w:t>o</w:t>
      </w:r>
      <w:r>
        <w:rPr>
          <w:i/>
        </w:rPr>
        <w:t>. 56, 2006, Pags. 103-118</w:t>
      </w:r>
      <w:r>
        <w:rPr/>
        <w:t>, January 2006, 112.</w:t>
      </w:r>
    </w:p>
  </w:footnote>
  <w:footnote w:id="65">
    <w:p>
      <w:pPr>
        <w:pStyle w:val="FootnoteText"/>
        <w:rPr/>
      </w:pPr>
      <w:r>
        <w:rPr>
          <w:rStyle w:val="FootnoteCharacters"/>
        </w:rPr>
        <w:footnoteRef/>
      </w:r>
      <w:r>
        <w:rPr/>
        <w:tab/>
        <w:t xml:space="preserve">J. Goodman, </w:t>
      </w:r>
      <w:r>
        <w:rPr>
          <w:i/>
        </w:rPr>
        <w:t>The Devil and Mr. Casement: One Man’s Battle for Human Rights in South America’s Heart of Darkness</w:t>
      </w:r>
      <w:r>
        <w:rPr/>
        <w:t xml:space="preserve"> (Farrar, Straus and Giroux, 2010), 239.</w:t>
      </w:r>
    </w:p>
  </w:footnote>
  <w:footnote w:id="66">
    <w:p>
      <w:pPr>
        <w:pStyle w:val="FootnoteText"/>
        <w:rPr/>
      </w:pPr>
      <w:r>
        <w:rPr>
          <w:rStyle w:val="FootnoteCharacters"/>
        </w:rPr>
        <w:footnoteRef/>
      </w:r>
      <w:r>
        <w:rPr/>
        <w:tab/>
        <w:t xml:space="preserve">J.V.S. Román et al., </w:t>
      </w:r>
      <w:r>
        <w:rPr>
          <w:i/>
        </w:rPr>
        <w:t>Perfiles Históricos de La Amazonía Peruana</w:t>
      </w:r>
      <w:r>
        <w:rPr/>
        <w:t xml:space="preserve"> (Centro de Estudios Teológicos de la Amazonía, 1994), 192-3.</w:t>
      </w:r>
    </w:p>
  </w:footnote>
  <w:footnote w:id="67">
    <w:p>
      <w:pPr>
        <w:pStyle w:val="FootnoteText"/>
        <w:rPr/>
      </w:pPr>
      <w:r>
        <w:rPr>
          <w:rStyle w:val="FootnoteCharacters"/>
        </w:rPr>
        <w:footnoteRef/>
      </w:r>
      <w:r>
        <w:rPr/>
        <w:tab/>
        <w:t>Echeverri, “The Putumayo Indians and the Rubber Boom,” 17.</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0" w:name="PageNumWizard_HEADER_Default_Page_Style5"/>
    <w:r>
      <w:rPr/>
      <w:fldChar w:fldCharType="begin"/>
    </w:r>
    <w:r>
      <w:rPr/>
      <w:instrText xml:space="preserve"> PAGE </w:instrText>
    </w:r>
    <w:r>
      <w:rPr/>
      <w:fldChar w:fldCharType="separate"/>
    </w:r>
    <w:r>
      <w:rPr/>
      <w:t>32</w:t>
    </w:r>
    <w:r>
      <w:rPr/>
      <w:fldChar w:fldCharType="end"/>
    </w:r>
    <w:bookmarkEnd w:id="0"/>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1" w:name="PageNumWizard_HEADER_Default_Page_Style5"/>
    <w:r>
      <w:rPr/>
      <w:fldChar w:fldCharType="begin"/>
    </w:r>
    <w:r>
      <w:rPr/>
      <w:instrText xml:space="preserve"> PAGE </w:instrText>
    </w:r>
    <w:r>
      <w:rPr/>
      <w:fldChar w:fldCharType="separate"/>
    </w:r>
    <w:r>
      <w:rPr/>
      <w:t>32</w:t>
    </w:r>
    <w:r>
      <w:rPr/>
      <w:fldChar w:fldCharType="end"/>
    </w:r>
    <w:bookmarkEnd w:id="1"/>
  </w:p>
</w:hdr>
</file>

<file path=word/settings.xml><?xml version="1.0" encoding="utf-8"?>
<w:settings xmlns:w="http://schemas.openxmlformats.org/wordprocessingml/2006/main">
  <w:zoom w:percent="65"/>
  <w:defaultTabStop w:val="709"/>
  <w:autoHyphenation w:val="true"/>
  <w:footnotePr>
    <w:numFmt w:val="decimal"/>
    <w:footnote w:id="0"/>
    <w:footnote w:id="1"/>
  </w:footnotePr>
  <w:compat>
    <w:doNotBreakWrappedTables/>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1213</TotalTime>
  <Application>LibreOffice/24.2.7.2$Linux_X86_64 LibreOffice_project/420$Build-2</Application>
  <AppVersion>15.0000</AppVersion>
  <Pages>32</Pages>
  <Words>10027</Words>
  <Characters>51860</Characters>
  <CharactersWithSpaces>61837</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2025-10-10T13:35:02Z</dcterms:created>
  <dc:creator/>
  <dc:description/>
  <dc:language>en-US</dc:language>
  <cp:lastModifiedBy/>
  <dcterms:modified xsi:type="dcterms:W3CDTF">2026-05-06T11:27:04Z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file>