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jc w:val="start"/>
        <w:rPr>
          <w:sz w:val="24"/>
          <w:szCs w:val="24"/>
        </w:rPr>
      </w:pPr>
      <w:r>
        <w:rPr>
          <w:b/>
          <w:bCs/>
          <w:sz w:val="24"/>
          <w:szCs w:val="24"/>
        </w:rPr>
        <w:t>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b/>
          <w:bCs/>
          <w:sz w:val="24"/>
          <w:szCs w:val="24"/>
        </w:rPr>
        <w:t>Introduction</w:t>
      </w:r>
    </w:p>
    <w:p>
      <w:pPr>
        <w:pStyle w:val="Normal"/>
        <w:bidi w:val="0"/>
        <w:spacing w:lineRule="auto" w:line="480" w:before="0" w:after="0"/>
        <w:jc w:val="start"/>
        <w:rPr>
          <w:b w:val="false"/>
          <w:bCs w:val="false"/>
          <w:sz w:val="24"/>
          <w:szCs w:val="24"/>
        </w:rPr>
      </w:pPr>
      <w:r>
        <w:rPr>
          <w:b w:val="false"/>
          <w:bCs w:val="false"/>
          <w:sz w:val="24"/>
          <w:szCs w:val="24"/>
        </w:rPr>
        <w:tab/>
        <w:t>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slavery was practiced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2"/>
      </w:r>
      <w:r>
        <w:rPr>
          <w:b w:val="false"/>
          <w:bCs w:val="false"/>
          <w:sz w:val="24"/>
          <w:szCs w:val="24"/>
        </w:rPr>
        <w:t xml:space="preserve"> When Roger Casement traveled to the Congo in 1903 in his role as British consul, he was convinced that "only a humanitarian crusade could abolish the evils of the Leopoldian regime,"</w:t>
      </w:r>
      <w:r>
        <w:rPr>
          <w:rStyle w:val="FootnoteReference"/>
          <w:b w:val="false"/>
          <w:bCs w:val="false"/>
          <w:sz w:val="24"/>
          <w:szCs w:val="24"/>
        </w:rPr>
        <w:footnoteReference w:id="3"/>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b w:val="false"/>
          <w:bCs w:val="false"/>
          <w:sz w:val="24"/>
          <w:szCs w:val="24"/>
          <w:highlight w:val="none"/>
          <w:shd w:fill="auto" w:val="clear"/>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relatively remote region of the Amazon, the Peruvian Amazon Company captured and enslaved the indigenous population and established what has been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production in the most productive rubber field on earth: the Amazon. The questions raised in this chapter about forced labor for the market and the reproduction of genocide provide a fertile grounds for research into the Congo as well. </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the engines of capitalism, were here at the core of a system that was not only opposed to the market logic, but also to the possibility of developing a modern local economy."</w:t>
      </w:r>
      <w:r>
        <w:rPr>
          <w:rStyle w:val="FootnoteReference"/>
          <w:b w:val="false"/>
          <w:bCs w:val="false"/>
          <w:sz w:val="24"/>
          <w:szCs w:val="24"/>
          <w:shd w:fill="auto" w:val="clear"/>
        </w:rPr>
        <w:footnoteReference w:id="4"/>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To make this case, I will look at several aspects of the rubber industry in the Putumayo. I will first briefly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Normal"/>
        <w:bidi w:val="0"/>
        <w:spacing w:lineRule="auto" w:line="480" w:before="0" w:after="0"/>
        <w:jc w:val="start"/>
        <w:rPr>
          <w:b/>
          <w:bCs/>
          <w:sz w:val="24"/>
          <w:szCs w:val="24"/>
        </w:rPr>
      </w:pPr>
      <w:r>
        <w:rPr>
          <w:b/>
          <w:bCs/>
          <w:sz w:val="24"/>
          <w:szCs w:val="24"/>
        </w:rPr>
      </w:r>
    </w:p>
    <w:p>
      <w:pPr>
        <w:pStyle w:val="Normal"/>
        <w:bidi w:val="0"/>
        <w:spacing w:lineRule="auto" w:line="480" w:before="0" w:after="0"/>
        <w:jc w:val="start"/>
        <w:rPr>
          <w:sz w:val="24"/>
          <w:szCs w:val="24"/>
        </w:rPr>
      </w:pPr>
      <w:r>
        <w:rPr>
          <w:b/>
          <w:bCs/>
          <w:sz w:val="24"/>
          <w:szCs w:val="24"/>
        </w:rPr>
        <w:t>Global Integration</w:t>
      </w:r>
    </w:p>
    <w:p>
      <w:pPr>
        <w:pStyle w:val="Normal"/>
        <w:bidi w:val="0"/>
        <w:spacing w:lineRule="auto" w:line="480" w:before="0" w:after="0"/>
        <w:jc w:val="start"/>
        <w:rPr>
          <w:sz w:val="24"/>
          <w:szCs w:val="24"/>
        </w:rPr>
      </w:pPr>
      <w:r>
        <w:rPr>
          <w:b w:val="false"/>
          <w:bCs w:val="false"/>
          <w:sz w:val="24"/>
          <w:szCs w:val="24"/>
        </w:rPr>
        <w:tab/>
        <w:t>In the early twentieth century, the automotive industry, centered in Michigan, USA, massively stimulated the demand for rubber production. As the main raw material that could not be produced within the United States, Henry Ford and his competitors were required to look outside the US to tropical zones more hospitable to rubber trees. As discussed in the previous chapter, until 1913, the Amazon was by far the largest producer of rubber. Most of this came from the Brazilian region of the Amazon, and the industry had a profound transformation on Amazonian communities. As the region was reoriented towards commodity production for the world market, the dissolution of traditional patterns of communal life was accelerated, domestic commodity consumption was increased, and massive cities grew up,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sz w:val="24"/>
          <w:szCs w:val="24"/>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5"/>
      </w:r>
      <w:r>
        <w:rPr>
          <w:b w:val="false"/>
          <w:bCs w:val="false"/>
          <w:sz w:val="24"/>
          <w:szCs w:val="24"/>
        </w:rPr>
        <w:t xml:space="preserve"> kilograms out of 29 million.</w:t>
      </w:r>
      <w:r>
        <w:rPr>
          <w:rStyle w:val="FootnoteReference"/>
          <w:b w:val="false"/>
          <w:bCs w:val="false"/>
          <w:sz w:val="24"/>
          <w:szCs w:val="24"/>
        </w:rPr>
        <w:footnoteReference w:id="6"/>
      </w:r>
      <w:r>
        <w:rPr>
          <w:b w:val="false"/>
          <w:bCs w:val="false"/>
          <w:sz w:val="24"/>
          <w:szCs w:val="24"/>
        </w:rPr>
        <w:t xml:space="preserve"> Given that Peru currently covers 13% of the Amazon, and claimed an even larger portion a hundred years ago, it is clear that production in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sz w:val="24"/>
          <w:szCs w:val="24"/>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7"/>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8"/>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sz w:val="24"/>
          <w:szCs w:val="24"/>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9"/>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sz w:val="24"/>
          <w:szCs w:val="24"/>
        </w:rPr>
      </w:pPr>
      <w:r>
        <w:rPr>
          <w:b w:val="false"/>
          <w:bCs w:val="false"/>
          <w:sz w:val="24"/>
          <w:szCs w:val="24"/>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sz w:val="24"/>
          <w:szCs w:val="24"/>
        </w:rPr>
        <w:footnoteReference w:id="10"/>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sz w:val="24"/>
          <w:szCs w:val="24"/>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11"/>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12"/>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13"/>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b/>
          <w:bCs/>
          <w:i w:val="false"/>
          <w:iCs w:val="false"/>
          <w:sz w:val="24"/>
          <w:szCs w:val="24"/>
        </w:rPr>
        <w:t>The Putumayo Genocide</w:t>
      </w:r>
    </w:p>
    <w:p>
      <w:pPr>
        <w:pStyle w:val="Normal"/>
        <w:bidi w:val="0"/>
        <w:spacing w:lineRule="auto" w:line="480" w:before="0" w:after="0"/>
        <w:jc w:val="start"/>
        <w:rPr>
          <w:sz w:val="24"/>
          <w:szCs w:val="24"/>
        </w:rPr>
      </w:pPr>
      <w:r>
        <w:rPr>
          <w:b w:val="false"/>
          <w:bCs w:val="false"/>
          <w:sz w:val="24"/>
          <w:szCs w:val="24"/>
        </w:rPr>
        <w:tab/>
        <w:t>The food shipped in from the US was generally very expensive, of low quality, and it replaced the more nutritious local diet. Indeed, the effects of integration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as well as 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sz w:val="24"/>
          <w:szCs w:val="24"/>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14"/>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sz w:val="24"/>
          <w:szCs w:val="24"/>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15"/>
      </w:r>
      <w:r>
        <w:rPr>
          <w:sz w:val="24"/>
          <w:szCs w:val="24"/>
        </w:rPr>
        <w:t xml:space="preserve"> Exact figures are disputed, but Roger Casement gives a conservative estimate of 30,000 total victims; the Putumayo region was depopulated by 90% during the rubber boom. In addition to outright massacres, thousands were killed by starvation, overwork, or were forcibly removed from their home region.</w:t>
      </w:r>
    </w:p>
    <w:p>
      <w:pPr>
        <w:pStyle w:val="Normal"/>
        <w:bidi w:val="0"/>
        <w:spacing w:lineRule="auto" w:line="480" w:before="0" w:after="0"/>
        <w:ind w:firstLine="720" w:start="0" w:end="0"/>
        <w:jc w:val="start"/>
        <w:rPr>
          <w:sz w:val="24"/>
          <w:szCs w:val="24"/>
        </w:rPr>
      </w:pPr>
      <w:r>
        <w:rPr>
          <w:sz w:val="24"/>
          <w:szCs w:val="24"/>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sz w:val="24"/>
          <w:szCs w:val="24"/>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16"/>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17"/>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sz w:val="24"/>
          <w:szCs w:val="24"/>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18"/>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sz w:val="24"/>
          <w:szCs w:val="24"/>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19"/>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20"/>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21"/>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sz w:val="24"/>
          <w:szCs w:val="24"/>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22"/>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sz w:val="24"/>
          <w:szCs w:val="24"/>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23"/>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24"/>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sz w:val="24"/>
          <w:szCs w:val="24"/>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25"/>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26"/>
      </w:r>
    </w:p>
    <w:p>
      <w:pPr>
        <w:pStyle w:val="Normal"/>
        <w:bidi w:val="0"/>
        <w:spacing w:lineRule="auto" w:line="480" w:before="0" w:after="0"/>
        <w:jc w:val="start"/>
        <w:rPr>
          <w:sz w:val="24"/>
          <w:szCs w:val="24"/>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sz w:val="24"/>
          <w:szCs w:val="24"/>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sz w:val="24"/>
          <w:szCs w:val="24"/>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27"/>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before="0" w:after="0"/>
        <w:jc w:val="start"/>
        <w:rPr>
          <w:sz w:val="24"/>
          <w:szCs w:val="24"/>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28"/>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29"/>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sz w:val="24"/>
          <w:szCs w:val="24"/>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0"/>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1"/>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2"/>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sz w:val="24"/>
          <w:szCs w:val="24"/>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3"/>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4"/>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5"/>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sz w:val="24"/>
          <w:szCs w:val="24"/>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sz w:val="24"/>
          <w:szCs w:val="24"/>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6"/>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7"/>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sz w:val="24"/>
          <w:szCs w:val="24"/>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8"/>
      </w:r>
      <w:r>
        <w:rPr>
          <w:b w:val="false"/>
          <w:bCs w:val="false"/>
          <w:i w:val="false"/>
          <w:iCs w:val="false"/>
          <w:sz w:val="24"/>
          <w:szCs w:val="24"/>
        </w:rPr>
        <w:t xml:space="preserve"> Indeed all of the houses at the rubber stations were built by the natives: </w:t>
      </w:r>
    </w:p>
    <w:p>
      <w:pPr>
        <w:pStyle w:val="Normal"/>
        <w:bidi w:val="0"/>
        <w:spacing w:lineRule="auto" w:line="480" w:before="0" w:after="0"/>
        <w:ind w:start="720"/>
        <w:jc w:val="start"/>
        <w:rPr>
          <w:sz w:val="24"/>
          <w:szCs w:val="24"/>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9"/>
      </w:r>
    </w:p>
    <w:p>
      <w:pPr>
        <w:pStyle w:val="Normal"/>
        <w:bidi w:val="0"/>
        <w:spacing w:lineRule="auto" w:line="480" w:before="0" w:after="0"/>
        <w:ind w:start="0"/>
        <w:jc w:val="start"/>
        <w:rPr>
          <w:sz w:val="24"/>
          <w:szCs w:val="24"/>
        </w:rPr>
      </w:pPr>
      <w:r>
        <w:rPr>
          <w:b w:val="false"/>
          <w:bCs w:val="false"/>
          <w:i w:val="false"/>
          <w:iCs w:val="false"/>
          <w:sz w:val="24"/>
          <w:szCs w:val="24"/>
        </w:rPr>
        <w:t xml:space="preserve">These houses were built on huge clearings of up to 200 acres, the clearing and planting of which also fell to the Putumayans. </w:t>
      </w:r>
    </w:p>
    <w:p>
      <w:pPr>
        <w:pStyle w:val="Normal"/>
        <w:bidi w:val="0"/>
        <w:spacing w:lineRule="auto" w:line="480" w:before="0" w:after="0"/>
        <w:ind w:start="0"/>
        <w:jc w:val="start"/>
        <w:rPr>
          <w:sz w:val="24"/>
          <w:szCs w:val="24"/>
        </w:rPr>
      </w:pPr>
      <w:r>
        <w:rPr>
          <w:b w:val="false"/>
          <w:bCs w:val="false"/>
          <w:i w:val="false"/>
          <w:iCs w:val="false"/>
          <w:sz w:val="24"/>
          <w:szCs w:val="24"/>
        </w:rPr>
        <w:tab/>
      </w:r>
    </w:p>
    <w:p>
      <w:pPr>
        <w:pStyle w:val="Normal"/>
        <w:bidi w:val="0"/>
        <w:spacing w:lineRule="auto" w:line="480" w:before="0" w:after="0"/>
        <w:jc w:val="start"/>
        <w:rPr>
          <w:sz w:val="24"/>
          <w:szCs w:val="24"/>
        </w:rPr>
      </w:pPr>
      <w:r>
        <w:rPr>
          <w:b/>
          <w:bCs/>
          <w:i w:val="false"/>
          <w:iCs w:val="false"/>
          <w:sz w:val="24"/>
          <w:szCs w:val="24"/>
        </w:rPr>
        <w:t>Reproduction of Genocide</w:t>
      </w:r>
    </w:p>
    <w:p>
      <w:pPr>
        <w:pStyle w:val="Normal"/>
        <w:bidi w:val="0"/>
        <w:spacing w:lineRule="auto" w:line="480" w:before="0" w:after="0"/>
        <w:jc w:val="start"/>
        <w:rPr>
          <w:sz w:val="24"/>
          <w:szCs w:val="24"/>
        </w:rPr>
      </w:pPr>
      <w:r>
        <w:rPr>
          <w:i w:val="false"/>
          <w:iCs w:val="false"/>
          <w:sz w:val="24"/>
          <w:szCs w:val="24"/>
        </w:rPr>
        <w:tab/>
        <w:t>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sz w:val="24"/>
          <w:szCs w:val="24"/>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b w:val="false"/>
          <w:bCs w:val="false"/>
        </w:rPr>
      </w:pPr>
      <w:r>
        <w:rPr>
          <w:b w:val="false"/>
          <w:bCs w:val="false"/>
          <w:i/>
          <w:iCs/>
          <w:sz w:val="24"/>
          <w:szCs w:val="24"/>
        </w:rPr>
        <w:t>Land</w:t>
      </w:r>
    </w:p>
    <w:p>
      <w:pPr>
        <w:pStyle w:val="Normal"/>
        <w:bidi w:val="0"/>
        <w:spacing w:lineRule="auto" w:line="480" w:before="0" w:after="0"/>
        <w:jc w:val="start"/>
        <w:rPr>
          <w:sz w:val="24"/>
          <w:szCs w:val="24"/>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w:t>
      </w:r>
    </w:p>
    <w:p>
      <w:pPr>
        <w:pStyle w:val="Normal"/>
        <w:bidi w:val="0"/>
        <w:spacing w:lineRule="auto" w:line="480" w:before="0" w:after="0"/>
        <w:jc w:val="start"/>
        <w:rPr>
          <w:sz w:val="24"/>
          <w:szCs w:val="24"/>
        </w:rPr>
      </w:pPr>
      <w:r>
        <w:rPr>
          <w:b w:val="false"/>
          <w:bCs w:val="false"/>
          <w:i w:val="false"/>
          <w:iCs w:val="false"/>
          <w:sz w:val="24"/>
          <w:szCs w:val="24"/>
        </w:rPr>
        <w:t>tion of Cheap Nature."</w:t>
      </w:r>
      <w:r>
        <w:rPr>
          <w:rStyle w:val="FootnoteReference"/>
          <w:b w:val="false"/>
          <w:bCs w:val="false"/>
          <w:i w:val="false"/>
          <w:iCs w:val="false"/>
          <w:sz w:val="24"/>
          <w:szCs w:val="24"/>
        </w:rPr>
        <w:footnoteReference w:id="40"/>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sz w:val="24"/>
          <w:szCs w:val="24"/>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41"/>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42"/>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sz w:val="24"/>
          <w:szCs w:val="24"/>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43"/>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sz w:val="24"/>
          <w:szCs w:val="24"/>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44"/>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45"/>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46"/>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47"/>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48"/>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49"/>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50"/>
      </w:r>
      <w:r>
        <w:rPr>
          <w:b w:val="false"/>
          <w:bCs w:val="false"/>
          <w:i w:val="false"/>
          <w:iCs w:val="false"/>
          <w:sz w:val="24"/>
          <w:szCs w:val="24"/>
        </w:rPr>
        <w:t xml:space="preserve"> destroying the trees. </w:t>
      </w:r>
    </w:p>
    <w:p>
      <w:pPr>
        <w:pStyle w:val="Normal"/>
        <w:bidi w:val="0"/>
        <w:spacing w:lineRule="auto" w:line="480" w:before="0" w:after="0"/>
        <w:jc w:val="start"/>
        <w:rPr>
          <w:sz w:val="24"/>
          <w:szCs w:val="24"/>
        </w:rPr>
      </w:pPr>
      <w:r>
        <w:rPr>
          <w:sz w:val="24"/>
          <w:szCs w:val="24"/>
        </w:rPr>
        <w:tab/>
        <w:t xml:space="preserve">In general in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51"/>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sz w:val="24"/>
          <w:szCs w:val="24"/>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Hevea Brasiliensis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52"/>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53"/>
      </w:r>
      <w:r>
        <w:rPr>
          <w:i w:val="false"/>
          <w:iCs w:val="false"/>
          <w:sz w:val="24"/>
          <w:szCs w:val="24"/>
        </w:rPr>
        <w:t xml:space="preserve"> compared to about half in Brazil.</w:t>
      </w:r>
      <w:r>
        <w:rPr>
          <w:rStyle w:val="FootnoteReference"/>
          <w:i w:val="false"/>
          <w:iCs w:val="false"/>
          <w:sz w:val="24"/>
          <w:szCs w:val="24"/>
        </w:rPr>
        <w:footnoteReference w:id="54"/>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55"/>
      </w:r>
    </w:p>
    <w:p>
      <w:pPr>
        <w:pStyle w:val="Normal"/>
        <w:bidi w:val="0"/>
        <w:spacing w:lineRule="auto" w:line="480" w:before="0" w:after="0"/>
        <w:jc w:val="start"/>
        <w:rPr>
          <w:sz w:val="24"/>
          <w:szCs w:val="24"/>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domicile.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56"/>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57"/>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sz w:val="24"/>
          <w:szCs w:val="24"/>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sz w:val="24"/>
          <w:szCs w:val="24"/>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sz w:val="24"/>
          <w:szCs w:val="24"/>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58"/>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sz w:val="24"/>
          <w:szCs w:val="24"/>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59"/>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60"/>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61"/>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62"/>
      </w:r>
      <w:r>
        <w:rPr>
          <w:b w:val="false"/>
          <w:bCs w:val="false"/>
          <w:sz w:val="24"/>
          <w:szCs w:val="24"/>
        </w:rPr>
        <w:t xml:space="preserve">In a rain 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sz w:val="24"/>
          <w:szCs w:val="24"/>
        </w:rPr>
      </w:pPr>
      <w:r>
        <w:rPr>
          <w:b w:val="false"/>
          <w:bCs w:val="false"/>
          <w:sz w:val="24"/>
          <w:szCs w:val="24"/>
        </w:rPr>
        <w:tab/>
        <w:t>Workers would not have to be imported, but the native Putumayans did not accept enslavement quietly. In fact, their resistance cost the company significantly. In order to subdue the indigenous population, the PAC brought in Black Barbadian migrants to serve as overseers, and laid out significant capital on gastos de conquistacion.</w:t>
      </w:r>
      <w:r>
        <w:rPr>
          <w:b w:val="false"/>
          <w:bCs w:val="false"/>
          <w:i w:val="false"/>
          <w:iCs w:val="false"/>
          <w:sz w:val="24"/>
          <w:szCs w:val="24"/>
        </w:rPr>
        <w:t xml:space="preserve">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63"/>
      </w:r>
      <w:r>
        <w:rPr>
          <w:b w:val="false"/>
          <w:bCs w:val="false"/>
          <w:i w:val="false"/>
          <w:iCs w:val="false"/>
          <w:sz w:val="24"/>
          <w:szCs w:val="24"/>
        </w:rPr>
        <w:t xml:space="preserve"> The head of the PAC, J.C. Arana, argued that "conquest referred to attracting Indians, a process of converting uncivilized people to a relationship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64"/>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transformation of people into workers.</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b w:val="false"/>
          <w:bCs w:val="false"/>
        </w:rPr>
      </w:pPr>
      <w:r>
        <w:rPr>
          <w:b w:val="false"/>
          <w:bCs w:val="false"/>
          <w:i/>
          <w:iCs/>
          <w:sz w:val="24"/>
          <w:szCs w:val="24"/>
        </w:rPr>
        <w:t>Labor Discipline</w:t>
      </w:r>
    </w:p>
    <w:p>
      <w:pPr>
        <w:pStyle w:val="Normal"/>
        <w:bidi w:val="0"/>
        <w:spacing w:lineRule="auto" w:line="480" w:before="0" w:after="0"/>
        <w:jc w:val="start"/>
        <w:rPr>
          <w:sz w:val="24"/>
          <w:szCs w:val="24"/>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65"/>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66"/>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sz w:val="24"/>
          <w:szCs w:val="24"/>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67"/>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68"/>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sz w:val="24"/>
          <w:szCs w:val="24"/>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69"/>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70"/>
      </w:r>
      <w:r>
        <w:rPr>
          <w:b w:val="false"/>
          <w:bCs w:val="false"/>
          <w:i/>
          <w:iCs/>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71"/>
      </w:r>
      <w:r>
        <w:rPr>
          <w:b w:val="false"/>
          <w:bCs w:val="false"/>
          <w:i w:val="false"/>
          <w:iCs w:val="false"/>
          <w:sz w:val="24"/>
          <w:szCs w:val="24"/>
        </w:rPr>
        <w:t xml:space="preserve"> Part of the justification came from framing resistance by the indigenous Putumayans as evidence of their brutality and backwardness: Taussig notes that propaganda of the "savagery of the wild Indians occupied a key role in the propaganda of the rubber company."</w:t>
      </w:r>
      <w:r>
        <w:rPr>
          <w:rStyle w:val="FootnoteReference"/>
          <w:b w:val="false"/>
          <w:bCs w:val="false"/>
          <w:i w:val="false"/>
          <w:iCs w:val="false"/>
          <w:sz w:val="24"/>
          <w:szCs w:val="24"/>
        </w:rPr>
        <w:footnoteReference w:id="72"/>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sz w:val="24"/>
          <w:szCs w:val="24"/>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73"/>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74"/>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sz w:val="24"/>
          <w:szCs w:val="24"/>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75"/>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76"/>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77"/>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78"/>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sz w:val="24"/>
          <w:szCs w:val="24"/>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79"/>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sz w:val="24"/>
          <w:szCs w:val="24"/>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80"/>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sz w:val="24"/>
          <w:szCs w:val="24"/>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81"/>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sz w:val="24"/>
          <w:szCs w:val="24"/>
        </w:rPr>
      </w:pPr>
      <w:r>
        <w:rPr>
          <w:b w:val="false"/>
          <w:bCs w:val="false"/>
          <w:i w:val="false"/>
          <w:iCs w:val="false"/>
          <w:sz w:val="24"/>
          <w:szCs w:val="24"/>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82"/>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83"/>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sz w:val="24"/>
          <w:szCs w:val="24"/>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sz w:val="24"/>
          <w:szCs w:val="24"/>
        </w:rPr>
      </w:pPr>
      <w:r>
        <w:rPr>
          <w:b w:val="false"/>
          <w:bCs w:val="false"/>
          <w:i w:val="false"/>
          <w:iCs w:val="false"/>
          <w:sz w:val="24"/>
          <w:szCs w:val="24"/>
        </w:rPr>
        <w:tab/>
        <w:t xml:space="preserve">It is important to note here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84"/>
      </w:r>
    </w:p>
    <w:p>
      <w:pPr>
        <w:pStyle w:val="Normal"/>
        <w:bidi w:val="0"/>
        <w:spacing w:lineRule="auto" w:line="480" w:before="0" w:after="0"/>
        <w:jc w:val="start"/>
        <w:rPr>
          <w:sz w:val="24"/>
          <w:szCs w:val="24"/>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85"/>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before="0" w:after="0"/>
        <w:ind w:hanging="0" w:start="1080"/>
        <w:jc w:val="start"/>
        <w:rPr>
          <w:sz w:val="24"/>
          <w:szCs w:val="24"/>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sz w:val="24"/>
          <w:szCs w:val="24"/>
        </w:rPr>
        <w:t>"</w:t>
      </w:r>
      <w:r>
        <w:rPr>
          <w:rStyle w:val="FootnoteReference"/>
          <w:sz w:val="24"/>
          <w:szCs w:val="24"/>
        </w:rPr>
        <w:footnoteReference w:id="86"/>
      </w:r>
    </w:p>
    <w:p>
      <w:pPr>
        <w:pStyle w:val="Normal"/>
        <w:bidi w:val="0"/>
        <w:spacing w:lineRule="auto" w:line="480" w:before="0" w:after="0"/>
        <w:jc w:val="start"/>
        <w:rPr>
          <w:sz w:val="24"/>
          <w:szCs w:val="24"/>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 Civilising Project.</w:t>
      </w:r>
    </w:p>
    <w:p>
      <w:pPr>
        <w:pStyle w:val="Normal"/>
        <w:bidi w:val="0"/>
        <w:spacing w:lineRule="auto" w:line="480" w:before="0" w:after="0"/>
        <w:jc w:val="start"/>
        <w:rPr>
          <w:sz w:val="24"/>
          <w:szCs w:val="24"/>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 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Normal"/>
        <w:bidi w:val="0"/>
        <w:spacing w:lineRule="auto" w:line="480" w:before="0" w:after="0"/>
        <w:jc w:val="start"/>
        <w:rPr>
          <w:sz w:val="24"/>
          <w:szCs w:val="24"/>
        </w:rPr>
      </w:pPr>
      <w:r>
        <w:rPr>
          <w:b/>
          <w:bCs/>
          <w:sz w:val="24"/>
          <w:szCs w:val="24"/>
        </w:rPr>
        <w:t>Conclusion</w:t>
      </w:r>
    </w:p>
    <w:p>
      <w:pPr>
        <w:pStyle w:val="Normal"/>
        <w:bidi w:val="0"/>
        <w:spacing w:lineRule="auto" w:line="480" w:before="0" w:after="0"/>
        <w:jc w:val="start"/>
        <w:rPr>
          <w:sz w:val="24"/>
          <w:szCs w:val="24"/>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87"/>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88"/>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89"/>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90"/>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91"/>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92"/>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sz w:val="24"/>
          <w:szCs w:val="24"/>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sz w:val="24"/>
          <w:szCs w:val="24"/>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40</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40</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Adam Hochschild, </w:t>
      </w:r>
      <w:r>
        <w:rPr>
          <w:i/>
        </w:rPr>
        <w:t>King Leopold’s Ghost</w:t>
      </w:r>
      <w:r>
        <w:rPr/>
        <w:t xml:space="preserve"> (Houghton Mifflin, 1998), 233.</w:t>
      </w:r>
    </w:p>
  </w:footnote>
  <w:footnote w:id="3">
    <w:p>
      <w:pPr>
        <w:pStyle w:val="FootnoteText"/>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4">
    <w:p>
      <w:pPr>
        <w:pStyle w:val="FootnoteText"/>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5">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6">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7">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8">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9">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10">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11">
    <w:p>
      <w:pPr>
        <w:pStyle w:val="FootnoteText"/>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12">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13">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14">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15">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1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17">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18">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1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2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2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2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2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2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2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2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2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2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2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0">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2">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7">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40">
    <w:p>
      <w:pPr>
        <w:pStyle w:val="FootnoteText"/>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41">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42">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4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44">
    <w:p>
      <w:pPr>
        <w:pStyle w:val="FootnoteText"/>
        <w:suppressLineNumbers/>
        <w:bidi w:val="0"/>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45">
    <w:p>
      <w:pPr>
        <w:pStyle w:val="FootnoteText"/>
        <w:suppressLineNumbers/>
        <w:bidi w:val="0"/>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46">
    <w:p>
      <w:pPr>
        <w:pStyle w:val="FootnoteText"/>
        <w:suppressLineNumbers/>
        <w:bidi w:val="0"/>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47">
    <w:p>
      <w:pPr>
        <w:pStyle w:val="FootnoteText"/>
        <w:suppressLineNumbers/>
        <w:bidi w:val="0"/>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48">
    <w:p>
      <w:pPr>
        <w:pStyle w:val="FootnoteText"/>
        <w:suppressLineNumbers/>
        <w:bidi w:val="0"/>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49">
    <w:p>
      <w:pPr>
        <w:pStyle w:val="FootnoteText"/>
        <w:suppressLineNumbers/>
        <w:bidi w:val="0"/>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50">
    <w:p>
      <w:pPr>
        <w:pStyle w:val="FootnoteText"/>
        <w:bidi w:val="0"/>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51">
    <w:p>
      <w:pPr>
        <w:pStyle w:val="FootnoteText"/>
        <w:suppressLineNumbers/>
        <w:bidi w:val="0"/>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52">
    <w:p>
      <w:pPr>
        <w:pStyle w:val="FootnoteText"/>
        <w:suppressLineNumbers/>
        <w:bidi w:val="0"/>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53">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54">
    <w:p>
      <w:pPr>
        <w:pStyle w:val="FootnoteText"/>
        <w:suppressLineNumbers/>
        <w:bidi w:val="0"/>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55">
    <w:p>
      <w:pPr>
        <w:pStyle w:val="FootnoteText"/>
        <w:suppressLineNumbers/>
        <w:bidi w:val="0"/>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56">
    <w:p>
      <w:pPr>
        <w:pStyle w:val="FootnoteText"/>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57">
    <w:p>
      <w:pPr>
        <w:pStyle w:val="FootnoteText"/>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58">
    <w:p>
      <w:pPr>
        <w:pStyle w:val="FootnoteText"/>
        <w:bidi w:val="0"/>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59">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60">
    <w:p>
      <w:pPr>
        <w:pStyle w:val="FootnoteText"/>
        <w:bidi w:val="0"/>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61">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289.</w:t>
      </w:r>
    </w:p>
  </w:footnote>
  <w:footnote w:id="62">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292.</w:t>
      </w:r>
    </w:p>
  </w:footnote>
  <w:footnote w:id="63">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295.</w:t>
      </w:r>
    </w:p>
  </w:footnote>
  <w:footnote w:id="64">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294.</w:t>
      </w:r>
    </w:p>
  </w:footnote>
  <w:footnote w:id="65">
    <w:p>
      <w:pPr>
        <w:pStyle w:val="FootnoteText"/>
        <w:suppressLineNumbers/>
        <w:bidi w:val="0"/>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66">
    <w:p>
      <w:pPr>
        <w:pStyle w:val="FootnoteText"/>
        <w:bidi w:val="0"/>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67">
    <w:p>
      <w:pPr>
        <w:pStyle w:val="FootnoteText"/>
        <w:bidi w:val="0"/>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68">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69">
    <w:p>
      <w:pPr>
        <w:pStyle w:val="FootnoteText"/>
        <w:bidi w:val="0"/>
        <w:jc w:val="start"/>
        <w:rPr/>
      </w:pPr>
      <w:r>
        <w:rPr>
          <w:rStyle w:val="FootnoteCharacters"/>
        </w:rPr>
        <w:footnoteRef/>
      </w:r>
      <w:r>
        <w:rPr/>
        <w:tab/>
        <w:t>Taussig, “Culture of Terror,” 468.</w:t>
      </w:r>
    </w:p>
  </w:footnote>
  <w:footnote w:id="70">
    <w:p>
      <w:pPr>
        <w:pStyle w:val="FootnoteText"/>
        <w:bidi w:val="0"/>
        <w:jc w:val="start"/>
        <w:rPr/>
      </w:pPr>
      <w:r>
        <w:rPr>
          <w:rStyle w:val="FootnoteCharacters"/>
        </w:rPr>
        <w:footnoteRef/>
      </w:r>
      <w:r>
        <w:rPr/>
        <w:tab/>
        <w:t>Taussig, “Culture of Terror,” 468.</w:t>
      </w:r>
    </w:p>
  </w:footnote>
  <w:footnote w:id="71">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72">
    <w:p>
      <w:pPr>
        <w:pStyle w:val="FootnoteText"/>
        <w:rPr/>
      </w:pPr>
      <w:r>
        <w:rPr>
          <w:rStyle w:val="FootnoteCharacters"/>
        </w:rPr>
        <w:footnoteRef/>
      </w:r>
      <w:r>
        <w:rPr/>
        <w:tab/>
        <w:t>Taussig, “Culture of Terror,” 484.</w:t>
      </w:r>
    </w:p>
  </w:footnote>
  <w:footnote w:id="73">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74">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75">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76">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77">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78">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79">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80">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81">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82">
    <w:p>
      <w:pPr>
        <w:pStyle w:val="FootnoteText"/>
        <w:bidi w:val="0"/>
        <w:jc w:val="start"/>
        <w:rPr>
          <w:shd w:fill="auto" w:val="clear"/>
        </w:rPr>
      </w:pPr>
      <w:r>
        <w:rPr>
          <w:rStyle w:val="FootnoteCharacters"/>
        </w:rPr>
        <w:footnoteRef/>
      </w:r>
      <w:r>
        <w:rPr>
          <w:shd w:fill="auto" w:val="clear"/>
        </w:rPr>
        <w:tab/>
        <w:t>Taussig, “Culture of Terror,” 482.</w:t>
      </w:r>
    </w:p>
  </w:footnote>
  <w:footnote w:id="83">
    <w:p>
      <w:pPr>
        <w:pStyle w:val="FootnoteText"/>
        <w:bidi w:val="0"/>
        <w:jc w:val="start"/>
        <w:rPr>
          <w:shd w:fill="auto" w:val="clear"/>
        </w:rPr>
      </w:pPr>
      <w:r>
        <w:rPr>
          <w:rStyle w:val="FootnoteCharacters"/>
        </w:rPr>
        <w:footnoteRef/>
      </w:r>
      <w:r>
        <w:rPr>
          <w:shd w:fill="auto" w:val="clear"/>
        </w:rPr>
        <w:tab/>
        <w:t>Taussig, “Culture of Terror,” 483-4.</w:t>
      </w:r>
    </w:p>
  </w:footnote>
  <w:footnote w:id="84">
    <w:p>
      <w:pPr>
        <w:pStyle w:val="FootnoteText"/>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85">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86">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8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8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89">
    <w:p>
      <w:pPr>
        <w:pStyle w:val="FootnoteText"/>
        <w:suppressLineNumbers/>
        <w:bidi w:val="0"/>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90">
    <w:p>
      <w:pPr>
        <w:pStyle w:val="FootnoteText"/>
        <w:suppressLineNumbers/>
        <w:bidi w:val="0"/>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91">
    <w:p>
      <w:pPr>
        <w:pStyle w:val="FootnoteText"/>
        <w:suppressLineNumbers/>
        <w:bidi w:val="0"/>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92">
    <w:p>
      <w:pPr>
        <w:pStyle w:val="FootnoteText"/>
        <w:suppressLineNumbers/>
        <w:bidi w:val="0"/>
        <w:ind w:hanging="340" w:start="340"/>
        <w:jc w:val="start"/>
        <w:rPr/>
      </w:pPr>
      <w:r>
        <w:rPr>
          <w:rStyle w:val="FootnoteCharacters"/>
        </w:rPr>
        <w:footnoteRef/>
      </w:r>
      <w:r>
        <w:rPr/>
        <w:tab/>
        <w:t>Echeverri, “The Putumayo Indians and the Rubber Boom,” 17.</w:t>
      </w:r>
    </w:p>
  </w:footnote>
</w:footnotes>
</file>

<file path=word/settings.xml><?xml version="1.0" encoding="utf-8"?>
<w:settings xmlns:w="http://schemas.openxmlformats.org/wordprocessingml/2006/main">
  <w:zoom w:percent="85"/>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350</TotalTime>
  <Application>LibreOffice/24.2.7.2$Linux_X86_64 LibreOffice_project/420$Build-2</Application>
  <AppVersion>15.0000</AppVersion>
  <Pages>25</Pages>
  <Words>12518</Words>
  <Characters>64846</Characters>
  <CharactersWithSpaces>77282</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2026-06-19T13:29:21Z</dcterms:created>
  <dc:creator/>
  <dc:description/>
  <dc:language>en-US</dc:language>
  <cp:lastModifiedBy/>
  <dcterms:modified xsi:type="dcterms:W3CDTF">2026-06-26T15:14:40Z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