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Introduction</w:t>
      </w:r>
    </w:p>
    <w:p>
      <w:pPr>
        <w:pStyle w:val="Normal"/>
        <w:bidi w:val="0"/>
        <w:jc w:val="start"/>
        <w:rPr/>
      </w:pPr>
      <w:r>
        <w:rPr/>
      </w:r>
    </w:p>
    <w:p>
      <w:pPr>
        <w:pStyle w:val="Normal"/>
        <w:bidi w:val="0"/>
        <w:jc w:val="start"/>
        <w:rPr/>
      </w:pPr>
      <w:r>
        <w:rPr/>
        <w:t>This dissertation began its life in 2019 as what I thought was a simple question: why are all of the houses in Michigan so terrible? I was working with a local tenants union and was confronted with the abject condition of the housing stock in a state that was once home to America's second and third largest companies: General Motors and the Ford Motor Company in 1929.</w:t>
      </w:r>
      <w:r>
        <w:rPr>
          <w:rStyle w:val="FootnoteReference"/>
        </w:rPr>
        <w:footnoteReference w:id="2"/>
      </w:r>
      <w:r>
        <w:rPr/>
        <w:t xml:space="preserve"> Why did such success devolve into such poverty? I have not, exactly, suceeded in answering this question, and indeed the next two hundred and some-odd pages spend rather little time on matters of housing, or in the state of Michigan. But beginnings are important, and the process of refining my initial question into my current question demonstrates something important about sociological inquiry. Each of the elements of this question, 'housing' and 'Michigan', has evolved into a larger phenomenon: the domestic lives of workers and the capitalist world-system, respectively. </w:t>
      </w:r>
    </w:p>
    <w:p>
      <w:pPr>
        <w:pStyle w:val="Normal"/>
        <w:bidi w:val="0"/>
        <w:jc w:val="start"/>
        <w:rPr/>
      </w:pPr>
      <w:r>
        <w:rPr/>
      </w:r>
    </w:p>
    <w:p>
      <w:pPr>
        <w:pStyle w:val="Normal"/>
        <w:bidi w:val="0"/>
        <w:jc w:val="start"/>
        <w:rPr/>
      </w:pPr>
      <w:r>
        <w:rPr/>
        <w:t>My investigation into the housing stock of Michigan quickly led, as all investigations in Michigan do, to the automotive industry. Many of the houses I was looking at - old homes, rotting and sinking in their foundations, connected to city water mains via lead pipes - were originally built to house the employees of automotive companies. Oldsmobile and REO Motor Company had once produced cars in Lansing, where I lived at the time; General Motors employed one in four residents of Genesee county in its Flint plant in the 1970s;</w:t>
      </w:r>
      <w:r>
        <w:rPr>
          <w:rStyle w:val="FootnoteReference"/>
        </w:rPr>
        <w:footnoteReference w:id="3"/>
      </w:r>
      <w:r>
        <w:rPr/>
        <w:t xml:space="preserve"> the Ford Motor Company was headquartered in Dearborn, next to Detroit. Each of these cities grew rapidly in the first half of the twentieth century as migrants came from all over the world to work in the auto factories, and the automotive companies developed housing schemes to provide shelter for their new employees. After the 1970s, automation and offshoring decimated the local labor market, and each of these cities has since experienced a housing crises as the old housing stock decays. The most famous images of urban decay come from Michigan: urban blight of Detroit and the 2014 water crisis in Flint.</w:t>
      </w:r>
      <w:r>
        <w:rPr>
          <w:rStyle w:val="FootnoteReference"/>
        </w:rPr>
        <w:footnoteReference w:id="4"/>
      </w:r>
      <w:r>
        <w:rPr/>
        <w:t xml:space="preserve"> Indeed, the abject state of housing in Michigan today can be traced to the very companies that once brought the state great wealth.</w:t>
      </w:r>
    </w:p>
    <w:p>
      <w:pPr>
        <w:pStyle w:val="Normal"/>
        <w:bidi w:val="0"/>
        <w:jc w:val="start"/>
        <w:rPr/>
      </w:pPr>
      <w:r>
        <w:rPr/>
      </w:r>
    </w:p>
    <w:p>
      <w:pPr>
        <w:pStyle w:val="Normal"/>
        <w:bidi w:val="0"/>
        <w:jc w:val="start"/>
        <w:rPr/>
      </w:pPr>
      <w:r>
        <w:rPr/>
        <w:t xml:space="preserve">Employee housing initiatives at automotive companies were part of a larger system of labor management. One of the key innovations associated with Fordism is capital's growing interest in the domestic conditions of its laborers - the conditions of both the reproduction of labor and the extended realization of value by means of working class consumption. Programs such as Ford's Five Dollar Day and General Motors' Modern Housing Corporation were not expressions of altruism, but were capitalists' (rather successful) attempts to extend their influence over every aspect of their workers' lives. </w:t>
      </w:r>
      <w:r>
        <w:rPr>
          <w:shd w:fill="FFFF00" w:val="clear"/>
        </w:rPr>
        <w:t>[kirstin munro on social reproductive labor]</w:t>
      </w:r>
    </w:p>
    <w:p>
      <w:pPr>
        <w:pStyle w:val="Normal"/>
        <w:bidi w:val="0"/>
        <w:jc w:val="start"/>
        <w:rPr/>
      </w:pPr>
      <w:r>
        <w:rPr/>
      </w:r>
    </w:p>
    <w:p>
      <w:pPr>
        <w:pStyle w:val="Normal"/>
        <w:bidi w:val="0"/>
        <w:jc w:val="start"/>
        <w:rPr>
          <w:highlight w:val="none"/>
          <w:shd w:fill="FFFF00" w:val="clear"/>
        </w:rPr>
      </w:pPr>
      <w:r>
        <w:rPr>
          <w:shd w:fill="FFFF00" w:val="clear"/>
        </w:rPr>
        <w:t>[transition from michigan to world system]</w:t>
      </w:r>
    </w:p>
    <w:p>
      <w:pPr>
        <w:pStyle w:val="Normal"/>
        <w:bidi w:val="0"/>
        <w:jc w:val="start"/>
        <w:rPr/>
      </w:pPr>
      <w:r>
        <w:rPr/>
      </w:r>
    </w:p>
    <w:p>
      <w:pPr>
        <w:pStyle w:val="Normal"/>
        <w:bidi w:val="0"/>
        <w:jc w:val="start"/>
        <w:rPr/>
      </w:pPr>
      <w:r>
        <w:rPr/>
      </w:r>
    </w:p>
    <w:p>
      <w:pPr>
        <w:pStyle w:val="Normal"/>
        <w:bidi w:val="0"/>
        <w:jc w:val="start"/>
        <w:rPr/>
      </w:pPr>
      <w:r>
        <w:rPr/>
        <w:t xml:space="preserve">One of Marx's important contributions was to denaturalize wage-labor - to demonstrate that it's generalization is not a state of nature, but a historical artifact of the modern period. Vulgar marxists have taken this too far, insisting that it is the only artifact of modernity, and any other form of labor is pre-modern or pre-capitalist. There has been a reaction against this - scholars saying that not only is wage-labor not the defining attribute of modernity, it is irrelevant to capitalism (which is, after all, based on a great expansion in unfree labor). My interest is not in litigating which of waged or unwaged labor is more 'capitalist'. The central thing is not whether you sell some x amount of time working for some y amount of currency. The central thing is the universal abstraction of exchange, and the extent to which a system of generalized exchange which holds all things to be somehow commensurable shapes the ways in which we can live. </w:t>
      </w:r>
      <w:r>
        <w:rPr>
          <w:i/>
          <w:iCs/>
        </w:rPr>
        <w:t>The way that labor becomes subordinated to exchange.</w:t>
      </w:r>
    </w:p>
    <w:p>
      <w:pPr>
        <w:pStyle w:val="Normal"/>
        <w:bidi w:val="0"/>
        <w:jc w:val="start"/>
        <w:rPr>
          <w:i/>
          <w:i/>
          <w:iCs/>
        </w:rPr>
      </w:pPr>
      <w:r>
        <w:rPr>
          <w:i/>
          <w:iCs/>
        </w:rPr>
      </w:r>
    </w:p>
    <w:p>
      <w:pPr>
        <w:pStyle w:val="Normal"/>
        <w:bidi w:val="0"/>
        <w:jc w:val="start"/>
        <w:rPr>
          <w:i w:val="false"/>
          <w:i w:val="false"/>
          <w:iCs w:val="false"/>
        </w:rPr>
      </w:pPr>
      <w:r>
        <w:rPr>
          <w:i w:val="false"/>
          <w:iCs w:val="false"/>
        </w:rPr>
        <w:t>"The purpose of a system is what it does." - Stafford Beer</w:t>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t>My interventions</w:t>
      </w:r>
    </w:p>
    <w:p>
      <w:pPr>
        <w:pStyle w:val="Normal"/>
        <w:numPr>
          <w:ilvl w:val="0"/>
          <w:numId w:val="1"/>
        </w:numPr>
        <w:bidi w:val="0"/>
        <w:jc w:val="start"/>
        <w:rPr/>
      </w:pPr>
      <w:r>
        <w:rPr/>
        <w:t xml:space="preserve">Rubber production in the Global South was </w:t>
      </w:r>
      <w:r>
        <w:rPr>
          <w:i/>
          <w:iCs/>
        </w:rPr>
        <w:t>internal</w:t>
      </w:r>
      <w:r>
        <w:rPr>
          <w:i w:val="false"/>
          <w:iCs w:val="false"/>
        </w:rPr>
        <w:t xml:space="preserve"> to the automotive industry, and a concept of Fordism must account for the productive and reproductive relations present there.</w:t>
      </w:r>
    </w:p>
    <w:p>
      <w:pPr>
        <w:pStyle w:val="Normal"/>
        <w:numPr>
          <w:ilvl w:val="0"/>
          <w:numId w:val="1"/>
        </w:numPr>
        <w:bidi w:val="0"/>
        <w:jc w:val="start"/>
        <w:rPr/>
      </w:pPr>
      <w:r>
        <w:rPr>
          <w:i w:val="false"/>
          <w:iCs w:val="false"/>
        </w:rPr>
        <w:t xml:space="preserve">Analysis of the rubber fields has questioned whether capitalism was present by means of identifying the wage relation. To take a different tack: In what sense was the rubber industry brought under the influence of the exchange abstraction? In what way was it exchange society? </w:t>
      </w:r>
    </w:p>
    <w:p>
      <w:pPr>
        <w:pStyle w:val="Normal"/>
        <w:bidi w:val="0"/>
        <w:jc w:val="start"/>
        <w:rPr>
          <w:i w:val="false"/>
          <w:i w:val="false"/>
          <w:iCs w:val="false"/>
        </w:rPr>
      </w:pPr>
      <w:r>
        <w:rPr>
          <w:i w:val="false"/>
          <w:iCs w:val="false"/>
        </w:rPr>
      </w:r>
    </w:p>
    <w:p>
      <w:pPr>
        <w:pStyle w:val="Normal"/>
        <w:bidi w:val="0"/>
        <w:jc w:val="start"/>
        <w:rPr/>
      </w:pPr>
      <w:r>
        <w:rPr>
          <w:i w:val="false"/>
          <w:iCs w:val="false"/>
        </w:rPr>
        <w:t>This dissertation's thesis in three parts:</w:t>
      </w:r>
    </w:p>
    <w:p>
      <w:pPr>
        <w:pStyle w:val="Normal"/>
        <w:numPr>
          <w:ilvl w:val="0"/>
          <w:numId w:val="2"/>
        </w:numPr>
        <w:bidi w:val="0"/>
        <w:jc w:val="start"/>
        <w:rPr/>
      </w:pPr>
      <w:r>
        <w:rPr>
          <w:i w:val="false"/>
          <w:iCs w:val="false"/>
        </w:rPr>
        <w:t>The dynamics that have been analysed under the heading of Fordism were not local to the Midwest, nor limited to the productive and reproductive characteristics in the US and Europe. Rather they were, from the very start, global dynamics.</w:t>
      </w:r>
    </w:p>
    <w:p>
      <w:pPr>
        <w:pStyle w:val="Normal"/>
        <w:numPr>
          <w:ilvl w:val="0"/>
          <w:numId w:val="2"/>
        </w:numPr>
        <w:bidi w:val="0"/>
        <w:jc w:val="start"/>
        <w:rPr/>
      </w:pPr>
      <w:r>
        <w:rPr>
          <w:i w:val="false"/>
          <w:iCs w:val="false"/>
        </w:rPr>
        <w:t>At the heart of their operation is the creation and maintenance of a stratified labor force, manipulated by differentiated but interlocking relations of reproduction. This most important site is the household, but firms and the state played a crucial role here.</w:t>
      </w:r>
    </w:p>
    <w:p>
      <w:pPr>
        <w:pStyle w:val="Normal"/>
        <w:numPr>
          <w:ilvl w:val="0"/>
          <w:numId w:val="2"/>
        </w:numPr>
        <w:bidi w:val="0"/>
        <w:jc w:val="start"/>
        <w:rPr/>
      </w:pPr>
      <w:r>
        <w:rPr>
          <w:i w:val="false"/>
          <w:iCs w:val="false"/>
        </w:rPr>
        <w:t>The dominant effect of Fordist development is not the creation of a large class of well paid proletarians, but a great mass of what may be termed 'proletarian detritus' - footloose migrants, maimed and injured former-workers, and the dead, all used up by and cast out of production.</w:t>
      </w:r>
    </w:p>
    <w:p>
      <w:pPr>
        <w:pStyle w:val="Normal"/>
        <w:bidi w:val="0"/>
        <w:jc w:val="start"/>
        <w:rPr>
          <w:i w:val="false"/>
          <w:i w:val="false"/>
          <w:iCs w:val="false"/>
        </w:rPr>
      </w:pPr>
      <w:r>
        <w:rPr>
          <w:i w:val="false"/>
          <w:iCs w:val="false"/>
        </w:rPr>
      </w:r>
    </w:p>
    <w:p>
      <w:pPr>
        <w:pStyle w:val="Normal"/>
        <w:bidi w:val="0"/>
        <w:jc w:val="start"/>
        <w:rPr/>
      </w:pPr>
      <w:r>
        <w:rPr>
          <w:i w:val="false"/>
          <w:iCs w:val="false"/>
        </w:rPr>
        <w:t>Method of each chapter</w:t>
      </w:r>
    </w:p>
    <w:p>
      <w:pPr>
        <w:pStyle w:val="Normal"/>
        <w:bidi w:val="0"/>
        <w:jc w:val="start"/>
        <w:rPr/>
      </w:pPr>
      <w:r>
        <w:rPr>
          <w:i w:val="false"/>
          <w:iCs w:val="false"/>
        </w:rPr>
        <w:t>Establish elements in the case that disrupt the traditional teleology that persists in the historiography: racialized mediating classes; manipulation of family relationships; transformation of personal domination; use of debt (personal to a specific overseer rather than impersonal debt held by a bank...)</w:t>
      </w:r>
    </w:p>
    <w:p>
      <w:pPr>
        <w:pStyle w:val="Normal"/>
        <w:bidi w:val="0"/>
        <w:jc w:val="start"/>
        <w:rPr>
          <w:i w:val="false"/>
          <w:i w:val="false"/>
          <w:iCs w:val="false"/>
        </w:rPr>
      </w:pPr>
      <w:r>
        <w:rPr>
          <w:i w:val="false"/>
          <w:iCs w:val="false"/>
        </w:rPr>
      </w:r>
    </w:p>
    <w:p>
      <w:pPr>
        <w:pStyle w:val="Normal"/>
        <w:bidi w:val="0"/>
        <w:jc w:val="start"/>
        <w:rPr/>
      </w:pPr>
      <w:r>
        <w:rPr>
          <w:i w:val="false"/>
          <w:iCs w:val="false"/>
        </w:rPr>
        <w:t>Some similarities to highlight:</w:t>
      </w:r>
    </w:p>
    <w:p>
      <w:pPr>
        <w:pStyle w:val="Normal"/>
        <w:bidi w:val="0"/>
        <w:jc w:val="start"/>
        <w:rPr/>
      </w:pPr>
      <w:r>
        <w:rPr>
          <w:i w:val="false"/>
          <w:iCs w:val="false"/>
        </w:rPr>
        <w:t>Solutions to high turnover and recruiting costs: five dollar day, gastos de conquistacion, policies of gendered recruitment in Malaya. Economy has to be expansive enough to support a settled population of workers (settled is important - in a sense the workers turning over in the ford factories weren't 'settled' enough for Ford). how does the Putumayo challenge this?</w:t>
      </w:r>
    </w:p>
    <w:p>
      <w:pPr>
        <w:pStyle w:val="Normal"/>
        <w:bidi w:val="0"/>
        <w:jc w:val="start"/>
        <w:rPr>
          <w:i w:val="false"/>
          <w:i w:val="false"/>
          <w:iCs w:val="false"/>
        </w:rPr>
      </w:pPr>
      <w:r>
        <w:rPr/>
      </w:r>
    </w:p>
    <w:p>
      <w:pPr>
        <w:pStyle w:val="Normal"/>
        <w:bidi w:val="0"/>
        <w:jc w:val="start"/>
        <w:rPr/>
      </w:pPr>
      <w:r>
        <w:rPr>
          <w:i w:val="false"/>
          <w:iCs w:val="false"/>
        </w:rPr>
        <w:t xml:space="preserve">Tentacles of Progress </w:t>
      </w:r>
    </w:p>
    <w:p>
      <w:pPr>
        <w:pStyle w:val="Normal"/>
        <w:numPr>
          <w:ilvl w:val="0"/>
          <w:numId w:val="3"/>
        </w:numPr>
        <w:bidi w:val="0"/>
        <w:jc w:val="start"/>
        <w:rPr/>
      </w:pPr>
      <w:r>
        <w:rPr>
          <w:i w:val="false"/>
          <w:iCs w:val="false"/>
        </w:rPr>
        <w:t>(4): "Despite a century of European rule, India had not become industrialized as Marx had expected, nor had any other non-Western country except Japan. Yet they were not untouched by the upheavals of that century. Theirs was no simple delay in some inevitable process of industrialization, but another, less welcome evolution: the transformation of traditional economies into modern underdeveloped ones."</w:t>
      </w:r>
    </w:p>
    <w:p>
      <w:pPr>
        <w:pStyle w:val="Normal"/>
        <w:numPr>
          <w:ilvl w:val="0"/>
          <w:numId w:val="3"/>
        </w:numPr>
        <w:bidi w:val="0"/>
        <w:jc w:val="start"/>
        <w:rPr/>
      </w:pPr>
      <w:r>
        <w:rPr>
          <w:i w:val="false"/>
          <w:iCs w:val="false"/>
        </w:rPr>
        <w:t>Also page 7 on the development of desire for western products</w:t>
      </w:r>
    </w:p>
    <w:sectPr>
      <w:footnotePr>
        <w:numFmt w:val="decimal"/>
      </w:footnote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pPr>
      <w:r>
        <w:rPr>
          <w:rStyle w:val="FootnoteCharacters"/>
        </w:rPr>
        <w:footnoteRef/>
      </w:r>
      <w:r>
        <w:rPr/>
        <w:tab/>
        <w:t xml:space="preserve"> </w:t>
      </w:r>
      <w:r>
        <w:rPr/>
        <w:t>Forbes Magazine, 9/15/1967</w:t>
      </w:r>
    </w:p>
  </w:footnote>
  <w:footnote w:id="3">
    <w:p>
      <w:pPr>
        <w:pStyle w:val="FootnoteText"/>
        <w:rPr/>
      </w:pPr>
      <w:r>
        <w:rPr>
          <w:rStyle w:val="FootnoteCharacters"/>
        </w:rPr>
        <w:footnoteRef/>
      </w:r>
      <w:r>
        <w:rPr/>
        <w:tab/>
        <w:t xml:space="preserve"> </w:t>
      </w:r>
      <w:r>
        <w:rPr/>
        <w:t>find citation</w:t>
      </w:r>
    </w:p>
  </w:footnote>
  <w:footnote w:id="4">
    <w:p>
      <w:pPr>
        <w:pStyle w:val="FootnoteText"/>
        <w:rPr/>
      </w:pPr>
      <w:r>
        <w:rPr>
          <w:rStyle w:val="FootnoteCharacters"/>
        </w:rPr>
        <w:footnoteRef/>
      </w:r>
      <w:r>
        <w:rPr/>
        <w:tab/>
        <w:t xml:space="preserve"> </w:t>
      </w:r>
      <w:r>
        <w:rPr/>
        <w:t>find citation</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8"/>
  <w:defaultTabStop w:val="709"/>
  <w:autoHyphenation w:val="true"/>
  <w:footnotePr>
    <w:numFmt w:val="decimal"/>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pPr>
      <w:suppressLineNumbers/>
      <w:ind w:hanging="340" w:star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848</TotalTime>
  <Application>LibreOffice/24.2.7.2$Linux_X86_64 LibreOffice_project/420$Build-2</Application>
  <AppVersion>15.0000</AppVersion>
  <Pages>1</Pages>
  <Words>163</Words>
  <Characters>797</Characters>
  <CharactersWithSpaces>959</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2026-04-30T15:14:51Z</dcterms:created>
  <dc:creator/>
  <dc:description/>
  <dc:language>en-US</dc:language>
  <cp:lastModifiedBy/>
  <dcterms:modified xsi:type="dcterms:W3CDTF">2026-07-25T16:44:49Z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