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comments.xml" ContentType="application/vnd.openxmlformats-officedocument.wordprocessingml.comments+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Override PartName="/word/fontTable.xml" ContentType="application/vnd.openxmlformats-officedocument.wordprocessingml.fontTable+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480"/>
        <w:jc w:val="center"/>
        <w:rPr/>
      </w:pPr>
      <w:r>
        <w:rPr>
          <w:b/>
          <w:bCs/>
        </w:rPr>
        <w:t>Introduction: Proletarian Detritus</w:t>
      </w:r>
    </w:p>
    <w:p>
      <w:pPr>
        <w:pStyle w:val="Normal"/>
        <w:bidi w:val="0"/>
        <w:spacing w:lineRule="auto" w:line="480"/>
        <w:jc w:val="start"/>
        <w:rPr>
          <w:b/>
          <w:bCs/>
        </w:rPr>
      </w:pPr>
      <w:r>
        <w:rPr>
          <w:b/>
          <w:bCs/>
        </w:rPr>
        <w:t>A Nascent Question</w:t>
      </w:r>
    </w:p>
    <w:p>
      <w:pPr>
        <w:pStyle w:val="Normal"/>
        <w:bidi w:val="0"/>
        <w:spacing w:lineRule="auto" w:line="480"/>
        <w:jc w:val="start"/>
        <w:rPr/>
      </w:pPr>
      <w:r>
        <w:rPr/>
        <w:tab/>
      </w:r>
      <w:r>
        <w:rPr/>
        <w:t>This dissertation began its life in 2019 as what I thought was a simple question: why are all of the houses in Michigan so terrible? I was working with a local tenants union and was confronted with the abject condition of the housing stock in a state that was once home to America's second and third largest companies: General Motors and the Ford Motor Company in 1929.</w:t>
      </w:r>
      <w:r>
        <w:rPr>
          <w:rStyle w:val="FootnoteReference"/>
        </w:rPr>
        <w:footnoteReference w:id="2"/>
      </w:r>
      <w:r>
        <w:rPr/>
        <w:t xml:space="preserve"> </w:t>
      </w:r>
      <w:r>
        <w:rPr/>
        <w:t xml:space="preserve">The homes I saw around me were once state of the art construction built for workers in the world's most advanced corporations. </w:t>
      </w:r>
      <w:r>
        <w:rPr/>
        <w:t>Why did such success devolve into such poverty? I have not, exactly, suceeded in answering this question, and indeed the next two hundred and some-odd pages spend rather little time on matters of housing, or in the auto factories of Michigan. But beginnings are important, and the process of refining my initial question into my current question demonstrates something important about sociological inquiry. Each of the elements of this question, 'housing' and '</w:t>
      </w:r>
      <w:r>
        <w:rPr/>
        <w:t xml:space="preserve">the </w:t>
      </w:r>
      <w:r>
        <w:rPr/>
        <w:t>Michigan</w:t>
      </w:r>
      <w:r>
        <w:rPr/>
        <w:t xml:space="preserve"> auto industry</w:t>
      </w:r>
      <w:r>
        <w:rPr/>
        <w:t>', has evolved into a larger phenomenon</w:t>
      </w:r>
      <w:r>
        <w:rPr/>
        <w:t xml:space="preserve">. </w:t>
      </w:r>
    </w:p>
    <w:p>
      <w:pPr>
        <w:pStyle w:val="Normal"/>
        <w:bidi w:val="0"/>
        <w:spacing w:lineRule="auto" w:line="480"/>
        <w:jc w:val="start"/>
        <w:rPr/>
      </w:pPr>
      <w:r>
        <w:rPr/>
        <w:tab/>
        <w:t xml:space="preserve">In this dissertation, instead of housing, I look at the domestic lives of workers, and my conception of the auto industry has expanded to include one of its most important inputs: rubber, without which the automotive industry would have been impossible. </w:t>
      </w:r>
      <w:r>
        <w:rPr>
          <w:shd w:fill="FFFF00" w:val="clear"/>
        </w:rPr>
        <w:t>[finish this]</w:t>
      </w:r>
    </w:p>
    <w:p>
      <w:pPr>
        <w:pStyle w:val="Normal"/>
        <w:bidi w:val="0"/>
        <w:spacing w:lineRule="auto" w:line="480"/>
        <w:jc w:val="start"/>
        <w:rPr/>
      </w:pPr>
      <w:r>
        <w:rPr/>
        <w:tab/>
        <w:t>My investigation into the housing stock of Michigan quickly led, as all investigations in Michigan do, to the automotive industry. Many of the houses I was looking at - old homes, rotting and sinking in their foundations, connected to city water mains via lead pipes - were originally built to house the employees of automotive companies. Oldsmobile and REO Motor Company had once produced cars in Lansing, where I lived at the time; General Motors employed one in four residents of Genesee county in its Flint plant in the 1970s;</w:t>
      </w:r>
      <w:r>
        <w:rPr>
          <w:rStyle w:val="FootnoteReference"/>
        </w:rPr>
        <w:footnoteReference w:id="3"/>
      </w:r>
      <w:r>
        <w:rPr/>
        <w:t xml:space="preserve"> the Ford Motor Company was headquartered in Dearborn, next to Detroit. Each of these cities grew rapidly in the first half of the twentieth century as migrants came from all over the world to work in the auto factories, and the automotive companies developed housing schemes to provide shelter for their new employees. After the 1970s, automation and offshoring decimated the local labor market, and each of these cities has since experienced a housing crises as the old housing stock decays. The most famous images of urban decay come from Michigan: urban blight in Detroit and the 2014 water crisis in Flint.</w:t>
      </w:r>
      <w:r>
        <w:rPr>
          <w:rStyle w:val="FootnoteReference"/>
        </w:rPr>
        <w:footnoteReference w:id="4"/>
      </w:r>
      <w:r>
        <w:rPr/>
        <w:t xml:space="preserve"> Indeed, the abject state of housing in Michigan today can be traced to the very companies that once brought the state great wealth.</w:t>
      </w:r>
    </w:p>
    <w:p>
      <w:pPr>
        <w:pStyle w:val="Normal"/>
        <w:bidi w:val="0"/>
        <w:spacing w:lineRule="auto" w:line="480"/>
        <w:jc w:val="start"/>
        <w:rPr/>
      </w:pPr>
      <w:r>
        <w:rPr/>
        <w:tab/>
        <w:t>Employee housing initiatives at automotive companies were part of a larger system of labor management. One of the key innovations associated with Fordism is capital's growing interest in the domestic conditions of its laborers - the conditions of both the reproduction of labor and the extended realization of value by means of working class consumption. Programs such as Ford's Five Dollar Day and General Motors' Modern Housing Corporation were not expressions of altruism, but were capitalists' (rather successful) attempts to extend their influence over every aspect of their workers' lives. Workers were included or excluded in these programs based not only on their performance at work, but also on their race, the structure of their households, and their adherence to arbitrary moral codes set by their employers.</w:t>
      </w:r>
    </w:p>
    <w:p>
      <w:pPr>
        <w:pStyle w:val="Normal"/>
        <w:bidi w:val="0"/>
        <w:spacing w:lineRule="auto" w:line="480"/>
        <w:jc w:val="start"/>
        <w:rPr/>
      </w:pPr>
      <w:r>
        <w:rPr/>
        <w:tab/>
      </w:r>
      <w:r>
        <w:rPr/>
        <w:t xml:space="preserve">In other words, these programs were concerned with the social reproduction of the conditions of capitalist society. </w:t>
      </w:r>
      <w:r>
        <w:rPr/>
        <w:t xml:space="preserve">Social reproduction in capitalist society refers to the ways in which capital establishes and maintains its conditions of possibility. Labor is not a one-time input, but once expended must renew itself and re-enter into production on both a daily and a generational basis. In order to produce the wealth of commodities that circulate in society, workers must be not only present but healthy and educated according to their particular task in production. </w:t>
      </w:r>
      <w:commentRangeStart w:id="0"/>
      <w:r>
        <w:rPr/>
        <w:t xml:space="preserve">Housing plays a central role in this reproduction of labor power: it is the place in which a worker rests and recovers for the next days work; it is the site at which children are raised and inducted into the norms and expectations of a society dominated by capitalist production. </w:t>
      </w:r>
      <w:r>
        <w:rPr>
          <w:shd w:fill="FFFF00" w:val="clear"/>
        </w:rPr>
        <w:t>[cite kirstin munro on social reproductive labor]</w:t>
      </w:r>
    </w:p>
    <w:p>
      <w:pPr>
        <w:pStyle w:val="Normal"/>
        <w:bidi w:val="0"/>
        <w:spacing w:lineRule="auto" w:line="480"/>
        <w:jc w:val="start"/>
        <w:rPr/>
      </w:pPr>
      <w:r>
        <w:rPr/>
        <w:tab/>
        <w:t xml:space="preserve">A second major requirement in the reproduction of capitalism is someplace for the commodities produced by the workers to go. The house contributes to this as well. </w:t>
      </w:r>
      <w:commentRangeEnd w:id="0"/>
      <w:r>
        <w:commentReference w:id="0"/>
      </w:r>
      <w:r>
        <w:rPr/>
      </w:r>
    </w:p>
    <w:p>
      <w:pPr>
        <w:pStyle w:val="Normal"/>
        <w:bidi w:val="0"/>
        <w:spacing w:lineRule="auto" w:line="480"/>
        <w:jc w:val="start"/>
        <w:rPr/>
      </w:pPr>
      <w:r>
        <w:rPr/>
      </w:r>
    </w:p>
    <w:p>
      <w:pPr>
        <w:pStyle w:val="Normal"/>
        <w:bidi w:val="0"/>
        <w:spacing w:lineRule="auto" w:line="480"/>
        <w:jc w:val="start"/>
        <w:rPr/>
      </w:pPr>
      <w:r>
        <w:rPr>
          <w:shd w:fill="FFFF00" w:val="clear"/>
        </w:rPr>
        <w:t>[transition from michigan to world system; commodity chain]</w:t>
      </w:r>
    </w:p>
    <w:p>
      <w:pPr>
        <w:pStyle w:val="Normal"/>
        <w:bidi w:val="0"/>
        <w:spacing w:lineRule="auto" w:line="480"/>
        <w:jc w:val="start"/>
        <w:rPr>
          <w:b/>
          <w:bCs/>
        </w:rPr>
      </w:pPr>
      <w:r>
        <w:rPr/>
      </w:r>
    </w:p>
    <w:p>
      <w:pPr>
        <w:pStyle w:val="Normal"/>
        <w:bidi w:val="0"/>
        <w:spacing w:lineRule="auto" w:line="480"/>
        <w:jc w:val="start"/>
        <w:rPr>
          <w:b/>
          <w:bCs/>
        </w:rPr>
      </w:pPr>
      <w:r>
        <w:rPr>
          <w:b/>
          <w:bCs/>
          <w:i w:val="false"/>
          <w:iCs w:val="false"/>
        </w:rPr>
        <w:t>My interventions</w:t>
      </w:r>
    </w:p>
    <w:p>
      <w:pPr>
        <w:pStyle w:val="Normal"/>
        <w:numPr>
          <w:ilvl w:val="0"/>
          <w:numId w:val="1"/>
        </w:numPr>
        <w:bidi w:val="0"/>
        <w:spacing w:lineRule="auto" w:line="480"/>
        <w:jc w:val="start"/>
        <w:rPr/>
      </w:pPr>
      <w:r>
        <w:rPr/>
        <w:t xml:space="preserve">Rubber production in the Global South was </w:t>
      </w:r>
      <w:r>
        <w:rPr>
          <w:i/>
          <w:iCs/>
        </w:rPr>
        <w:t>internal</w:t>
      </w:r>
      <w:r>
        <w:rPr>
          <w:i w:val="false"/>
          <w:iCs w:val="false"/>
        </w:rPr>
        <w:t xml:space="preserve"> to the automotive industry, and a concept of Fordism must account for the productive and reproductive relations present there.</w:t>
      </w:r>
    </w:p>
    <w:p>
      <w:pPr>
        <w:pStyle w:val="Normal"/>
        <w:numPr>
          <w:ilvl w:val="0"/>
          <w:numId w:val="1"/>
        </w:numPr>
        <w:bidi w:val="0"/>
        <w:spacing w:lineRule="auto" w:line="480"/>
        <w:jc w:val="start"/>
        <w:rPr/>
      </w:pPr>
      <w:r>
        <w:rPr>
          <w:i w:val="false"/>
          <w:iCs w:val="false"/>
        </w:rPr>
        <w:t xml:space="preserve">Analysis of the rubber fields has questioned whether capitalism was present by means of identifying the wage relation. To take a different tack: In what sense was the rubber industry brought under the influence of the exchange abstraction? In what way was it exchange society? </w:t>
      </w:r>
    </w:p>
    <w:p>
      <w:pPr>
        <w:pStyle w:val="Normal"/>
        <w:bidi w:val="0"/>
        <w:spacing w:lineRule="auto" w:line="480"/>
        <w:jc w:val="start"/>
        <w:rPr>
          <w:i w:val="false"/>
          <w:i w:val="false"/>
          <w:iCs w:val="false"/>
        </w:rPr>
      </w:pPr>
      <w:r>
        <w:rPr>
          <w:i w:val="false"/>
          <w:iCs w:val="false"/>
        </w:rPr>
      </w:r>
    </w:p>
    <w:p>
      <w:pPr>
        <w:pStyle w:val="Normal"/>
        <w:bidi w:val="0"/>
        <w:spacing w:lineRule="auto" w:line="480"/>
        <w:jc w:val="start"/>
        <w:rPr/>
      </w:pPr>
      <w:r>
        <w:rPr>
          <w:i w:val="false"/>
          <w:iCs w:val="false"/>
        </w:rPr>
        <w:t>This dissertation's thesis in three parts:</w:t>
      </w:r>
    </w:p>
    <w:p>
      <w:pPr>
        <w:pStyle w:val="Normal"/>
        <w:numPr>
          <w:ilvl w:val="0"/>
          <w:numId w:val="2"/>
        </w:numPr>
        <w:bidi w:val="0"/>
        <w:spacing w:lineRule="auto" w:line="480"/>
        <w:jc w:val="start"/>
        <w:rPr/>
      </w:pPr>
      <w:r>
        <w:rPr>
          <w:i w:val="false"/>
          <w:iCs w:val="false"/>
        </w:rPr>
        <w:t>The dynamics that have been analysed under the heading of Fordism were not local to the Midwest, nor limited to the productive and reproductive characteristics in the US and Europe. Rather they were, from the very start, global dynamics.</w:t>
      </w:r>
    </w:p>
    <w:p>
      <w:pPr>
        <w:pStyle w:val="Normal"/>
        <w:numPr>
          <w:ilvl w:val="0"/>
          <w:numId w:val="2"/>
        </w:numPr>
        <w:bidi w:val="0"/>
        <w:spacing w:lineRule="auto" w:line="480"/>
        <w:jc w:val="start"/>
        <w:rPr/>
      </w:pPr>
      <w:r>
        <w:rPr>
          <w:i w:val="false"/>
          <w:iCs w:val="false"/>
        </w:rPr>
        <w:t>At the heart of their operation is the creation and maintenance of a stratified labor force, manipulated by differentiated but interlocking relations of reproduction. This most important site is the household, but firms and the state played a crucial role here.</w:t>
      </w:r>
    </w:p>
    <w:p>
      <w:pPr>
        <w:pStyle w:val="Normal"/>
        <w:numPr>
          <w:ilvl w:val="0"/>
          <w:numId w:val="2"/>
        </w:numPr>
        <w:bidi w:val="0"/>
        <w:spacing w:lineRule="auto" w:line="480"/>
        <w:jc w:val="start"/>
        <w:rPr/>
      </w:pPr>
      <w:r>
        <w:rPr>
          <w:i w:val="false"/>
          <w:iCs w:val="false"/>
        </w:rPr>
        <w:t>The dominant effect of Fordist development is not the creation of a large class of well paid proletarians, but a great mass of what may be termed 'proletarian detritus' - footloose migrants, maimed and injured former-workers, and the dead, all used up by and cast out of production.</w:t>
      </w:r>
    </w:p>
    <w:p>
      <w:pPr>
        <w:pStyle w:val="Normal"/>
        <w:bidi w:val="0"/>
        <w:spacing w:lineRule="auto" w:line="480"/>
        <w:jc w:val="start"/>
        <w:rPr>
          <w:i w:val="false"/>
          <w:i w:val="false"/>
          <w:iCs w:val="false"/>
        </w:rPr>
      </w:pPr>
      <w:r>
        <w:rPr>
          <w:i w:val="false"/>
          <w:iCs w:val="false"/>
        </w:rPr>
      </w:r>
    </w:p>
    <w:p>
      <w:pPr>
        <w:pStyle w:val="Normal"/>
        <w:bidi w:val="0"/>
        <w:spacing w:lineRule="auto" w:line="480"/>
        <w:jc w:val="start"/>
        <w:rPr/>
      </w:pPr>
      <w:r>
        <w:rPr>
          <w:b/>
          <w:bCs/>
        </w:rPr>
        <w:t>The Method</w:t>
      </w:r>
    </w:p>
    <w:p>
      <w:pPr>
        <w:pStyle w:val="Normal"/>
        <w:bidi w:val="0"/>
        <w:spacing w:lineRule="auto" w:line="480"/>
        <w:jc w:val="start"/>
        <w:rPr/>
      </w:pPr>
      <w:r>
        <w:rPr/>
        <w:tab/>
      </w:r>
      <w:r>
        <w:rPr/>
        <w:t xml:space="preserve">My methodological approach </w:t>
      </w:r>
      <w:r>
        <w:rPr/>
        <w:t xml:space="preserve">draws on </w:t>
      </w:r>
      <w:r>
        <w:rPr/>
        <w:t>several traditions, but is basically animated by Moishe Postone's approach to critical social theory (</w:t>
      </w:r>
      <w:commentRangeStart w:id="1"/>
      <w:r>
        <w:rPr/>
        <w:t>1993</w:t>
      </w:r>
      <w:r>
        <w:rPr/>
      </w:r>
      <w:commentRangeEnd w:id="1"/>
      <w:r>
        <w:commentReference w:id="1"/>
      </w:r>
      <w:r>
        <w:rPr/>
        <w:t>). In his reinterpretation of Marx's critical theory, he attempts to historicize the central category of capitalism: labor. Rather than treating labor as a transhistorical category that is acted upon and mistreated by capitalists, he critiques labor as constitutive of capitalism itself. In this project, I aim to undertake a parallel analysis of the household: I do not treat the household as some domestic sphere separate from capitalism that is acted upon by capitalists or the state, but as itself a constitutive category of the global capitalist system. With the spread of capitalism, familes were of course destroyed and traditional bonds dissolved, but they were then recomposed according to capitalist logic. What are the specifically capitalist forms of households? What are the role of the state and the firm in developing and maintaining them? I hope to investigate why capital has such an intense interest in cultivating diverse types of households, and what purpose they serve in propping up global structures of exploitation and accumulation. I believe that the early automotive industry provides an ideal case to examine these dynamics.</w:t>
      </w:r>
    </w:p>
    <w:p>
      <w:pPr>
        <w:pStyle w:val="Normal"/>
        <w:bidi w:val="0"/>
        <w:spacing w:lineRule="auto" w:line="480"/>
        <w:jc w:val="start"/>
        <w:rPr/>
      </w:pPr>
      <w:r>
        <w:rPr/>
        <w:tab/>
      </w:r>
      <w:r>
        <w:rPr/>
        <w:t>In this project, I primarily draw on the literature of historical sociologists and marxists feminists to historicize the category of the household. I am especially influenced by the work of world-systems analysts who study the household as the unit of the reproduction of labor, and the various forms it takes in different parts of the world. At the core of this project, I have identified two related problems to investigate, and I will attempt to demonstrate here how I will investigate them empirically. The problems are: 1) automotive production in the core caused immediate changes in patterns of production in the Global South that do not conform to core-centric conceptions of Fordist production; and 2) the patterns of household reproduction in the periphery do not conform to conceptions of household-based labor renewal that are organized around a nuclear family. In selecting these issues, I assert that the cases of rubber producers in the Amazon and Colonial Malaya demonstrate the futility of isolating local phenomena from their global context, and more specifically that the household dynamics of labor reproduction are in fact global dynamics. I want to show, not merely that the nuclear family which reproduces formally free proletarian labor is but one among many possible household organizations, but that it is in fact dependent on the existence of other forms of family organization which reproduce unfree conditions of labor.</w:t>
      </w:r>
    </w:p>
    <w:p>
      <w:pPr>
        <w:pStyle w:val="Normal"/>
        <w:bidi w:val="0"/>
        <w:spacing w:lineRule="auto" w:line="480"/>
        <w:jc w:val="start"/>
        <w:rPr/>
      </w:pPr>
      <w:r>
        <w:rPr/>
      </w:r>
    </w:p>
    <w:p>
      <w:pPr>
        <w:pStyle w:val="Normal"/>
        <w:bidi w:val="0"/>
        <w:spacing w:lineRule="auto" w:line="480"/>
        <w:jc w:val="start"/>
        <w:rPr/>
      </w:pPr>
      <w:r>
        <w:rPr/>
      </w:r>
    </w:p>
    <w:p>
      <w:pPr>
        <w:pStyle w:val="Normal"/>
        <w:numPr>
          <w:ilvl w:val="0"/>
          <w:numId w:val="4"/>
        </w:numPr>
        <w:bidi w:val="0"/>
        <w:spacing w:lineRule="auto" w:line="480"/>
        <w:jc w:val="start"/>
        <w:rPr/>
      </w:pPr>
      <w:r>
        <w:rPr/>
        <w:t>Adorno and Postone on critical inquiry</w:t>
      </w:r>
    </w:p>
    <w:p>
      <w:pPr>
        <w:pStyle w:val="Normal"/>
        <w:numPr>
          <w:ilvl w:val="0"/>
          <w:numId w:val="4"/>
        </w:numPr>
        <w:bidi w:val="0"/>
        <w:spacing w:lineRule="auto" w:line="480"/>
        <w:jc w:val="start"/>
        <w:rPr/>
      </w:pPr>
      <w:r>
        <w:rPr/>
        <w:t>Insofar as I take up proletarian categories, I do so critically.</w:t>
      </w:r>
    </w:p>
    <w:p>
      <w:pPr>
        <w:pStyle w:val="Normal"/>
        <w:numPr>
          <w:ilvl w:val="0"/>
          <w:numId w:val="4"/>
        </w:numPr>
        <w:bidi w:val="0"/>
        <w:spacing w:lineRule="auto" w:line="480"/>
        <w:jc w:val="start"/>
        <w:rPr>
          <w:rFonts w:ascii="Liberation Serif" w:hAnsi="Liberation Serif"/>
          <w:sz w:val="24"/>
          <w:szCs w:val="24"/>
        </w:rPr>
      </w:pPr>
      <w:r>
        <w:rPr>
          <w:rFonts w:ascii="Liberation Serif" w:hAnsi="Liberation Serif"/>
          <w:sz w:val="24"/>
          <w:szCs w:val="24"/>
        </w:rPr>
        <w:t>Historical Sociology</w:t>
      </w:r>
    </w:p>
    <w:p>
      <w:pPr>
        <w:pStyle w:val="Normal"/>
        <w:numPr>
          <w:ilvl w:val="0"/>
          <w:numId w:val="4"/>
        </w:numPr>
        <w:bidi w:val="0"/>
        <w:spacing w:lineRule="auto" w:line="480"/>
        <w:jc w:val="start"/>
        <w:rPr>
          <w:rFonts w:ascii="Liberation Serif" w:hAnsi="Liberation Serif"/>
          <w:sz w:val="24"/>
          <w:szCs w:val="24"/>
        </w:rPr>
      </w:pPr>
      <w:r>
        <w:rPr>
          <w:rFonts w:ascii="Liberation Serif" w:hAnsi="Liberation Serif"/>
          <w:sz w:val="24"/>
          <w:szCs w:val="24"/>
        </w:rPr>
        <w:t xml:space="preserve">One of Marx's important contributions was to denaturalize wage-labor - to demonstrate that it's generalization is not a natural state of humanity, but a historical artifact of the modern period. Vulgar marxists have taken this too far, insisting that it is the only artifact of modernity, and any other form of labor is pre-modern or pre-capitalist. There has been a reaction against this - scholars saying that not only is wage-labor not the defining attribute of modernity, it is irrelevant to capitalism (which is, after all, based on a great expansion in unfree labor). My interest is not in litigating which of waged or unwaged labor is more 'capitalist'. The central thing is not whether you sell some x amount of time working for some y amount of currency. The central thing is the universal abstraction of exchange, and the extent to which a system of generalized exchange which holds all things to be somehow commensurable shapes the ways in which we can live. </w:t>
      </w:r>
      <w:r>
        <w:rPr>
          <w:rFonts w:ascii="Liberation Serif" w:hAnsi="Liberation Serif"/>
          <w:i/>
          <w:iCs/>
          <w:sz w:val="24"/>
          <w:szCs w:val="24"/>
        </w:rPr>
        <w:t>The way that labor becomes subordinated to exchange.</w:t>
      </w:r>
    </w:p>
    <w:p>
      <w:pPr>
        <w:pStyle w:val="Normal"/>
        <w:bidi w:val="0"/>
        <w:spacing w:lineRule="auto" w:line="480"/>
        <w:jc w:val="start"/>
        <w:rPr>
          <w:rFonts w:ascii="Liberation Serif" w:hAnsi="Liberation Serif"/>
          <w:i/>
          <w:i/>
          <w:iCs/>
          <w:sz w:val="24"/>
          <w:szCs w:val="24"/>
        </w:rPr>
      </w:pPr>
      <w:r>
        <w:rPr>
          <w:rFonts w:ascii="Liberation Serif" w:hAnsi="Liberation Serif"/>
          <w:i/>
          <w:iCs/>
          <w:sz w:val="24"/>
          <w:szCs w:val="24"/>
        </w:rPr>
      </w:r>
    </w:p>
    <w:p>
      <w:pPr>
        <w:pStyle w:val="Normal"/>
        <w:bidi w:val="0"/>
        <w:spacing w:lineRule="auto" w:line="480"/>
        <w:jc w:val="start"/>
        <w:rPr>
          <w:rFonts w:ascii="Liberation Serif" w:hAnsi="Liberation Serif"/>
          <w:b/>
          <w:bCs/>
          <w:sz w:val="24"/>
          <w:szCs w:val="24"/>
        </w:rPr>
      </w:pPr>
      <w:r>
        <w:rPr>
          <w:rFonts w:ascii="Liberation Serif" w:hAnsi="Liberation Serif"/>
          <w:b/>
          <w:bCs/>
          <w:i w:val="false"/>
          <w:iCs w:val="false"/>
          <w:sz w:val="24"/>
          <w:szCs w:val="24"/>
        </w:rPr>
        <w:t>Description of Chapters</w:t>
      </w:r>
    </w:p>
    <w:p>
      <w:pPr>
        <w:pStyle w:val="LO-normal"/>
        <w:numPr>
          <w:ilvl w:val="0"/>
          <w:numId w:val="1"/>
        </w:numPr>
        <w:spacing w:lineRule="auto" w:line="480"/>
        <w:ind w:hanging="360" w:start="720"/>
        <w:rPr>
          <w:rFonts w:ascii="Liberation Serif" w:hAnsi="Liberation Serif"/>
          <w:sz w:val="24"/>
          <w:szCs w:val="24"/>
        </w:rPr>
      </w:pPr>
      <w:r>
        <w:rPr>
          <w:rFonts w:ascii="Liberation Serif" w:hAnsi="Liberation Serif"/>
          <w:b/>
          <w:sz w:val="24"/>
          <w:szCs w:val="24"/>
        </w:rPr>
        <w:t>Chapter 1</w:t>
      </w:r>
    </w:p>
    <w:p>
      <w:pPr>
        <w:pStyle w:val="LO-normal"/>
        <w:numPr>
          <w:ilvl w:val="1"/>
          <w:numId w:val="1"/>
        </w:numPr>
        <w:spacing w:lineRule="auto" w:line="480"/>
        <w:ind w:hanging="360" w:start="720"/>
        <w:rPr>
          <w:rFonts w:ascii="Liberation Serif" w:hAnsi="Liberation Serif"/>
          <w:sz w:val="24"/>
          <w:szCs w:val="24"/>
        </w:rPr>
      </w:pPr>
      <w:r>
        <w:rPr>
          <w:rFonts w:ascii="Liberation Serif" w:hAnsi="Liberation Serif"/>
          <w:sz w:val="24"/>
          <w:szCs w:val="24"/>
        </w:rPr>
        <w:t>This chapter serves two main purposes: to introduce the questions I will be investigating, and to explain the theoretical framework I will employ to answer them. I will begin by surveying the existing literature around Fordism and its implementation in the Global South starting in the 1960s. Using the concept of commodity chains, I hope to complicate this narrative and demonstrate that the development of Fordist practices in the early automotive industry required an immediate restructuring of productive relations in the Global South, especially in the rubber producing regions. From here I will introduce my main research question: if Fordism developed a new norm of working class nuclear households in Michigan, what effect did it have on households in other parts of the world? Or more pointedly, in what ways did the reconfiguration of peripheral households make the American nuclear family possible?</w:t>
      </w:r>
    </w:p>
    <w:p>
      <w:pPr>
        <w:pStyle w:val="LO-normal"/>
        <w:spacing w:lineRule="auto" w:line="480"/>
        <w:rPr>
          <w:rFonts w:ascii="Liberation Serif" w:hAnsi="Liberation Serif"/>
          <w:sz w:val="24"/>
          <w:szCs w:val="24"/>
        </w:rPr>
      </w:pPr>
      <w:r>
        <w:rPr>
          <w:rFonts w:ascii="Liberation Serif" w:hAnsi="Liberation Serif"/>
          <w:sz w:val="24"/>
          <w:szCs w:val="24"/>
        </w:rPr>
      </w:r>
    </w:p>
    <w:p>
      <w:pPr>
        <w:pStyle w:val="LO-normal"/>
        <w:numPr>
          <w:ilvl w:val="0"/>
          <w:numId w:val="1"/>
        </w:numPr>
        <w:spacing w:lineRule="auto" w:line="480"/>
        <w:ind w:hanging="360" w:start="720"/>
        <w:rPr>
          <w:rFonts w:ascii="Liberation Serif" w:hAnsi="Liberation Serif"/>
          <w:sz w:val="24"/>
          <w:szCs w:val="24"/>
        </w:rPr>
      </w:pPr>
      <w:r>
        <w:rPr>
          <w:rFonts w:ascii="Liberation Serif" w:hAnsi="Liberation Serif"/>
          <w:b/>
          <w:sz w:val="24"/>
          <w:szCs w:val="24"/>
        </w:rPr>
        <w:t>Chapter 2</w:t>
      </w:r>
    </w:p>
    <w:p>
      <w:pPr>
        <w:pStyle w:val="LO-normal"/>
        <w:numPr>
          <w:ilvl w:val="1"/>
          <w:numId w:val="1"/>
        </w:numPr>
        <w:spacing w:lineRule="auto" w:line="480"/>
        <w:ind w:hanging="360" w:start="720"/>
        <w:rPr>
          <w:rFonts w:ascii="Liberation Serif" w:hAnsi="Liberation Serif"/>
          <w:sz w:val="24"/>
          <w:szCs w:val="24"/>
        </w:rPr>
      </w:pPr>
      <w:r>
        <w:rPr>
          <w:rFonts w:ascii="Liberation Serif" w:hAnsi="Liberation Serif"/>
          <w:sz w:val="24"/>
          <w:szCs w:val="24"/>
        </w:rPr>
        <w:t xml:space="preserve">This chapter will investigate the domestic dynamics of social reproduction in the Michigan automotive industry from roughly 1914 through the mid 1930s. I will first focus on the Five Dollar Day program implemented at the Ford Motor Company, with attention to housing policy. I hope to establish the firm’s interest in propagating single income households among their white workers, and to question why this was never generalized to the entire population. I will then look at the Modern Housing Corporation, a division of General motors which built and sold homes to its employees. This program differed from earlier company town models in that it fostered home ownership among workers rather than reserving all property rights with the firm. As with the Five Dollar Day, this program was administered on a segregated and racialized basis, and contributed to the development of a deeply stratified workforce in which the value of Black labor was depressed. </w:t>
      </w:r>
    </w:p>
    <w:p>
      <w:pPr>
        <w:pStyle w:val="LO-normal"/>
        <w:spacing w:lineRule="auto" w:line="480"/>
        <w:rPr>
          <w:rFonts w:ascii="Liberation Serif" w:hAnsi="Liberation Serif"/>
          <w:sz w:val="24"/>
          <w:szCs w:val="24"/>
        </w:rPr>
      </w:pPr>
      <w:r>
        <w:rPr>
          <w:rFonts w:ascii="Liberation Serif" w:hAnsi="Liberation Serif"/>
          <w:sz w:val="24"/>
          <w:szCs w:val="24"/>
        </w:rPr>
      </w:r>
    </w:p>
    <w:p>
      <w:pPr>
        <w:pStyle w:val="LO-normal"/>
        <w:spacing w:lineRule="auto" w:line="480"/>
        <w:rPr>
          <w:rFonts w:ascii="Liberation Serif" w:hAnsi="Liberation Serif"/>
          <w:sz w:val="24"/>
          <w:szCs w:val="24"/>
        </w:rPr>
      </w:pPr>
      <w:r>
        <w:rPr>
          <w:rFonts w:ascii="Liberation Serif" w:hAnsi="Liberation Serif"/>
          <w:sz w:val="24"/>
          <w:szCs w:val="24"/>
        </w:rPr>
      </w:r>
    </w:p>
    <w:p>
      <w:pPr>
        <w:pStyle w:val="LO-normal"/>
        <w:numPr>
          <w:ilvl w:val="0"/>
          <w:numId w:val="1"/>
        </w:numPr>
        <w:spacing w:lineRule="auto" w:line="480"/>
        <w:ind w:hanging="360" w:start="720"/>
        <w:rPr>
          <w:rFonts w:ascii="Liberation Serif" w:hAnsi="Liberation Serif"/>
          <w:sz w:val="24"/>
          <w:szCs w:val="24"/>
        </w:rPr>
      </w:pPr>
      <w:r>
        <w:rPr>
          <w:rFonts w:ascii="Liberation Serif" w:hAnsi="Liberation Serif"/>
          <w:b/>
          <w:sz w:val="24"/>
          <w:szCs w:val="24"/>
        </w:rPr>
        <w:t>Chapter 3 (combining both of the below)</w:t>
      </w:r>
    </w:p>
    <w:p>
      <w:pPr>
        <w:pStyle w:val="LO-normal"/>
        <w:numPr>
          <w:ilvl w:val="1"/>
          <w:numId w:val="1"/>
        </w:numPr>
        <w:spacing w:lineRule="auto" w:line="480"/>
        <w:ind w:hanging="360" w:start="720"/>
        <w:rPr>
          <w:rFonts w:ascii="Liberation Serif" w:hAnsi="Liberation Serif"/>
          <w:sz w:val="24"/>
          <w:szCs w:val="24"/>
        </w:rPr>
      </w:pPr>
      <w:r>
        <w:rPr>
          <w:rFonts w:ascii="Liberation Serif" w:hAnsi="Liberation Serif"/>
          <w:sz w:val="24"/>
          <w:szCs w:val="24"/>
        </w:rPr>
        <w:t>This chapter will look at Henry Ford’s attempt to start a rubber plantation in the Amazon in the 1920s. His plantation, which was a colossal failure, was based on the notion that the social-reproductive regime in Michigan could be imported to other parts of the world. Fordlandia was a mirror image of working class neighborhoods in the US, complete with prefabricated houses, schools, parks, and libraries. The administered life in Fordlandia met with resistance from local workers in Brazil and the town was abandoned in the mid 1930s without producing any commercially significant amount of rubber. This chapter will attempt to answer the question: why was the establishment of a town based on Fordist productive and reproductive norms unsuccessful in Brazil? In what ways did Ford misunderstand his own innovation, and why were his production and social practices unfit for rubber production in Brazil?</w:t>
      </w:r>
    </w:p>
    <w:p>
      <w:pPr>
        <w:pStyle w:val="LO-normal"/>
        <w:numPr>
          <w:ilvl w:val="1"/>
          <w:numId w:val="1"/>
        </w:numPr>
        <w:spacing w:lineRule="auto" w:line="480"/>
        <w:ind w:hanging="360" w:start="720"/>
        <w:rPr>
          <w:rFonts w:ascii="Liberation Serif" w:hAnsi="Liberation Serif"/>
          <w:sz w:val="24"/>
          <w:szCs w:val="24"/>
        </w:rPr>
      </w:pPr>
      <w:r>
        <w:rPr>
          <w:rFonts w:ascii="Liberation Serif" w:hAnsi="Liberation Serif"/>
          <w:b/>
          <w:sz w:val="24"/>
          <w:szCs w:val="24"/>
        </w:rPr>
        <w:t>Transhumant workers in the Amazon</w:t>
      </w:r>
      <w:r>
        <w:rPr>
          <w:rFonts w:ascii="Liberation Serif" w:hAnsi="Liberation Serif"/>
          <w:b/>
          <w:sz w:val="24"/>
          <w:szCs w:val="24"/>
        </w:rPr>
        <w:t xml:space="preserve"> </w:t>
      </w:r>
      <w:r>
        <w:rPr>
          <w:rFonts w:ascii="Liberation Serif" w:hAnsi="Liberation Serif"/>
          <w:sz w:val="24"/>
          <w:szCs w:val="24"/>
        </w:rPr>
        <w:t>Although Ford’s rubber plantation failed to be productive, the Amazon as a whole led the world in rubber production in the late 19th century and early 20th. This chapter will examine the patterns of wild-rubber collection in the Amazon and the household formations that supported them. First I will look at transhumant rubber workers in Brazil who moved seasonally between the port cities and the rubber fields deeper inland. What are the social-reproductive dynamics of transhumant labor? As working men were separated from their families for a season, how did they arrange the daily renewal of their labor power, and how did their families deal with the long gaps in income? The chapter will then look at the Peruvian Amazon Company, a rubber firm based in Iquitos that notoriously kept workers in near-slavery, and that carried out the Putumayo genocide. How was a continual supply of labor secured in the midst of mass slaughter?</w:t>
      </w:r>
    </w:p>
    <w:p>
      <w:pPr>
        <w:pStyle w:val="LO-normal"/>
        <w:spacing w:lineRule="auto" w:line="480"/>
        <w:rPr>
          <w:rFonts w:ascii="Liberation Serif" w:hAnsi="Liberation Serif"/>
          <w:sz w:val="24"/>
          <w:szCs w:val="24"/>
        </w:rPr>
      </w:pPr>
      <w:r>
        <w:rPr>
          <w:rFonts w:ascii="Liberation Serif" w:hAnsi="Liberation Serif"/>
          <w:sz w:val="24"/>
          <w:szCs w:val="24"/>
        </w:rPr>
      </w:r>
    </w:p>
    <w:p>
      <w:pPr>
        <w:pStyle w:val="LO-normal"/>
        <w:numPr>
          <w:ilvl w:val="0"/>
          <w:numId w:val="1"/>
        </w:numPr>
        <w:spacing w:lineRule="auto" w:line="480"/>
        <w:ind w:hanging="360" w:start="720"/>
        <w:rPr>
          <w:rFonts w:ascii="Liberation Serif" w:hAnsi="Liberation Serif"/>
          <w:sz w:val="24"/>
          <w:szCs w:val="24"/>
        </w:rPr>
      </w:pPr>
      <w:r>
        <w:rPr>
          <w:rFonts w:ascii="Liberation Serif" w:hAnsi="Liberation Serif"/>
          <w:b/>
          <w:sz w:val="24"/>
          <w:szCs w:val="24"/>
        </w:rPr>
        <w:t>Chapter 5</w:t>
      </w:r>
    </w:p>
    <w:p>
      <w:pPr>
        <w:pStyle w:val="LO-normal"/>
        <w:numPr>
          <w:ilvl w:val="1"/>
          <w:numId w:val="1"/>
        </w:numPr>
        <w:spacing w:lineRule="auto" w:line="480"/>
        <w:ind w:hanging="360" w:start="720"/>
        <w:rPr>
          <w:rFonts w:ascii="Liberation Serif" w:hAnsi="Liberation Serif"/>
          <w:sz w:val="24"/>
          <w:szCs w:val="24"/>
        </w:rPr>
      </w:pPr>
      <w:r>
        <w:rPr>
          <w:rFonts w:ascii="Liberation Serif" w:hAnsi="Liberation Serif"/>
          <w:i w:val="false"/>
          <w:iCs w:val="false"/>
          <w:sz w:val="24"/>
          <w:szCs w:val="24"/>
        </w:rPr>
        <w:t>In the 1910s, wild harvested Amazonian rubber was superseded in the global market by rubber produced on plantations in Colonial Malaya. This chapter will chart the rise of Malayan rubber, as well as the development of its specific labor regime. The workers on Malayan rubber plantations were primarily ethnic Tamils from Madras who migrated to Malaya for multi-year labor stints. I hope to trace out their working and living conditions on the plantations, and to contextualize this within the broader context of their household groups. As with transhumant workers in Brazil, I will ask how daily life was reproduced among the largely male workers at the work sites, and what effect this migratory pattern had on their families who were left behind. Did communities in Madras have to adjust their structure to make up for lost laborers? How were funds transmitted between workers and their families, and what were these funds used on? In other words, how did households handle being stretched across the Bay of Bengal?</w:t>
      </w:r>
    </w:p>
    <w:p>
      <w:pPr>
        <w:pStyle w:val="Normal"/>
        <w:bidi w:val="0"/>
        <w:spacing w:lineRule="auto" w:line="480"/>
        <w:jc w:val="start"/>
        <w:rPr>
          <w:i w:val="false"/>
          <w:i w:val="false"/>
          <w:iCs w:val="false"/>
        </w:rPr>
      </w:pPr>
      <w:r>
        <w:rPr>
          <w:rFonts w:ascii="Liberation Serif" w:hAnsi="Liberation Serif"/>
          <w:sz w:val="24"/>
          <w:szCs w:val="24"/>
        </w:rPr>
      </w:r>
    </w:p>
    <w:p>
      <w:pPr>
        <w:pStyle w:val="Normal"/>
        <w:bidi w:val="0"/>
        <w:spacing w:lineRule="auto" w:line="480"/>
        <w:jc w:val="start"/>
        <w:rPr/>
      </w:pPr>
      <w:r>
        <w:rPr>
          <w:i w:val="false"/>
          <w:iCs w:val="false"/>
        </w:rPr>
        <w:t>Establish elements in the case that disrupt the traditional teleology that persists in the historiography: racialized mediating classes; manipulation of family relationships; transformation of personal domination; use of debt (personal to a specific overseer rather than impersonal debt held by a bank...)</w:t>
      </w:r>
    </w:p>
    <w:p>
      <w:pPr>
        <w:pStyle w:val="Normal"/>
        <w:bidi w:val="0"/>
        <w:spacing w:lineRule="auto" w:line="480"/>
        <w:jc w:val="start"/>
        <w:rPr>
          <w:i/>
          <w:i/>
          <w:iCs/>
        </w:rPr>
      </w:pPr>
      <w:r>
        <w:rPr>
          <w:i/>
          <w:iCs/>
        </w:rPr>
      </w:r>
    </w:p>
    <w:p>
      <w:pPr>
        <w:pStyle w:val="Normal"/>
        <w:bidi w:val="0"/>
        <w:spacing w:lineRule="auto" w:line="480"/>
        <w:jc w:val="start"/>
        <w:rPr/>
      </w:pPr>
      <w:r>
        <w:rPr>
          <w:i w:val="false"/>
          <w:iCs w:val="false"/>
        </w:rPr>
        <w:t>"The purpose of a system is what it does." - Stafford Beer</w:t>
      </w:r>
    </w:p>
    <w:p>
      <w:pPr>
        <w:pStyle w:val="Normal"/>
        <w:bidi w:val="0"/>
        <w:spacing w:lineRule="auto" w:line="480"/>
        <w:jc w:val="start"/>
        <w:rPr>
          <w:i w:val="false"/>
          <w:i w:val="false"/>
          <w:iCs w:val="false"/>
        </w:rPr>
      </w:pPr>
      <w:r>
        <w:rPr>
          <w:i w:val="false"/>
          <w:iCs w:val="false"/>
        </w:rPr>
      </w:r>
    </w:p>
    <w:p>
      <w:pPr>
        <w:pStyle w:val="Normal"/>
        <w:bidi w:val="0"/>
        <w:spacing w:lineRule="auto" w:line="480"/>
        <w:jc w:val="start"/>
        <w:rPr>
          <w:i w:val="false"/>
          <w:i w:val="false"/>
          <w:iCs w:val="false"/>
        </w:rPr>
      </w:pPr>
      <w:r>
        <w:rPr>
          <w:i w:val="false"/>
          <w:iCs w:val="false"/>
        </w:rPr>
      </w:r>
    </w:p>
    <w:p>
      <w:pPr>
        <w:pStyle w:val="Normal"/>
        <w:bidi w:val="0"/>
        <w:spacing w:lineRule="auto" w:line="480"/>
        <w:jc w:val="start"/>
        <w:rPr/>
      </w:pPr>
      <w:r>
        <w:rPr>
          <w:i w:val="false"/>
          <w:iCs w:val="false"/>
        </w:rPr>
        <w:t>Some similarities to highlight:</w:t>
      </w:r>
    </w:p>
    <w:p>
      <w:pPr>
        <w:pStyle w:val="Normal"/>
        <w:bidi w:val="0"/>
        <w:spacing w:lineRule="auto" w:line="480"/>
        <w:jc w:val="start"/>
        <w:rPr/>
      </w:pPr>
      <w:r>
        <w:rPr>
          <w:i w:val="false"/>
          <w:iCs w:val="false"/>
        </w:rPr>
        <w:t>Solutions to high turnover and recruiting costs: five dollar day, gastos de conquistacion, policies of gendered recruitment in Malaya. Economy has to be expansive enough to support a settled population of workers (settled is important - in a sense the workers turning over in the ford factories weren't 'settled' enough for Ford). how does the Putumayo challenge this?</w:t>
      </w:r>
    </w:p>
    <w:p>
      <w:pPr>
        <w:pStyle w:val="Normal"/>
        <w:bidi w:val="0"/>
        <w:spacing w:lineRule="auto" w:line="480"/>
        <w:jc w:val="start"/>
        <w:rPr>
          <w:i w:val="false"/>
          <w:i w:val="false"/>
          <w:iCs w:val="false"/>
        </w:rPr>
      </w:pPr>
      <w:r>
        <w:rPr>
          <w:i w:val="false"/>
          <w:iCs w:val="false"/>
        </w:rPr>
      </w:r>
    </w:p>
    <w:p>
      <w:pPr>
        <w:pStyle w:val="Normal"/>
        <w:bidi w:val="0"/>
        <w:spacing w:lineRule="auto" w:line="480"/>
        <w:jc w:val="start"/>
        <w:rPr/>
      </w:pPr>
      <w:r>
        <w:rPr>
          <w:i w:val="false"/>
          <w:iCs w:val="false"/>
        </w:rPr>
        <w:t xml:space="preserve">Tentacles of Progress </w:t>
      </w:r>
    </w:p>
    <w:p>
      <w:pPr>
        <w:pStyle w:val="Normal"/>
        <w:numPr>
          <w:ilvl w:val="0"/>
          <w:numId w:val="3"/>
        </w:numPr>
        <w:bidi w:val="0"/>
        <w:spacing w:lineRule="auto" w:line="480"/>
        <w:jc w:val="start"/>
        <w:rPr/>
      </w:pPr>
      <w:r>
        <w:rPr>
          <w:i w:val="false"/>
          <w:iCs w:val="false"/>
        </w:rPr>
        <w:t>(4): "Despite a century of European rule, India had not become industrialized as Marx had expected, nor had any other non-Western country except Japan. Yet they were not untouched by the upheavals of that century. Theirs was no simple delay in some inevitable process of industrialization, but another, less welcome evolution: the transformation of traditional economies into modern underdeveloped ones."</w:t>
      </w:r>
    </w:p>
    <w:p>
      <w:pPr>
        <w:pStyle w:val="Normal"/>
        <w:numPr>
          <w:ilvl w:val="0"/>
          <w:numId w:val="3"/>
        </w:numPr>
        <w:bidi w:val="0"/>
        <w:spacing w:lineRule="auto" w:line="480"/>
        <w:jc w:val="start"/>
        <w:rPr/>
      </w:pPr>
      <w:r>
        <w:rPr>
          <w:i w:val="false"/>
          <w:iCs w:val="false"/>
        </w:rPr>
        <w:t>Also page 7 on the development of desire for western products</w:t>
      </w:r>
    </w:p>
    <w:p>
      <w:pPr>
        <w:pStyle w:val="Normal"/>
        <w:bidi w:val="0"/>
        <w:spacing w:lineRule="auto" w:line="480"/>
        <w:jc w:val="start"/>
        <w:rPr>
          <w:i w:val="false"/>
          <w:i w:val="false"/>
          <w:iCs w:val="false"/>
        </w:rPr>
      </w:pPr>
      <w:r>
        <w:rPr>
          <w:i w:val="false"/>
          <w:iCs w:val="false"/>
        </w:rPr>
      </w:r>
    </w:p>
    <w:p>
      <w:pPr>
        <w:pStyle w:val="Normal"/>
        <w:bidi w:val="0"/>
        <w:spacing w:lineRule="auto" w:line="480"/>
        <w:jc w:val="start"/>
        <w:rPr/>
      </w:pPr>
      <w:r>
        <w:rPr>
          <w:i w:val="false"/>
          <w:iCs w:val="false"/>
        </w:rPr>
        <w:t>Other things i care about:</w:t>
      </w:r>
    </w:p>
    <w:p>
      <w:pPr>
        <w:pStyle w:val="Normal"/>
        <w:bidi w:val="0"/>
        <w:spacing w:lineRule="auto" w:line="480"/>
        <w:jc w:val="start"/>
        <w:rPr/>
      </w:pPr>
      <w:r>
        <w:rPr>
          <w:i w:val="false"/>
          <w:iCs w:val="false"/>
        </w:rPr>
        <w:t>what does voluntary mean: a question of compulsion</w:t>
      </w:r>
    </w:p>
    <w:sectPr>
      <w:footerReference w:type="even" r:id="rId2"/>
      <w:footerReference w:type="default" r:id="rId3"/>
      <w:footerReference w:type="first" r:id="rId4"/>
      <w:footnotePr>
        <w:numFmt w:val="decimal"/>
      </w:footnotePr>
      <w:type w:val="nextPage"/>
      <w:pgSz w:w="12240" w:h="15840"/>
      <w:pgMar w:left="1440" w:right="1440" w:gutter="0" w:header="0" w:top="1440" w:footer="1440" w:bottom="1999"/>
      <w:pgNumType w:fmt="decimal"/>
      <w:formProt w:val="false"/>
      <w:textDirection w:val="lrTb"/>
      <w:docGrid w:type="default" w:linePitch="10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Unknown Author" w:date="2026-07-31T20:35:36Z" w:initials="">
    <w:p>
      <w:pPr>
        <w:overflowPunct w:val="false"/>
        <w:rPr/>
      </w:pPr>
      <w:r>
        <w:rPr>
          <w:rFonts w:eastAsia="DejaVu Sans" w:cs="Noto Sans Arabic"/>
          <w:kern w:val="0"/>
          <w:lang w:val="en-US" w:eastAsia="en-US" w:bidi="en-US"/>
        </w:rPr>
        <w:t>Abandon housing here</w:t>
      </w:r>
    </w:p>
  </w:comment>
  <w:comment w:id="1" w:author="Unknown Author" w:date="2026-07-31T20:19:31Z" w:initials="">
    <w:p>
      <w:pPr>
        <w:overflowPunct w:val="false"/>
        <w:rPr/>
      </w:pPr>
      <w:r>
        <w:rPr>
          <w:rFonts w:eastAsia="DejaVu Sans" w:cs="Noto Sans Arabic"/>
          <w:kern w:val="0"/>
          <w:lang w:val="en-US" w:eastAsia="en-US" w:bidi="en-US"/>
        </w:rPr>
        <w:t>Normal citations</w:t>
      </w:r>
    </w:p>
  </w:comment>
</w:comments>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Arial">
    <w:charset w:val="01" w:characterSet="utf-8"/>
    <w:family w:val="roman"/>
    <w:pitch w:val="variable"/>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0" w:name="PageNumWizard_FOOTER_Default_Page_Style2"/>
    <w:r>
      <w:rPr/>
      <w:fldChar w:fldCharType="begin"/>
    </w:r>
    <w:r>
      <w:rPr/>
      <w:instrText xml:space="preserve"> PAGE </w:instrText>
    </w:r>
    <w:r>
      <w:rPr/>
      <w:fldChar w:fldCharType="separate"/>
    </w:r>
    <w:r>
      <w:rPr/>
      <w:t>10</w:t>
    </w:r>
    <w:r>
      <w:rPr/>
      <w:fldChar w:fldCharType="end"/>
    </w:r>
    <w:bookmarkEnd w:id="0"/>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1" w:name="PageNumWizard_FOOTER_Default_Page_Style2"/>
    <w:r>
      <w:rPr/>
      <w:fldChar w:fldCharType="begin"/>
    </w:r>
    <w:r>
      <w:rPr/>
      <w:instrText xml:space="preserve"> PAGE </w:instrText>
    </w:r>
    <w:r>
      <w:rPr/>
      <w:fldChar w:fldCharType="separate"/>
    </w:r>
    <w:r>
      <w:rPr/>
      <w:t>10</w:t>
    </w:r>
    <w:r>
      <w:rPr/>
      <w:fldChar w:fldCharType="end"/>
    </w:r>
    <w:bookmarkEnd w:id="1"/>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rPr/>
      </w:pPr>
      <w:r>
        <w:rPr>
          <w:rStyle w:val="FootnoteCharacters"/>
        </w:rPr>
        <w:footnoteRef/>
      </w:r>
      <w:r>
        <w:rPr/>
        <w:tab/>
        <w:t xml:space="preserve"> </w:t>
      </w:r>
      <w:r>
        <w:rPr/>
        <w:t>Forbes Magazine, 9/15/1967</w:t>
      </w:r>
    </w:p>
  </w:footnote>
  <w:footnote w:id="3">
    <w:p>
      <w:pPr>
        <w:pStyle w:val="FootnoteText"/>
        <w:rPr/>
      </w:pPr>
      <w:r>
        <w:rPr>
          <w:rStyle w:val="FootnoteCharacters"/>
        </w:rPr>
        <w:footnoteRef/>
      </w:r>
      <w:r>
        <w:rPr/>
        <w:tab/>
        <w:t xml:space="preserve"> </w:t>
      </w:r>
      <w:r>
        <w:rPr/>
        <w:t>find citation</w:t>
      </w:r>
    </w:p>
  </w:footnote>
  <w:footnote w:id="4">
    <w:p>
      <w:pPr>
        <w:pStyle w:val="FootnoteText"/>
        <w:rPr/>
      </w:pPr>
      <w:r>
        <w:rPr>
          <w:rStyle w:val="FootnoteCharacters"/>
        </w:rPr>
        <w:footnoteRef/>
      </w:r>
      <w:r>
        <w:rPr/>
        <w:tab/>
        <w:t xml:space="preserve"> </w:t>
      </w:r>
      <w:r>
        <w:rPr/>
        <w:t>find citation</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72"/>
  <w:defaultTabStop w:val="709"/>
  <w:autoHyphenation w:val="true"/>
  <w:footnotePr>
    <w:numFmt w:val="decimal"/>
    <w:footnote w:id="0"/>
    <w:footnote w:id="1"/>
  </w:footnotePr>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FootnoteText">
    <w:name w:val="Footnote Text"/>
    <w:basedOn w:val="Normal"/>
    <w:pPr>
      <w:suppressLineNumbers/>
      <w:ind w:hanging="340" w:start="340"/>
    </w:pPr>
    <w:rPr>
      <w:sz w:val="20"/>
      <w:szCs w:val="20"/>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Footer">
    <w:name w:val="Footer"/>
    <w:basedOn w:val="HeaderandFooter"/>
    <w:pPr>
      <w:suppressLineNumbers/>
    </w:pPr>
    <w:rPr/>
  </w:style>
  <w:style w:type="paragraph" w:styleId="Comment">
    <w:name w:val="Comment"/>
    <w:basedOn w:val="Normal"/>
    <w:qFormat/>
    <w:pPr/>
    <w:rPr>
      <w:sz w:val="20"/>
      <w:szCs w:val="20"/>
    </w:rPr>
  </w:style>
  <w:style w:type="paragraph" w:styleId="LO-normal">
    <w:name w:val="LO-normal"/>
    <w:qFormat/>
    <w:pPr>
      <w:widowControl/>
      <w:suppressAutoHyphens w:val="true"/>
      <w:bidi w:val="0"/>
      <w:spacing w:lineRule="auto" w:line="276" w:before="0" w:after="0"/>
      <w:jc w:val="start"/>
    </w:pPr>
    <w:rPr>
      <w:rFonts w:ascii="Arial" w:hAnsi="Arial" w:eastAsia="Arial" w:cs="Arial"/>
      <w:color w:val="auto"/>
      <w:kern w:val="0"/>
      <w:sz w:val="22"/>
      <w:szCs w:val="22"/>
      <w:lang w:val="en-US" w:eastAsia="zh-CN" w:bidi="hi-IN"/>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notes" Target="footnotes.xml"/><Relationship Id="rId6" Type="http://schemas.openxmlformats.org/officeDocument/2006/relationships/comments" Target="comments.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2407</TotalTime>
  <Application>LibreOffice/24.2.7.2$Linux_X86_64 LibreOffice_project/420$Build-2</Application>
  <AppVersion>15.0000</AppVersion>
  <Pages>1</Pages>
  <Words>163</Words>
  <Characters>797</Characters>
  <CharactersWithSpaces>959</CharactersWithSpaces>
  <Paragraphs>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2026-04-30T15:14:51Z</dcterms:created>
  <dc:creator/>
  <dc:description/>
  <dc:language>en-US</dc:language>
  <cp:lastModifiedBy/>
  <dcterms:modified xsi:type="dcterms:W3CDTF">2026-07-31T21:15:28Z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file>