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before="0" w:after="0"/>
        <w:ind w:hanging="0" w:start="0" w:end="0"/>
        <w:jc w:val="start"/>
        <w:rPr>
          <w:rFonts w:ascii="Liberation Serif" w:hAnsi="Liberation Serif"/>
        </w:rPr>
      </w:pPr>
      <w:r>
        <w:rPr>
          <w:b/>
          <w:bCs/>
        </w:rPr>
        <w:t>The Peruvian Amazon Company and the Putumayo Genocide</w:t>
      </w:r>
    </w:p>
    <w:p>
      <w:pPr>
        <w:pStyle w:val="Normal"/>
        <w:bidi w:val="0"/>
        <w:spacing w:lineRule="auto" w:line="480" w:before="0" w:after="0"/>
        <w:ind w:firstLine="720" w:start="0" w:end="0"/>
        <w:jc w:val="start"/>
        <w:rPr>
          <w:rFonts w:ascii="Liberation Serif" w:hAnsi="Liberation Serif"/>
        </w:rPr>
      </w:pPr>
      <w:r>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w:t>
      </w:r>
      <w:commentRangeStart w:id="0"/>
      <w:r>
        <w:rPr/>
        <w:t xml:space="preserve">In the late 19th and early 20th centuries, the land north of the river was claimed by both Peru and Colombia, each of whom sent 'settlers' into the area to establish land claims and harvest its rubber. </w:t>
      </w:r>
      <w:r>
        <w:rPr/>
      </w:r>
      <w:commentRangeEnd w:id="0"/>
      <w:r>
        <w:commentReference w:id="0"/>
      </w:r>
      <w:r>
        <w:rPr/>
        <w:t xml:space="preserve">Rubber was booming, and there was certainly a fortune to be made in its exploitation, but the rubber of the Putumayo region was of an inferior quality. In addition to the well-known Hevea Brasiliensis, which can be tapped, </w:t>
      </w:r>
      <w:commentRangeStart w:id="1"/>
      <w:r>
        <w:rPr/>
        <w:t>the region was home to the lower quality Castilloa Elastica, which was cut down in the process of harvesting its natural latex.</w:t>
      </w:r>
      <w:r>
        <w:rPr/>
      </w:r>
      <w:commentRangeEnd w:id="1"/>
      <w:r>
        <w:commentReference w:id="1"/>
      </w:r>
      <w:r>
        <w:rPr/>
        <w:t xml:space="preserve"> Evidently harvesting was so severe that a contemporary observer in 1907 noted that Colombian harvesters complained there was very little of this second type left.</w:t>
      </w:r>
      <w:r>
        <w:rPr>
          <w:rStyle w:val="FootnoteReference"/>
        </w:rPr>
        <w:footnoteReference w:id="2"/>
      </w:r>
      <w:r>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rFonts w:ascii="Liberation Serif" w:hAnsi="Liberation Serif"/>
        </w:rPr>
      </w:pPr>
      <w:r>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rPr>
        <w:footnoteReference w:id="3"/>
      </w:r>
      <w:r>
        <w:rPr/>
        <w:t xml:space="preserve"> Exact figures are disputed, but </w:t>
      </w:r>
      <w:commentRangeStart w:id="2"/>
      <w:r>
        <w:rPr/>
        <w:t>Roger Casement</w:t>
      </w:r>
      <w:r>
        <w:rPr/>
      </w:r>
      <w:commentRangeEnd w:id="2"/>
      <w:r>
        <w:commentReference w:id="2"/>
      </w:r>
      <w:r>
        <w:rPr/>
        <w:t xml:space="preserve"> gives a conservative estimate of 30,000 total victims; </w:t>
      </w:r>
      <w:commentRangeStart w:id="3"/>
      <w:r>
        <w:rPr/>
        <w:t>the Putumayo region was depopulated by 90% during the rubber boom.</w:t>
      </w:r>
      <w:r>
        <w:rPr/>
      </w:r>
      <w:commentRangeEnd w:id="3"/>
      <w:r>
        <w:commentReference w:id="3"/>
      </w:r>
      <w:r>
        <w:rPr/>
        <w:t xml:space="preserve"> In addition to ouright massacres, thousands were killed by starvation, overwork, or were forcibly removed from their home region.</w:t>
      </w:r>
    </w:p>
    <w:p>
      <w:pPr>
        <w:pStyle w:val="Normal"/>
        <w:bidi w:val="0"/>
        <w:spacing w:lineRule="auto" w:line="480" w:before="0" w:after="0"/>
        <w:ind w:firstLine="720" w:start="0" w:end="0"/>
        <w:jc w:val="start"/>
        <w:rPr>
          <w:rFonts w:ascii="Liberation Serif" w:hAnsi="Liberation Serif"/>
        </w:rPr>
      </w:pPr>
      <w:r>
        <w:rPr/>
        <w:t xml:space="preserve">The major perpetrator of this genocide was a single company, the J. C. Arana and Hermanos Company which was later renamed the Peruvian Amazon Company (PAC) after receiving a significant investment of British capital in 1907. </w:t>
      </w:r>
      <w:r>
        <w:rPr/>
        <w:t xml:space="preserve">The origins of the company were relayed by W. E. Hardenburg, an adventurist and engineer who traveled to the Putumayo in search of a rubber fortune. He experienced the brutality of the PAC first hand, and was the first to spread awareness of the atrocities in English. According to Hardenburg, the company was helmed by Julio César Arana, who had originally come to Iquitos as a hat salesman. </w:t>
      </w:r>
      <w:r>
        <w:rPr>
          <w:b w:val="false"/>
          <w:bCs w:val="false"/>
        </w:rPr>
        <w:t>Julio César Arana began to work with small Colombian rubber interests in the late 1890s, and in 1903 started his own rubber company along with his brothers-in-law. He soon bought out his Colombian partners and attempted to push out the remainder of the Colombian competitors. Hardenburg tells us,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rPr>
        <w:footnoteReference w:id="4"/>
      </w:r>
      <w:r>
        <w:rPr>
          <w:b w:val="false"/>
          <w:bCs w:val="false"/>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rPr>
        <w:footnoteReference w:id="5"/>
      </w:r>
      <w:r>
        <w:rPr>
          <w:b w:val="false"/>
          <w:bCs w:val="false"/>
        </w:rPr>
        <w:t xml:space="preserve"> </w:t>
      </w:r>
      <w:r>
        <w:rPr>
          <w:b w:val="false"/>
          <w:bCs w:val="false"/>
        </w:rPr>
        <w:commentReference w:id="4"/>
      </w:r>
    </w:p>
    <w:p>
      <w:pPr>
        <w:pStyle w:val="Normal"/>
        <w:bidi w:val="0"/>
        <w:spacing w:lineRule="auto" w:line="480"/>
        <w:jc w:val="start"/>
        <w:rPr>
          <w:rFonts w:ascii="Liberation Serif" w:hAnsi="Liberation Serif"/>
        </w:rPr>
      </w:pPr>
      <w:r>
        <w:rPr>
          <w:b w:val="false"/>
          <w:bCs w:val="false"/>
        </w:rPr>
        <w:tab/>
        <w:t xml:space="preserve">There is something significant in Hardenburg using the phrase "taking away </w:t>
      </w:r>
      <w:r>
        <w:rPr>
          <w:b w:val="false"/>
          <w:bCs w:val="false"/>
          <w:i/>
          <w:iCs/>
        </w:rPr>
        <w:t>his</w:t>
      </w:r>
      <w:r>
        <w:rPr>
          <w:b w:val="false"/>
          <w:bCs w:val="false"/>
        </w:rPr>
        <w:t xml:space="preserve"> Indians" that we will return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jc w:val="start"/>
        <w:rPr>
          <w:rFonts w:ascii="Liberation Serif" w:hAnsi="Liberation Serif"/>
        </w:rPr>
      </w:pPr>
      <w:r>
        <w:rPr>
          <w:b w:val="false"/>
          <w:bCs w:val="false"/>
        </w:rPr>
        <w:tab/>
        <w:t>Hardenburg and his traveling companions were captured in one of these raids and held for some days at one of Arana's estates. It was here that he realized the extent of Arana's criminality. Their violence was not aimed only at competitors, but was directed against the local indigenous population as well. Whereas the Colombian rubber harvesters had paid the native workers - underpaid, to be sure, and often in commodities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rPr>
        <w:footnoteReference w:id="6"/>
      </w:r>
      <w:r>
        <w:rPr>
          <w:b w:val="false"/>
          <w:bCs w:val="false"/>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jc w:val="start"/>
        <w:rPr>
          <w:rFonts w:ascii="Liberation Serif" w:hAnsi="Liberation Serif"/>
        </w:rPr>
      </w:pPr>
      <w:r>
        <w:rPr>
          <w:b w:val="false"/>
          <w:bCs w:val="false"/>
        </w:rPr>
        <w:tab/>
        <w:t xml:space="preserve">In 1910, after Hardenburg's initial account had been published in the British newspaper </w:t>
      </w:r>
      <w:r>
        <w:rPr>
          <w:b w:val="false"/>
          <w:bCs w:val="false"/>
          <w:i/>
          <w:iCs/>
        </w:rPr>
        <w:t>Truth</w:t>
      </w:r>
      <w:r>
        <w:rPr>
          <w:b w:val="false"/>
          <w:bCs w:val="false"/>
          <w:i w:val="false"/>
          <w:iCs w:val="false"/>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rPr>
        <w:footnoteReference w:id="7"/>
      </w:r>
      <w:r>
        <w:rPr>
          <w:b w:val="false"/>
          <w:bCs w:val="false"/>
          <w:i w:val="false"/>
          <w:iCs w:val="false"/>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rPr>
        <w:footnoteReference w:id="8"/>
      </w:r>
      <w:r>
        <w:rPr>
          <w:b w:val="false"/>
          <w:bCs w:val="false"/>
          <w:i w:val="false"/>
          <w:iCs w:val="false"/>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rPr>
        <w:footnoteReference w:id="9"/>
      </w:r>
      <w:r>
        <w:rPr>
          <w:b w:val="false"/>
          <w:bCs w:val="false"/>
          <w:i w:val="false"/>
          <w:iCs w:val="false"/>
        </w:rPr>
        <w:t xml:space="preserve"> Their testimonies provided the greatest part of the evidence submitted by Casement to the Foreign Office.</w:t>
      </w:r>
    </w:p>
    <w:p>
      <w:pPr>
        <w:pStyle w:val="Normal"/>
        <w:bidi w:val="0"/>
        <w:spacing w:lineRule="auto" w:line="480"/>
        <w:jc w:val="start"/>
        <w:rPr>
          <w:rFonts w:ascii="Liberation Serif" w:hAnsi="Liberation Serif"/>
        </w:rPr>
      </w:pPr>
      <w:r>
        <w:rPr>
          <w:b w:val="false"/>
          <w:bCs w:val="false"/>
          <w:i w:val="false"/>
          <w:iCs w:val="false"/>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rPr>
        <w:footnoteReference w:id="10"/>
      </w:r>
      <w:r>
        <w:rPr>
          <w:b w:val="false"/>
          <w:bCs w:val="false"/>
          <w:i w:val="false"/>
          <w:iCs w:val="false"/>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jc w:val="start"/>
        <w:rPr>
          <w:rFonts w:ascii="Liberation Serif" w:hAnsi="Liberation Serif"/>
        </w:rPr>
      </w:pPr>
      <w:r>
        <w:rPr>
          <w:b w:val="false"/>
          <w:bCs w:val="false"/>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rPr>
        <w:footnoteReference w:id="11"/>
      </w:r>
      <w:r>
        <w:rPr>
          <w:b w:val="false"/>
          <w:bCs w:val="false"/>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rPr>
        <w:footnoteReference w:id="12"/>
      </w:r>
      <w:r>
        <w:rPr>
          <w:b w:val="false"/>
          <w:bCs w:val="false"/>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jc w:val="start"/>
        <w:rPr>
          <w:rFonts w:ascii="Liberation Serif" w:hAnsi="Liberation Serif"/>
        </w:rPr>
      </w:pPr>
      <w:r>
        <w:rPr>
          <w:b w:val="false"/>
          <w:bCs w:val="false"/>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rPr>
        <w:footnoteReference w:id="13"/>
      </w:r>
      <w:r>
        <w:rPr>
          <w:b w:val="false"/>
          <w:bCs w:val="false"/>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rPr>
        <w:footnoteReference w:id="14"/>
      </w:r>
    </w:p>
    <w:p>
      <w:pPr>
        <w:pStyle w:val="Normal"/>
        <w:bidi w:val="0"/>
        <w:spacing w:lineRule="auto" w:line="480"/>
        <w:jc w:val="start"/>
        <w:rPr>
          <w:rFonts w:ascii="Liberation Serif" w:hAnsi="Liberation Serif"/>
        </w:rPr>
      </w:pPr>
      <w:r>
        <w:rPr>
          <w:b w:val="false"/>
          <w:bCs w:val="false"/>
        </w:rPr>
        <w:tab/>
        <w:t>These men also took part in the spoils of slavery. Casement reports that "every so-called civilised employé receives from the agent of the company, on arrival, and Indian woman to be his temporary wife."</w:t>
      </w:r>
      <w:r>
        <w:rPr>
          <w:rStyle w:val="FootnoteReference"/>
          <w:b w:val="false"/>
          <w:bCs w:val="false"/>
        </w:rPr>
        <w:footnoteReference w:id="15"/>
      </w:r>
      <w:r>
        <w:rPr>
          <w:b w:val="false"/>
          <w:bCs w:val="false"/>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jc w:val="start"/>
        <w:rPr>
          <w:rFonts w:ascii="Liberation Serif" w:hAnsi="Liberation Serif"/>
        </w:rPr>
      </w:pPr>
      <w:r>
        <w:rPr>
          <w:b w:val="false"/>
          <w:bCs w:val="false"/>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rPr>
        <w:footnoteReference w:id="16"/>
      </w:r>
      <w:r>
        <w:rPr>
          <w:b w:val="false"/>
          <w:bCs w:val="false"/>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rPr>
        <w:footnoteReference w:id="17"/>
      </w:r>
      <w:r>
        <w:rPr>
          <w:b w:val="false"/>
          <w:bCs w:val="false"/>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jc w:val="start"/>
        <w:rPr>
          <w:rFonts w:ascii="Liberation Serif" w:hAnsi="Liberation Serif"/>
        </w:rPr>
      </w:pPr>
      <w:r>
        <w:rPr>
          <w:b w:val="false"/>
          <w:bCs w:val="false"/>
        </w:rPr>
        <w:tab/>
        <w:t>Food was a central question for workers in the Putumayo.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rPr>
        <w:footnoteReference w:id="18"/>
      </w:r>
      <w:r>
        <w:rPr>
          <w:b w:val="false"/>
          <w:bCs w:val="false"/>
        </w:rPr>
        <w:t xml:space="preserve"> In some cases they had to forage their own food and survive on "a wild herb called by the Indians 'airambo'."</w:t>
      </w:r>
      <w:r>
        <w:rPr>
          <w:rStyle w:val="FootnoteReference"/>
          <w:b w:val="false"/>
          <w:bCs w:val="false"/>
        </w:rPr>
        <w:footnoteReference w:id="19"/>
      </w:r>
      <w:r>
        <w:rPr>
          <w:b w:val="false"/>
          <w:bCs w:val="false"/>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rPr>
        <w:footnoteReference w:id="20"/>
      </w:r>
      <w:r>
        <w:rPr>
          <w:b w:val="false"/>
          <w:bCs w:val="false"/>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jc w:val="start"/>
        <w:rPr>
          <w:rFonts w:ascii="Liberation Serif" w:hAnsi="Liberation Serif"/>
        </w:rPr>
      </w:pPr>
      <w:r>
        <w:rPr>
          <w:b w:val="false"/>
          <w:bCs w:val="false"/>
        </w:rPr>
        <w:tab/>
        <w:t xml:space="preserve">As we can see,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sectPr>
      <w:footerReference w:type="default" r:id="rId2"/>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01T11:25:47Z" w:initials="">
    <w:p>
      <w:pPr>
        <w:overflowPunct w:val="false"/>
        <w:bidi w:val="0"/>
        <w:rPr/>
      </w:pPr>
      <w:r>
        <w:rPr>
          <w:rFonts w:eastAsia="DejaVu Sans" w:cs="Noto Sans Arabic"/>
          <w:kern w:val="0"/>
          <w:lang w:val="en-US" w:eastAsia="en-US" w:bidi="en-US"/>
        </w:rPr>
        <w:t>Cite this</w:t>
      </w:r>
    </w:p>
  </w:comment>
  <w:comment w:id="1" w:author="Unknown Author" w:date="2026-06-01T11:26:08Z" w:initials="">
    <w:p>
      <w:pPr>
        <w:overflowPunct w:val="false"/>
        <w:bidi w:val="0"/>
        <w:rPr/>
      </w:pPr>
      <w:r>
        <w:rPr>
          <w:rFonts w:eastAsia="DejaVu Sans" w:cs="Noto Sans Arabic"/>
          <w:kern w:val="0"/>
          <w:lang w:val="en-US" w:eastAsia="en-US" w:bidi="en-US"/>
        </w:rPr>
        <w:t>Cite this</w:t>
      </w:r>
    </w:p>
  </w:comment>
  <w:comment w:id="2" w:author="Unknown Author" w:date="2026-06-01T11:26:48Z" w:initials="">
    <w:p>
      <w:pPr>
        <w:overflowPunct w:val="false"/>
        <w:bidi w:val="0"/>
        <w:rPr/>
      </w:pPr>
      <w:r>
        <w:rPr>
          <w:rFonts w:eastAsia="DejaVu Sans" w:cs="Noto Sans Arabic"/>
          <w:kern w:val="0"/>
          <w:lang w:val="en-US" w:eastAsia="en-US" w:bidi="en-US"/>
        </w:rPr>
        <w:t>Who?</w:t>
      </w:r>
    </w:p>
  </w:comment>
  <w:comment w:id="3" w:author="Unknown Author" w:date="2026-06-02T11:24:26Z" w:initials="">
    <w:p>
      <w:pPr>
        <w:overflowPunct w:val="true"/>
        <w:rPr/>
      </w:pPr>
      <w:r>
        <w:rPr>
          <w:rFonts w:eastAsia="DejaVu Sans" w:cs="Noto Sans Arabic"/>
          <w:kern w:val="0"/>
          <w:lang w:val="en-US" w:eastAsia="en-US" w:bidi="en-US"/>
        </w:rPr>
        <w:t>cite</w:t>
      </w:r>
    </w:p>
  </w:comment>
  <w:comment w:id="4" w:author="Unknown Author" w:date="2026-06-01T11:44:29Z" w:initials="">
    <w:p>
      <w:pPr>
        <w:overflowPunct w:val="false"/>
        <w:bidi w:val="0"/>
        <w:rPr/>
      </w:pPr>
      <w:r>
        <w:rPr>
          <w:rFonts w:eastAsia="DejaVu Sans" w:cs="Noto Sans Arabic"/>
          <w:kern w:val="0"/>
          <w:lang w:val="en-US" w:eastAsia="en-US" w:bidi="en-US"/>
        </w:rPr>
        <w:t>Find some better way to draw this out of the source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0" w:name="PageNumWizard_FOOTER_Default_Page_Style7"/>
    <w:r>
      <w:rPr/>
      <w:fldChar w:fldCharType="begin"/>
    </w:r>
    <w:r>
      <w:rPr/>
      <w:instrText xml:space="preserve"> PAGE </w:instrText>
    </w:r>
    <w:r>
      <w:rPr/>
      <w:fldChar w:fldCharType="separate"/>
    </w:r>
    <w:r>
      <w:rPr/>
      <w:t>9</w:t>
    </w:r>
    <w:r>
      <w:rPr/>
      <w:fldChar w:fldCharType="end"/>
    </w:r>
    <w:bookmarkEnd w:id="0"/>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3">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4">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6">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7">
    <w:p>
      <w:pPr>
        <w:pStyle w:val="FootnoteText"/>
        <w:bidi w:val="0"/>
        <w:jc w:val="start"/>
        <w:rPr>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1.</w:t>
      </w:r>
    </w:p>
  </w:footnote>
  <w:footnote w:id="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1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1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1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1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1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1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1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1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2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s>
</file>

<file path=word/settings.xml><?xml version="1.0" encoding="utf-8"?>
<w:settings xmlns:w="http://schemas.openxmlformats.org/wordprocessingml/2006/main">
  <w:zoom w:percent="68"/>
  <w:defaultTabStop w:val="709"/>
  <w:autoHyphenation w:val="true"/>
  <w:footnotePr>
    <w:numFmt w:val="decimal"/>
    <w:footnote w:id="0"/>
    <w:footnote w:id="1"/>
  </w:footnotePr>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notes" Target="footnotes.xml"/><Relationship Id="rId4" Type="http://schemas.openxmlformats.org/officeDocument/2006/relationships/comments" Target="comment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160</TotalTime>
  <Application>LibreOffice/24.2.7.2$Linux_X86_64 LibreOffice_project/420$Build-2</Application>
  <AppVersion>15.0000</AppVersion>
  <Pages>9</Pages>
  <Words>2631</Words>
  <Characters>13285</Characters>
  <CharactersWithSpaces>15899</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2026-06-01T11:23:12Z</dcterms:created>
  <dc:creator/>
  <dc:description/>
  <dc:language>en-US</dc:language>
  <cp:lastModifiedBy/>
  <dcterms:modified xsi:type="dcterms:W3CDTF">2026-06-03T12:02:22Z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