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notes.xml" ContentType="application/vnd.openxmlformats-officedocument.wordprocessingml.footnotes+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Liberation Serif" w:hAnsi="Liberation Serif"/>
        </w:rPr>
      </w:pPr>
      <w:r>
        <w:rPr>
          <w:b/>
          <w:bCs/>
        </w:rPr>
        <w:t>Rubber Genocide in the Putumayo</w:t>
      </w:r>
    </w:p>
    <w:p>
      <w:pPr>
        <w:pStyle w:val="Normal"/>
        <w:spacing w:lineRule="auto" w:line="480"/>
        <w:jc w:val="center"/>
        <w:rPr>
          <w:rFonts w:ascii="Liberation Serif" w:hAnsi="Liberation Serif"/>
        </w:rPr>
      </w:pPr>
      <w:r>
        <w:rPr/>
        <w:t>Kenyon Cavender</w:t>
      </w:r>
    </w:p>
    <w:p>
      <w:pPr>
        <w:pStyle w:val="Normal"/>
        <w:spacing w:lineRule="auto" w:line="480"/>
        <w:rPr>
          <w:rFonts w:ascii="Liberation Serif" w:hAnsi="Liberation Serif"/>
        </w:rPr>
      </w:pPr>
      <w:r>
        <w:rPr/>
      </w:r>
    </w:p>
    <w:p>
      <w:pPr>
        <w:pStyle w:val="Normal"/>
        <w:spacing w:lineRule="auto" w:line="480"/>
        <w:rPr>
          <w:rFonts w:ascii="Liberation Serif" w:hAnsi="Liberation Serif"/>
        </w:rPr>
      </w:pPr>
      <w:r>
        <w:rPr>
          <w:b/>
          <w:bCs/>
        </w:rPr>
        <w:t>Introduction</w:t>
      </w:r>
    </w:p>
    <w:p>
      <w:pPr>
        <w:pStyle w:val="Normal"/>
        <w:spacing w:lineRule="auto" w:line="480"/>
        <w:rPr>
          <w:b w:val="false"/>
          <w:bCs w:val="false"/>
          <w:shd w:fill="FFFF00" w:val="clear"/>
        </w:rPr>
      </w:pPr>
      <w:r>
        <w:rPr>
          <w:b w:val="false"/>
          <w:bCs w:val="false"/>
          <w:shd w:fill="FFFF00" w:val="clear"/>
        </w:rPr>
        <w:t>[the thesis of the chapter: Again, scholars push the rubber genocide in the Putumayo outside of capitalism. Serje says that in the Putumayo, "credit and debt, usually considered to be one of th engines of capitalism, were here at the core of a system that was not only opposed to the market logic, but also to the possiblity of developing a modern local economy." On the contrary, I argue that the Putumayo was dominated by the market. On the one hand, the products produced in the Putumayo were commodities - both rubber and enslaved people were 'produced' for the global and regional market. On the other hand, the Putumayo was - in much the same way as the lower Amazon - a consumer of commodities produced in the core. Serje betrays a teleological conception of capitalism by refering to some ideal of a 'modern local economy'. The Putumayo genocide was not a pre-modern aberration in global capitalism, but a core element. And it was not merely modern, but constitutive of modernity.</w:t>
      </w:r>
    </w:p>
    <w:p>
      <w:pPr>
        <w:pStyle w:val="Normal"/>
        <w:spacing w:lineRule="auto" w:line="480"/>
        <w:rPr>
          <w:b w:val="false"/>
          <w:bCs w:val="false"/>
          <w:shd w:fill="FFFF00" w:val="clear"/>
        </w:rPr>
      </w:pPr>
      <w:r>
        <w:rPr>
          <w:b w:val="false"/>
          <w:bCs w:val="false"/>
          <w:shd w:fill="FFFF00" w:val="clear"/>
        </w:rPr>
        <w:tab/>
        <w:t>To make this case, I will look at several aspects of the rubber industry in the Putumayo. I will examine the operations of the primary corporation in the region, the Peruvian Amazon Company, as well as its actions against the indigenous inhabitants of the Putumayo. I should flag here that although I will not dwell on violent description, any discussion of genocide necessarily contains some graphic elements. I will then move on to an analysis of the racial hierarchy of labor in the Peruvian Amazon Company, paying special attention to the importation of Black laborers from Barbados to serve as overseers for the enslaved natives. Lastly I will look at the ways in which the social structure of genocide was reproduced, the necessarily short-term nature of this reproduction, and the way in which the Peruvian Amazon Company contributed to the larger dynamic of capitalist reproduction on a global scale.]</w:t>
      </w:r>
    </w:p>
    <w:p>
      <w:pPr>
        <w:pStyle w:val="Normal"/>
        <w:spacing w:lineRule="auto" w:line="480"/>
        <w:rPr>
          <w:rFonts w:ascii="Liberation Serif" w:hAnsi="Liberation Serif"/>
        </w:rPr>
      </w:pPr>
      <w:r>
        <w:rPr>
          <w:b w:val="false"/>
          <w:bCs w:val="false"/>
        </w:rPr>
        <w:tab/>
        <w:t>The production of automobiles requires raw materials in massive quantities. Henry Ford tried his best to vertically integrate the entirety of the automotive production process by purchasing operations that produced all of the necessary natural resources. He was mostly successful, owning iron mines and forests in Michigan and coal mines in Appalachia.</w:t>
      </w:r>
      <w:r>
        <w:rPr>
          <w:rStyle w:val="FootnoteReference"/>
          <w:b w:val="false"/>
          <w:bCs w:val="false"/>
        </w:rPr>
        <w:footnoteReference w:id="2"/>
      </w:r>
      <w:r>
        <w:rPr>
          <w:b w:val="false"/>
          <w:bCs w:val="false"/>
        </w:rPr>
        <w:t xml:space="preserve"> Rubber, however, could not be produced within the US, and his attempt to establish a rubber plantation in Brazil was a failure. Instead, rubber was imported into the US, primarily from the Amazon until 1913 when Amazonian production was eclipsed by Malayan rubber. Although the creation of a consuming class of workers, with nuclear families and owned homes, was a crucial part of Ford's production strategy, the rubber producers that fed his factories labored and lived under very different conditions. </w:t>
      </w:r>
    </w:p>
    <w:p>
      <w:pPr>
        <w:pStyle w:val="Normal"/>
        <w:spacing w:lineRule="auto" w:line="480"/>
        <w:rPr>
          <w:rFonts w:ascii="Liberation Serif" w:hAnsi="Liberation Serif"/>
        </w:rPr>
      </w:pPr>
      <w:r>
        <w:rPr>
          <w:b w:val="false"/>
          <w:bCs w:val="false"/>
        </w:rPr>
        <w:tab/>
        <w:t>Throughout the first half of the twentieth century, rubber production was dominated by severe forms of exploitation: wage labor was much less common than debt bondage, indentured servitude, and outright slavery. In the Putumayo region of Peru (now Colombia) rubber companies enslaved the native inhabitants with methods so brutal that tens of thousands died in a rubber genocide. The system that prevailed in Putumayo was a brutal one, but it should not be thought of as 'pre-capitalist' or 'non-capitalist.' Rather it was an integral part of the global system of capitalist production. The brutality of the rubber companies was a response to the demands of the global market, and the problems of commodity production determined the living and laboring conditions of the rubber workers. This chapter will examine these conditions. We will look at how a rigid racial labor hierarchy was established and maintained with the importation of Black workers from Barbados, as well as the ways in which this hierarchy was resisted. Family and gender dynamics played an essential role in the consolidation of power, and they were explicitly manipulated by the white company men to subdue both the native workers and the Barbadian overseers. The reproductive scheme they established was essential in producing the cheapest possible labor, combining force, debt, and family obligations to compel the workers.</w:t>
      </w:r>
    </w:p>
    <w:p>
      <w:pPr>
        <w:pStyle w:val="Normal"/>
        <w:spacing w:lineRule="auto" w:line="480"/>
        <w:rPr>
          <w:rFonts w:ascii="Liberation Serif" w:hAnsi="Liberation Serif"/>
        </w:rPr>
      </w:pPr>
      <w:r>
        <w:rPr>
          <w:b w:val="false"/>
          <w:bCs w:val="false"/>
        </w:rPr>
        <w:tab/>
        <w:t>Finally, this article will consider the way in which the system of production in the Putumayo contributed to the reproduction of capitalism itself. Obviously the production of rubber was necessary for the growing industries in the Global North, but the undermining of the native patterns of production also contributed to the extension of the market for the finished goods produced by these industries. Despite the natural fertility of the Amazon Basin, workers and management alike were fed (if at all) with canned and preserved foods imported from abroad. The substitution of imported goods for domestic production was essential in the expansion of industrial production in the Global North.</w:t>
      </w:r>
    </w:p>
    <w:p>
      <w:pPr>
        <w:pStyle w:val="Normal"/>
        <w:spacing w:lineRule="auto" w:line="480"/>
        <w:rPr>
          <w:rFonts w:ascii="Liberation Serif" w:hAnsi="Liberation Serif"/>
          <w:b w:val="false"/>
          <w:bCs w:val="false"/>
        </w:rPr>
      </w:pPr>
      <w:r>
        <w:rPr>
          <w:b w:val="false"/>
          <w:bCs w:val="false"/>
        </w:rPr>
      </w:r>
    </w:p>
    <w:p>
      <w:pPr>
        <w:pStyle w:val="Normal"/>
        <w:bidi w:val="0"/>
        <w:spacing w:lineRule="auto" w:line="480" w:before="0" w:after="0"/>
        <w:ind w:hanging="0" w:start="0" w:end="0"/>
        <w:jc w:val="start"/>
        <w:rPr>
          <w:rFonts w:ascii="Liberation Serif" w:hAnsi="Liberation Serif"/>
        </w:rPr>
      </w:pPr>
      <w:r>
        <w:rPr>
          <w:b/>
          <w:bCs/>
        </w:rPr>
        <w:t>The Peruvian Amazon Company and the Putumayo Genocide</w:t>
      </w:r>
    </w:p>
    <w:p>
      <w:pPr>
        <w:pStyle w:val="Normal"/>
        <w:bidi w:val="0"/>
        <w:spacing w:lineRule="auto" w:line="480" w:before="0" w:after="0"/>
        <w:ind w:firstLine="720" w:start="0" w:end="0"/>
        <w:jc w:val="start"/>
        <w:rPr>
          <w:rFonts w:ascii="Liberation Serif" w:hAnsi="Liberation Serif"/>
        </w:rPr>
      </w:pPr>
      <w:r>
        <w:rPr/>
        <w:t xml:space="preserve">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w:t>
      </w:r>
      <w:commentRangeStart w:id="0"/>
      <w:r>
        <w:rPr/>
        <w:t xml:space="preserve">In the late 19th and early 20th centuries, the land north of the river was claimed by both Peru and Colombia, each of whom sent 'settlers' into the area to establish land claims and harvest its rubber. </w:t>
      </w:r>
      <w:r>
        <w:rPr/>
      </w:r>
      <w:commentRangeEnd w:id="0"/>
      <w:r>
        <w:commentReference w:id="0"/>
      </w:r>
      <w:r>
        <w:rPr/>
        <w:t xml:space="preserve">Rubber was booming, and there was certainly a fortune to be made in its exploitation, but the rubber of the Putumayo region was of an inferior quality. In addition to the well-known Hevea Brasiliensis, which can be tapped, </w:t>
      </w:r>
      <w:commentRangeStart w:id="1"/>
      <w:r>
        <w:rPr/>
        <w:t>the region was home to the lower quality Castilloa Elastica, which was cut down in the process of harvesting its natural latex.</w:t>
      </w:r>
      <w:r>
        <w:rPr/>
      </w:r>
      <w:commentRangeEnd w:id="1"/>
      <w:r>
        <w:commentReference w:id="1"/>
      </w:r>
      <w:r>
        <w:rPr/>
        <w:t xml:space="preserve"> Evidently harvesting was so severe that a contemporary observer in 1907 noted that Colombian harvesters complained there was very little of this second type left.</w:t>
      </w:r>
      <w:r>
        <w:rPr>
          <w:rStyle w:val="FootnoteReference"/>
        </w:rPr>
        <w:footnoteReference w:id="3"/>
      </w:r>
      <w:r>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480" w:before="0" w:after="0"/>
        <w:ind w:firstLine="720" w:start="0" w:end="0"/>
        <w:jc w:val="start"/>
        <w:rPr>
          <w:rFonts w:ascii="Liberation Serif" w:hAnsi="Liberation Serif"/>
        </w:rPr>
      </w:pPr>
      <w:r>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rPr>
        <w:footnoteReference w:id="4"/>
      </w:r>
      <w:r>
        <w:rPr/>
        <w:t xml:space="preserve"> Exact figures are disputed, but </w:t>
      </w:r>
      <w:commentRangeStart w:id="2"/>
      <w:r>
        <w:rPr/>
        <w:t>Roger Casement</w:t>
      </w:r>
      <w:r>
        <w:rPr/>
      </w:r>
      <w:commentRangeEnd w:id="2"/>
      <w:r>
        <w:commentReference w:id="2"/>
      </w:r>
      <w:r>
        <w:rPr/>
        <w:t xml:space="preserve"> gives a conservative estimate of 30,000 total victims; </w:t>
      </w:r>
      <w:commentRangeStart w:id="3"/>
      <w:r>
        <w:rPr/>
        <w:t>the Putumayo region was depopulated by 90% during the rubber boom.</w:t>
      </w:r>
      <w:r>
        <w:rPr/>
      </w:r>
      <w:commentRangeEnd w:id="3"/>
      <w:r>
        <w:commentReference w:id="3"/>
      </w:r>
      <w:r>
        <w:rPr/>
        <w:t xml:space="preserve"> In addition to ouright massacres, thousands were killed by starvation, overwork, or were forcibly removed from their home region.</w:t>
      </w:r>
    </w:p>
    <w:p>
      <w:pPr>
        <w:pStyle w:val="Normal"/>
        <w:bidi w:val="0"/>
        <w:spacing w:lineRule="auto" w:line="480" w:before="0" w:after="0"/>
        <w:ind w:firstLine="720" w:start="0" w:end="0"/>
        <w:jc w:val="start"/>
        <w:rPr>
          <w:rFonts w:ascii="Liberation Serif" w:hAnsi="Liberation Serif"/>
        </w:rPr>
      </w:pPr>
      <w:r>
        <w:rPr/>
        <w:t xml:space="preserve">The major perpetrator of this genocide was a single company, the J. C. Arana and Hermanos Company which was later renamed the Peruvian Amazon Company (PAC) after receiving a significant investment of British capital in 1907. The origins of the company were relayed by W. E. Hardenburg, an adventurist and engineer who traveled to the Putumayo in search of a rubber fortune. He experienced the brutality of the PAC first hand, and was the first to spread awareness of the atrocities in English. According to Hardenburg, the company was helmed by Julio César Arana, who had originally come to Iquitos as a hat salesman. </w:t>
      </w:r>
      <w:r>
        <w:rPr>
          <w:b w:val="false"/>
          <w:bCs w:val="false"/>
        </w:rPr>
        <w:t>Julio César Arana began to work with small Colombian rubber interests in the late 1890s, and in 1903 started his own rubber company along with his brothers-in-law. He soon bought out his Colombian partners and attempted to push out the remainder of the Colombian competitors. Hardenburg tells us, based on his conversations with the Colombians, and on his later first hand experience, that Arana and his company were ruthless - when dealing with former partners, Arana "[took] advantage of their ignorance and stupidity to rob them scandalously."</w:t>
      </w:r>
      <w:r>
        <w:rPr>
          <w:rStyle w:val="FootnoteReference"/>
          <w:b w:val="false"/>
          <w:bCs w:val="false"/>
        </w:rPr>
        <w:footnoteReference w:id="5"/>
      </w:r>
      <w:r>
        <w:rPr>
          <w:b w:val="false"/>
          <w:bCs w:val="false"/>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b w:val="false"/>
          <w:bCs w:val="false"/>
        </w:rPr>
        <w:footnoteReference w:id="6"/>
      </w:r>
      <w:r>
        <w:rPr>
          <w:b w:val="false"/>
          <w:bCs w:val="false"/>
        </w:rPr>
        <w:t xml:space="preserve"> </w:t>
      </w:r>
      <w:r>
        <w:rPr/>
        <w:commentReference w:id="4"/>
      </w:r>
    </w:p>
    <w:p>
      <w:pPr>
        <w:pStyle w:val="Normal"/>
        <w:bidi w:val="0"/>
        <w:spacing w:lineRule="auto" w:line="480"/>
        <w:jc w:val="start"/>
        <w:rPr>
          <w:rFonts w:ascii="Liberation Serif" w:hAnsi="Liberation Serif"/>
        </w:rPr>
      </w:pPr>
      <w:r>
        <w:rPr>
          <w:b w:val="false"/>
          <w:bCs w:val="false"/>
        </w:rPr>
        <w:tab/>
        <w:t xml:space="preserve">There is something significant in Hardenburg using the phrase "taking away </w:t>
      </w:r>
      <w:r>
        <w:rPr>
          <w:b w:val="false"/>
          <w:bCs w:val="false"/>
          <w:i/>
          <w:iCs/>
        </w:rPr>
        <w:t>his</w:t>
      </w:r>
      <w:r>
        <w:rPr>
          <w:b w:val="false"/>
          <w:bCs w:val="false"/>
        </w:rPr>
        <w:t xml:space="preserve"> Indians" that we will return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480"/>
        <w:jc w:val="start"/>
        <w:rPr>
          <w:rFonts w:ascii="Liberation Serif" w:hAnsi="Liberation Serif"/>
        </w:rPr>
      </w:pPr>
      <w:r>
        <w:rPr>
          <w:b w:val="false"/>
          <w:bCs w:val="false"/>
        </w:rPr>
        <w:tab/>
        <w:t>Hardenburg and his traveling companions were captured in one of these raids and held for some days at one of Arana's estates. It was here that he realized the extent of Arana's criminality. Their violence was not aimed only at competitors, but was directed against the local indigenous population as well. Whereas the Colombian rubber harvesters had paid the native workers - underpaid, to be sure, and often in commodities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b w:val="false"/>
          <w:bCs w:val="false"/>
        </w:rPr>
        <w:footnoteReference w:id="7"/>
      </w:r>
      <w:r>
        <w:rPr>
          <w:b w:val="false"/>
          <w:bCs w:val="false"/>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480"/>
        <w:jc w:val="start"/>
        <w:rPr>
          <w:rFonts w:ascii="Liberation Serif" w:hAnsi="Liberation Serif"/>
        </w:rPr>
      </w:pPr>
      <w:r>
        <w:rPr>
          <w:b w:val="false"/>
          <w:bCs w:val="false"/>
        </w:rPr>
        <w:tab/>
        <w:t xml:space="preserve">In 1910, after Hardenburg's initial account had been published in the British newspaper </w:t>
      </w:r>
      <w:r>
        <w:rPr>
          <w:b w:val="false"/>
          <w:bCs w:val="false"/>
          <w:i/>
          <w:iCs/>
        </w:rPr>
        <w:t>Truth</w:t>
      </w:r>
      <w:r>
        <w:rPr>
          <w:b w:val="false"/>
          <w:bCs w:val="false"/>
          <w:i w:val="false"/>
          <w:iCs w:val="false"/>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b w:val="false"/>
          <w:bCs w:val="false"/>
          <w:i w:val="false"/>
          <w:iCs w:val="false"/>
        </w:rPr>
        <w:footnoteReference w:id="8"/>
      </w:r>
      <w:r>
        <w:rPr>
          <w:b w:val="false"/>
          <w:bCs w:val="false"/>
          <w:i w:val="false"/>
          <w:iCs w:val="false"/>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b w:val="false"/>
          <w:bCs w:val="false"/>
          <w:i w:val="false"/>
          <w:iCs w:val="false"/>
        </w:rPr>
        <w:footnoteReference w:id="9"/>
      </w:r>
      <w:r>
        <w:rPr>
          <w:b w:val="false"/>
          <w:bCs w:val="false"/>
          <w:i w:val="false"/>
          <w:iCs w:val="false"/>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b w:val="false"/>
          <w:bCs w:val="false"/>
          <w:i w:val="false"/>
          <w:iCs w:val="false"/>
        </w:rPr>
        <w:footnoteReference w:id="10"/>
      </w:r>
      <w:r>
        <w:rPr>
          <w:b w:val="false"/>
          <w:bCs w:val="false"/>
          <w:i w:val="false"/>
          <w:iCs w:val="false"/>
        </w:rPr>
        <w:t xml:space="preserve"> Their testimonies provided the greatest part of the evidence submitted by Casement to the Foreign Office.</w:t>
      </w:r>
    </w:p>
    <w:p>
      <w:pPr>
        <w:pStyle w:val="Normal"/>
        <w:bidi w:val="0"/>
        <w:spacing w:lineRule="auto" w:line="480"/>
        <w:jc w:val="start"/>
        <w:rPr>
          <w:rFonts w:ascii="Liberation Serif" w:hAnsi="Liberation Serif"/>
        </w:rPr>
      </w:pPr>
      <w:r>
        <w:rPr>
          <w:b w:val="false"/>
          <w:bCs w:val="false"/>
          <w:i w:val="false"/>
          <w:iCs w:val="false"/>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b w:val="false"/>
          <w:bCs w:val="false"/>
          <w:i w:val="false"/>
          <w:iCs w:val="false"/>
        </w:rPr>
        <w:footnoteReference w:id="11"/>
      </w:r>
      <w:r>
        <w:rPr>
          <w:b w:val="false"/>
          <w:bCs w:val="false"/>
          <w:i w:val="false"/>
          <w:iCs w:val="false"/>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480"/>
        <w:jc w:val="start"/>
        <w:rPr>
          <w:rFonts w:ascii="Liberation Serif" w:hAnsi="Liberation Serif"/>
        </w:rPr>
      </w:pPr>
      <w:r>
        <w:rPr>
          <w:b w:val="false"/>
          <w:bCs w:val="false"/>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b w:val="false"/>
          <w:bCs w:val="false"/>
        </w:rPr>
        <w:footnoteReference w:id="12"/>
      </w:r>
      <w:r>
        <w:rPr>
          <w:b w:val="false"/>
          <w:bCs w:val="false"/>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b w:val="false"/>
          <w:bCs w:val="false"/>
        </w:rPr>
        <w:footnoteReference w:id="13"/>
      </w:r>
      <w:r>
        <w:rPr>
          <w:b w:val="false"/>
          <w:bCs w:val="false"/>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480"/>
        <w:jc w:val="start"/>
        <w:rPr>
          <w:rFonts w:ascii="Liberation Serif" w:hAnsi="Liberation Serif"/>
        </w:rPr>
      </w:pPr>
      <w:r>
        <w:rPr>
          <w:b w:val="false"/>
          <w:bCs w:val="false"/>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b w:val="false"/>
          <w:bCs w:val="false"/>
        </w:rPr>
        <w:footnoteReference w:id="14"/>
      </w:r>
      <w:r>
        <w:rPr>
          <w:b w:val="false"/>
          <w:bCs w:val="false"/>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b w:val="false"/>
          <w:bCs w:val="false"/>
        </w:rPr>
        <w:footnoteReference w:id="15"/>
      </w:r>
    </w:p>
    <w:p>
      <w:pPr>
        <w:pStyle w:val="Normal"/>
        <w:bidi w:val="0"/>
        <w:spacing w:lineRule="auto" w:line="480"/>
        <w:jc w:val="start"/>
        <w:rPr>
          <w:rFonts w:ascii="Liberation Serif" w:hAnsi="Liberation Serif"/>
        </w:rPr>
      </w:pPr>
      <w:r>
        <w:rPr>
          <w:b w:val="false"/>
          <w:bCs w:val="false"/>
        </w:rPr>
        <w:tab/>
        <w:t>These men also took part in the spoils of slavery. Casement reports that "every so-called civilised employé receives from the agent of the company, on arrival, and Indian woman to be his temporary wife."</w:t>
      </w:r>
      <w:r>
        <w:rPr>
          <w:rStyle w:val="FootnoteReference"/>
          <w:b w:val="false"/>
          <w:bCs w:val="false"/>
        </w:rPr>
        <w:footnoteReference w:id="16"/>
      </w:r>
      <w:r>
        <w:rPr>
          <w:b w:val="false"/>
          <w:bCs w:val="false"/>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new woman was given to him every time he changed post. </w:t>
      </w:r>
    </w:p>
    <w:p>
      <w:pPr>
        <w:pStyle w:val="Normal"/>
        <w:bidi w:val="0"/>
        <w:spacing w:lineRule="auto" w:line="480"/>
        <w:jc w:val="start"/>
        <w:rPr>
          <w:rFonts w:ascii="Liberation Serif" w:hAnsi="Liberation Serif"/>
        </w:rPr>
      </w:pPr>
      <w:r>
        <w:rPr>
          <w:b w:val="false"/>
          <w:bCs w:val="false"/>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b w:val="false"/>
          <w:bCs w:val="false"/>
        </w:rPr>
        <w:footnoteReference w:id="17"/>
      </w:r>
      <w:r>
        <w:rPr>
          <w:b w:val="false"/>
          <w:bCs w:val="false"/>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b w:val="false"/>
          <w:bCs w:val="false"/>
        </w:rPr>
        <w:footnoteReference w:id="18"/>
      </w:r>
      <w:r>
        <w:rPr>
          <w:b w:val="false"/>
          <w:bCs w:val="false"/>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480"/>
        <w:jc w:val="start"/>
        <w:rPr>
          <w:rFonts w:ascii="Liberation Serif" w:hAnsi="Liberation Serif"/>
        </w:rPr>
      </w:pPr>
      <w:r>
        <w:rPr>
          <w:b w:val="false"/>
          <w:bCs w:val="false"/>
        </w:rPr>
        <w:tab/>
        <w:t>Food was a central question for workers in the Putumayo. When the food provided or sold by the company was insufficient, employees "were often forced to steal food from the Indians, or to go out into the forest and the surrounding plantations and look for it and rob it."</w:t>
      </w:r>
      <w:r>
        <w:rPr>
          <w:rStyle w:val="FootnoteReference"/>
          <w:b w:val="false"/>
          <w:bCs w:val="false"/>
        </w:rPr>
        <w:footnoteReference w:id="19"/>
      </w:r>
      <w:r>
        <w:rPr>
          <w:b w:val="false"/>
          <w:bCs w:val="false"/>
        </w:rPr>
        <w:t xml:space="preserve"> In some cases they had to forage their own food and survive on "a wild herb called by the Indians 'airambo'."</w:t>
      </w:r>
      <w:r>
        <w:rPr>
          <w:rStyle w:val="FootnoteReference"/>
          <w:b w:val="false"/>
          <w:bCs w:val="false"/>
        </w:rPr>
        <w:footnoteReference w:id="20"/>
      </w:r>
      <w:r>
        <w:rPr>
          <w:b w:val="false"/>
          <w:bCs w:val="false"/>
        </w:rPr>
        <w:t xml:space="preserve"> On the long marches through the jungle, "[n]o food is to be obtained ... except from the few Indians who may be dwelling in the neighborhood, and these poor people now have little enough for themselves."</w:t>
      </w:r>
      <w:r>
        <w:rPr>
          <w:rStyle w:val="FootnoteReference"/>
          <w:b w:val="false"/>
          <w:bCs w:val="false"/>
        </w:rPr>
        <w:footnoteReference w:id="21"/>
      </w:r>
      <w:r>
        <w:rPr>
          <w:b w:val="false"/>
          <w:bCs w:val="false"/>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480"/>
        <w:jc w:val="start"/>
        <w:rPr>
          <w:rFonts w:ascii="Liberation Serif" w:hAnsi="Liberation Serif"/>
        </w:rPr>
      </w:pPr>
      <w:r>
        <w:rPr/>
        <w:tab/>
        <w:t xml:space="preserve">As we can see,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b/>
          <w:bCs/>
        </w:rPr>
        <w:t>Labour Discipline in the Putumayo</w:t>
      </w:r>
    </w:p>
    <w:p>
      <w:pPr>
        <w:pStyle w:val="Normal"/>
        <w:bidi w:val="0"/>
        <w:spacing w:lineRule="auto" w:line="480"/>
        <w:jc w:val="start"/>
        <w:rPr>
          <w:rFonts w:ascii="Liberation Serif" w:hAnsi="Liberation Serif"/>
        </w:rPr>
      </w:pPr>
      <w:r>
        <w:rPr>
          <w:b w:val="false"/>
          <w:bCs w:val="false"/>
        </w:rPr>
        <w:tab/>
        <w:t>What was the purpose of this brutality? The contemporary accounts are shot through with attempts to make sense of something so offensive to sense and reason. Casement makes the argument in his report that the enslavement of the Huitoto people and their terrorization was a response by the Peruvian Amazon Company to the condition of labor scarcity in the region. The Barbadians were brought in to offset some of the dangers and difficulties of the slaving raids, and overseeing the native workers on their long marches through the forest. Due to the expense of transporting the rubber from the Putumayo to market, Casement says that the "company resorted to the use of forced labour under a debt-peonage system, and used torture to maintain labour discipline."</w:t>
      </w:r>
      <w:r>
        <w:rPr>
          <w:rStyle w:val="FootnoteReference"/>
          <w:b w:val="false"/>
          <w:bCs w:val="false"/>
        </w:rPr>
        <w:footnoteReference w:id="22"/>
      </w:r>
      <w:r>
        <w:rPr>
          <w:b w:val="false"/>
          <w:bCs w:val="false"/>
        </w:rPr>
        <w:t xml:space="preserve"> But as Michael Taussig claims, this, while not incorrect, can only be a partial explanation, as "terror and torture do not derive only from market pressure (which we can regard here as a trigger) but also from the process of cultural construction of evil as well."</w:t>
      </w:r>
      <w:r>
        <w:rPr>
          <w:rStyle w:val="FootnoteReference"/>
          <w:b w:val="false"/>
          <w:bCs w:val="false"/>
        </w:rPr>
        <w:footnoteReference w:id="23"/>
      </w:r>
      <w:r>
        <w:rPr>
          <w:b w:val="false"/>
          <w:bCs w:val="false"/>
        </w:rPr>
        <w:t xml:space="preserve"> Indeed, the violence employed by the PAC was not only directed at the native workers, but at their entire communities and even the salaried Barbadian employees, and in fact it undermined the workforce by starving, maiming, and ultimately slaughtering thousands of would-be rubber tappers. </w:t>
      </w:r>
    </w:p>
    <w:p>
      <w:pPr>
        <w:pStyle w:val="Normal"/>
        <w:bidi w:val="0"/>
        <w:spacing w:lineRule="auto" w:line="480"/>
        <w:jc w:val="start"/>
        <w:rPr>
          <w:rFonts w:ascii="Liberation Serif" w:hAnsi="Liberation Serif"/>
        </w:rPr>
      </w:pPr>
      <w:r>
        <w:rPr>
          <w:b w:val="false"/>
          <w:bCs w:val="false"/>
        </w:rPr>
        <w:tab/>
        <w:t xml:space="preserve">Given the apparent insensibility of the genocide from an economic standpoint, it is easy to see why scholars have consigned it to capitalism's prehistory. </w:t>
      </w:r>
      <w:r>
        <w:rPr>
          <w:b w:val="false"/>
          <w:bCs w:val="false"/>
        </w:rPr>
        <w:t>However, r</w:t>
      </w:r>
      <w:r>
        <w:rPr>
          <w:b w:val="false"/>
          <w:bCs w:val="false"/>
        </w:rPr>
        <w:t xml:space="preserve">ecent scholarship into the corporate structure and accounting practices of the PAC </w:t>
      </w:r>
      <w:r>
        <w:rPr>
          <w:b w:val="false"/>
          <w:bCs w:val="false"/>
        </w:rPr>
        <w:t xml:space="preserve">have provided valuable insight into the unique economic considerations that differentiated the region from the rest of the Amazon. Although the debt-bondage relation that characterized Amazonian wild rubber production was operative in the Putumayo, it served a somewhat different purpose. Whereas in the lower Amazon, the debt relation allowed workers some level of autonomy, as has been argued convincingly by Barbara Weinstein, in the Putumayo it served to mask the extreme levels of unfreedom that actually prevailed. </w:t>
      </w:r>
      <w:commentRangeStart w:id="5"/>
      <w:r>
        <w:rPr>
          <w:b w:val="false"/>
          <w:bCs w:val="false"/>
        </w:rPr>
        <w:t>Especially important for Arana's solicitation of capital investment in Britain, the debt relation served to add a veneer of legality to the slave system that otherwise would have deterred British capital investment.</w:t>
      </w:r>
      <w:r>
        <w:rPr>
          <w:b w:val="false"/>
          <w:bCs w:val="false"/>
        </w:rPr>
        <w:t xml:space="preserve"> </w:t>
      </w:r>
      <w:commentRangeEnd w:id="5"/>
      <w:r>
        <w:commentReference w:id="5"/>
      </w:r>
      <w:r>
        <w:rPr>
          <w:b w:val="false"/>
          <w:bCs w:val="false"/>
        </w:rPr>
      </w:r>
    </w:p>
    <w:p>
      <w:pPr>
        <w:pStyle w:val="Normal"/>
        <w:bidi w:val="0"/>
        <w:spacing w:lineRule="auto" w:line="480"/>
        <w:jc w:val="start"/>
        <w:rPr>
          <w:rFonts w:ascii="Liberation Serif" w:hAnsi="Liberation Serif"/>
        </w:rPr>
      </w:pPr>
      <w:r>
        <w:rPr>
          <w:b w:val="false"/>
          <w:bCs w:val="false"/>
        </w:rPr>
        <w:tab/>
        <w:t>Stephen Walker's recent article "The Peruvian Amazon Company: An Accounting Perspective" makes the case that the debt-bondage relation is one of many accounting practices which should be "no longer perceived as a purely technical endeavor that is isolated from the organizational and social context in which it is practiced. Accounting information is now comprehended as socially constructed, as value laden, and the production of accounts is recognized as a highly political process."</w:t>
      </w:r>
      <w:r>
        <w:rPr>
          <w:rStyle w:val="FootnoteReference"/>
          <w:b w:val="false"/>
          <w:bCs w:val="false"/>
        </w:rPr>
        <w:footnoteReference w:id="24"/>
      </w:r>
      <w:r>
        <w:rPr>
          <w:b w:val="false"/>
          <w:bCs w:val="false"/>
        </w:rPr>
        <w:t xml:space="preserve"> By the time that the PAC was liquidated, Walker notes that "the company's assets were comprised 'largely of debts alleged to be due from the Indians which Senor Arana was to collect'."</w:t>
      </w:r>
      <w:r>
        <w:rPr>
          <w:rStyle w:val="FootnoteReference"/>
          <w:b w:val="false"/>
          <w:bCs w:val="false"/>
        </w:rPr>
        <w:footnoteReference w:id="25"/>
      </w:r>
      <w:r>
        <w:rPr>
          <w:b w:val="false"/>
          <w:bCs w:val="false"/>
        </w:rPr>
        <w:t xml:space="preserve"> In fact the presence of Indigenous Putumayans, and the PAC's control over them, was central to the company's valuation. Although "rubber and agricultural estates comprised one half of the company's total assets,"</w:t>
      </w:r>
      <w:r>
        <w:rPr>
          <w:rStyle w:val="FootnoteReference"/>
          <w:b w:val="false"/>
          <w:bCs w:val="false"/>
        </w:rPr>
        <w:footnoteReference w:id="26"/>
      </w:r>
      <w:r>
        <w:rPr>
          <w:b w:val="false"/>
          <w:bCs w:val="false"/>
        </w:rPr>
        <w:t xml:space="preserve"> the PAC did not own these estates outright. </w:t>
      </w:r>
      <w:r>
        <w:rPr>
          <w:b w:val="false"/>
          <w:bCs w:val="false"/>
        </w:rPr>
        <w:t>Rather, the prospectus written to solicit investment referred to rights, not to ownership. Later, "[t]he PAC's chairman conceded that the company held only squatter's rights."</w:t>
      </w:r>
      <w:r>
        <w:rPr>
          <w:rStyle w:val="FootnoteReference"/>
          <w:b w:val="false"/>
          <w:bCs w:val="false"/>
        </w:rPr>
        <w:footnoteReference w:id="27"/>
      </w:r>
    </w:p>
    <w:p>
      <w:pPr>
        <w:pStyle w:val="Normal"/>
        <w:bidi w:val="0"/>
        <w:spacing w:lineRule="auto" w:line="480"/>
        <w:jc w:val="start"/>
        <w:rPr>
          <w:rFonts w:ascii="Liberation Serif" w:hAnsi="Liberation Serif"/>
        </w:rPr>
      </w:pPr>
      <w:r>
        <w:rPr>
          <w:b w:val="false"/>
          <w:bCs w:val="false"/>
        </w:rPr>
        <w:tab/>
      </w:r>
      <w:r>
        <w:rPr>
          <w:b w:val="false"/>
          <w:bCs w:val="false"/>
        </w:rPr>
        <w:t>These land "rights" were based almost exclusively on the exploitation of the land's inhabitants. Whereas land assets are often tallied on a per-acre basis, "PAC accounting practices suggested that valuation was primarily understood to be a function of the presence of exploitable labor."</w:t>
      </w:r>
      <w:r>
        <w:rPr>
          <w:rStyle w:val="FootnoteReference"/>
          <w:b w:val="false"/>
          <w:bCs w:val="false"/>
        </w:rPr>
        <w:footnoteReference w:id="28"/>
      </w:r>
      <w:r>
        <w:rPr>
          <w:b w:val="false"/>
          <w:bCs w:val="false"/>
        </w:rPr>
        <w:t xml:space="preserve"> </w:t>
      </w:r>
    </w:p>
    <w:p>
      <w:pPr>
        <w:pStyle w:val="Normal"/>
        <w:bidi w:val="0"/>
        <w:spacing w:lineRule="auto" w:line="480"/>
        <w:jc w:val="start"/>
        <w:rPr>
          <w:rFonts w:ascii="Liberation Serif" w:hAnsi="Liberation Serif"/>
        </w:rPr>
      </w:pPr>
      <w:r>
        <w:rPr>
          <w:b w:val="false"/>
          <w:bCs w:val="false"/>
        </w:rPr>
        <w:tab/>
      </w:r>
      <w:r>
        <w:rPr>
          <w:b w:val="false"/>
          <w:bCs w:val="false"/>
          <w:shd w:fill="FFFF00" w:val="clear"/>
        </w:rPr>
        <w:t>[accounting shit, why was it unproductive, we can sort of see why people think its precapitalist]</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b/>
          <w:bCs/>
        </w:rPr>
        <w:t>Terror and Colonial Hegemony</w:t>
      </w:r>
      <w:r>
        <w:rPr>
          <w:b w:val="false"/>
          <w:bCs w:val="false"/>
        </w:rPr>
        <w:tab/>
      </w:r>
    </w:p>
    <w:p>
      <w:pPr>
        <w:pStyle w:val="Normal"/>
        <w:bidi w:val="0"/>
        <w:spacing w:lineRule="auto" w:line="480"/>
        <w:jc w:val="start"/>
        <w:rPr>
          <w:b w:val="false"/>
          <w:bCs w:val="false"/>
          <w:shd w:fill="FFFF00" w:val="clear"/>
        </w:rPr>
      </w:pPr>
      <w:r>
        <w:rPr>
          <w:b w:val="false"/>
          <w:bCs w:val="false"/>
          <w:shd w:fill="FFFF00" w:val="clear"/>
        </w:rPr>
        <w:t>[i.e. what purpose does it serve for global capital? include some stuff on the state, including what i excised in the 'resistance section']</w:t>
      </w:r>
    </w:p>
    <w:p>
      <w:pPr>
        <w:pStyle w:val="Normal"/>
        <w:bidi w:val="0"/>
        <w:spacing w:lineRule="auto" w:line="480"/>
        <w:jc w:val="start"/>
        <w:rPr>
          <w:rFonts w:ascii="Liberation Serif" w:hAnsi="Liberation Serif"/>
        </w:rPr>
      </w:pPr>
      <w:r>
        <w:rPr>
          <w:b w:val="false"/>
          <w:bCs w:val="false"/>
        </w:rPr>
        <w:tab/>
        <w:t>So again: what was the purpose of this horror? Taussig's analysis of this question sheds light on our initial concern with the transformation of the lives of rubber workers. The brutality of the PAC's methods were crucial in the elaboration, not only of a new kind of man, but of new kinds of family and a new kind of society built on a rigid racial hierarchy. He places the terror of the Putumayo within the context of the "construction of colonial reality that occurred in the New World... where the Indian and the African became subject to an initially far smaller number of Christians."</w:t>
      </w:r>
      <w:r>
        <w:rPr>
          <w:rStyle w:val="FootnoteReference"/>
          <w:b w:val="false"/>
          <w:bCs w:val="false"/>
        </w:rPr>
        <w:footnoteReference w:id="29"/>
      </w:r>
      <w:r>
        <w:rPr>
          <w:b w:val="false"/>
          <w:bCs w:val="false"/>
        </w:rPr>
        <w:t xml:space="preserve"> Terror played a fundamental role in this construction: terror "which as well as being a physiological state is also a social fact and a cultural construction whose baroque dimensions allow it to serve as the mediator</w:t>
      </w:r>
      <w:r>
        <w:rPr>
          <w:b w:val="false"/>
          <w:bCs w:val="false"/>
          <w:i/>
          <w:iCs/>
        </w:rPr>
        <w:t xml:space="preserve"> par excellence</w:t>
      </w:r>
      <w:r>
        <w:rPr>
          <w:b w:val="false"/>
          <w:bCs w:val="false"/>
          <w:i w:val="false"/>
          <w:iCs w:val="false"/>
        </w:rPr>
        <w:t xml:space="preserve"> of colonial hegemony."</w:t>
      </w:r>
      <w:r>
        <w:rPr>
          <w:rStyle w:val="FootnoteReference"/>
          <w:b w:val="false"/>
          <w:bCs w:val="false"/>
          <w:i w:val="false"/>
          <w:iCs w:val="false"/>
        </w:rPr>
        <w:footnoteReference w:id="30"/>
      </w:r>
      <w:r>
        <w:rPr>
          <w:b w:val="false"/>
          <w:bCs w:val="false"/>
          <w:i/>
          <w:iCs/>
        </w:rPr>
        <w:t xml:space="preserve"> </w:t>
      </w:r>
    </w:p>
    <w:p>
      <w:pPr>
        <w:pStyle w:val="Normal"/>
        <w:bidi w:val="0"/>
        <w:spacing w:lineRule="auto" w:line="480"/>
        <w:jc w:val="start"/>
        <w:rPr>
          <w:rFonts w:ascii="Liberation Serif" w:hAnsi="Liberation Serif"/>
        </w:rPr>
      </w:pPr>
      <w:r>
        <w:rPr>
          <w:b w:val="false"/>
          <w:bCs w:val="false"/>
          <w:i w:val="false"/>
          <w:iCs w:val="false"/>
        </w:rPr>
        <w:tab/>
        <w:t>The construction of colonial hegemony goes back a long way, and the actions of the Peruvian Amazon Company, which Hardenburg ironically calls the 'civilising company', can be seen in a sense as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b w:val="false"/>
          <w:bCs w:val="false"/>
          <w:i w:val="false"/>
          <w:iCs w:val="false"/>
        </w:rPr>
        <w:footnoteReference w:id="31"/>
      </w:r>
      <w:r>
        <w:rPr>
          <w:b w:val="false"/>
          <w:bCs w:val="false"/>
          <w:i w:val="false"/>
          <w:iCs w:val="false"/>
        </w:rPr>
        <w:t xml:space="preserve"> This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480"/>
        <w:jc w:val="start"/>
        <w:rPr>
          <w:rFonts w:ascii="Liberation Serif" w:hAnsi="Liberation Serif"/>
        </w:rPr>
      </w:pPr>
      <w:r>
        <w:rPr>
          <w:b w:val="false"/>
          <w:bCs w:val="false"/>
          <w:i w:val="false"/>
          <w:iCs w:val="false"/>
        </w:rPr>
        <w:tab/>
        <w:t xml:space="preserve">But the perpetrators of genocide were not the only participants in the construction of colonial hegemony, though they may have been its most grotesque face. Indeed, many of the liberal humanitarians who were instrumental in exposing and stopping the genocide were also invested in the same civilising project - their difference of opinion with the PAC lay in the means, not the ends. I would now like to make a closer reading of some of the early publications that exposed the genocide and called for intervention. For the moment we will bracket and set aside Roger Casement and focus on Hardenburg's account in The Devil's Paradise, as edited and introduced by C. Reginald Enock. </w:t>
      </w:r>
    </w:p>
    <w:p>
      <w:pPr>
        <w:pStyle w:val="Normal"/>
        <w:bidi w:val="0"/>
        <w:spacing w:lineRule="auto" w:line="480"/>
        <w:jc w:val="start"/>
        <w:rPr>
          <w:rFonts w:ascii="Liberation Serif" w:hAnsi="Liberation Serif"/>
        </w:rPr>
      </w:pPr>
      <w:r>
        <w:rPr>
          <w:b w:val="false"/>
          <w:bCs w:val="false"/>
        </w:rPr>
        <w:tab/>
        <w:t>Enock's introduction to Hardenburg's account is an interesting document. Enock was a mining engineer who wrote several books about his travels through South America, and who, according to his obituary, "spent much of his life expounding an economic system based on Christian principles."</w:t>
      </w:r>
      <w:r>
        <w:rPr>
          <w:rStyle w:val="FootnoteReference"/>
          <w:b w:val="false"/>
          <w:bCs w:val="false"/>
        </w:rPr>
        <w:footnoteReference w:id="32"/>
      </w:r>
      <w:r>
        <w:rPr>
          <w:b w:val="false"/>
          <w:bCs w:val="false"/>
        </w:rPr>
        <w:t xml:space="preserve"> Indeed, his introduction is full of righteous anger and denunciations of the anti-Christian conduct done "under a republican Government in a Christianised country, at the behest of the agents of a great joint-stock company with headquarters in London."</w:t>
      </w:r>
      <w:r>
        <w:rPr>
          <w:rStyle w:val="FootnoteReference"/>
          <w:b w:val="false"/>
          <w:bCs w:val="false"/>
        </w:rPr>
        <w:footnoteReference w:id="33"/>
      </w:r>
      <w:r>
        <w:rPr>
          <w:b w:val="false"/>
          <w:bCs w:val="false"/>
        </w:rPr>
        <w:t xml:space="preserve"> He condemns the system in which "[i]n order to obtain rubber so that the luxurious-tyred motor-cars of civilisation might multiply in the cities of Christendom, the dismal forests of the Amazon have echoed with the cries of despairing and tortured Indian aborigines."</w:t>
      </w:r>
      <w:r>
        <w:rPr>
          <w:rStyle w:val="FootnoteReference"/>
          <w:b w:val="false"/>
          <w:bCs w:val="false"/>
        </w:rPr>
        <w:footnoteReference w:id="34"/>
      </w:r>
      <w:r>
        <w:rPr>
          <w:b w:val="false"/>
          <w:bCs w:val="false"/>
        </w:rPr>
        <w:t xml:space="preserve"> For him there is a great irony in the poor conduct of the Christians towards a people that he says "[i]n general are docile and have good qualities; they are naturally free from immorality and disease; they have a strong affection for their women and children and a regard for the aged." In the next sentence, however, he lets slip his mask: The people of the Putumayo are "well worthy of preservation, and might have been a valuable asset to the region."</w:t>
      </w:r>
      <w:r>
        <w:rPr>
          <w:rStyle w:val="FootnoteReference"/>
          <w:b w:val="false"/>
          <w:bCs w:val="false"/>
        </w:rPr>
        <w:footnoteReference w:id="35"/>
      </w:r>
    </w:p>
    <w:p>
      <w:pPr>
        <w:pStyle w:val="Normal"/>
        <w:bidi w:val="0"/>
        <w:spacing w:lineRule="auto" w:line="480"/>
        <w:jc w:val="start"/>
        <w:rPr>
          <w:rFonts w:ascii="Liberation Serif" w:hAnsi="Liberation Serif"/>
        </w:rPr>
      </w:pPr>
      <w:r>
        <w:rPr>
          <w:b w:val="false"/>
          <w:bCs w:val="false"/>
        </w:rPr>
        <w:tab/>
        <w:t xml:space="preserve">Enock's christian brotherliness only goes so far. The peoples of the Putumayo are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b w:val="false"/>
          <w:bCs w:val="false"/>
          <w:i/>
          <w:iCs/>
        </w:rPr>
        <w:t>infieles</w:t>
      </w:r>
      <w:r>
        <w:rPr>
          <w:b w:val="false"/>
          <w:bCs w:val="false"/>
        </w:rPr>
        <w:t xml:space="preserve"> and </w:t>
      </w:r>
      <w:r>
        <w:rPr>
          <w:b w:val="false"/>
          <w:bCs w:val="false"/>
          <w:i/>
          <w:iCs/>
        </w:rPr>
        <w:t>salvages</w:t>
      </w:r>
      <w:r>
        <w:rPr>
          <w:b w:val="false"/>
          <w:bCs w:val="false"/>
        </w:rPr>
        <w:t xml:space="preserve"> - that is, 'un-faithed' and 'savage' - cannot be described as savages in the ordinary sense of the term. They have nothing in common with the bloody savages of Africa and other parts of the world." Even his praise is built on the devaluation of other races, but faint as it is he cannot hold onto it for long. A mere two pages later he attempts to describe the various peoples in Peru, saying "[t]</w:t>
      </w:r>
      <w:r>
        <w:rPr>
          <w:b w:val="false"/>
          <w:bCs w:val="false"/>
          <w:i w:val="false"/>
          <w:iCs w:val="false"/>
        </w:rPr>
        <w:t xml:space="preserve">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b w:val="false"/>
          <w:bCs w:val="false"/>
          <w:i/>
          <w:iCs/>
        </w:rPr>
        <w:t>curacas</w:t>
      </w:r>
      <w:r>
        <w:rPr>
          <w:b w:val="false"/>
          <w:bCs w:val="false"/>
          <w:i w:val="false"/>
          <w:iCs w:val="false"/>
        </w:rPr>
        <w:t>, or petty chiefs of families or tribe.</w:t>
      </w:r>
      <w:r>
        <w:rPr>
          <w:b w:val="false"/>
          <w:bCs w:val="false"/>
        </w:rPr>
        <w:t xml:space="preserve">" As evidence of the virtue of the people in the coastal region, Enock says they live under an intelligible structure, in which "every village contains its </w:t>
      </w:r>
      <w:r>
        <w:rPr>
          <w:b w:val="false"/>
          <w:bCs w:val="false"/>
          <w:i/>
          <w:iCs/>
        </w:rPr>
        <w:t>iglesia</w:t>
      </w:r>
      <w:r>
        <w:rPr>
          <w:b w:val="false"/>
          <w:bCs w:val="false"/>
          <w:i w:val="false"/>
          <w:iCs w:val="false"/>
        </w:rPr>
        <w:t xml:space="preserve"> and village priest."</w:t>
      </w:r>
      <w:r>
        <w:rPr>
          <w:rStyle w:val="FootnoteReference"/>
          <w:b w:val="false"/>
          <w:bCs w:val="false"/>
          <w:i w:val="false"/>
          <w:iCs w:val="false"/>
        </w:rPr>
        <w:footnoteReference w:id="36"/>
      </w:r>
      <w:r>
        <w:rPr>
          <w:b w:val="false"/>
          <w:bCs w:val="false"/>
          <w:i w:val="false"/>
          <w:iCs w:val="false"/>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480"/>
        <w:ind w:hanging="0" w:start="1080"/>
        <w:jc w:val="start"/>
        <w:rPr>
          <w:rFonts w:ascii="Liberation Serif" w:hAnsi="Liberation Serif"/>
        </w:rPr>
      </w:pPr>
      <w:r>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i/>
          <w:iCs/>
        </w:rPr>
        <w:t>animals</w:t>
      </w:r>
      <w:r>
        <w:rPr>
          <w:i w:val="false"/>
          <w:iCs w:val="false"/>
        </w:rPr>
        <w:t>. Other European people may have abused the Indians of America, but none have that peculiar Spanish attitude towards them of frankly considering them as non-human.[ ... ]</w:t>
      </w:r>
      <w:r>
        <w:rPr/>
        <w:t xml:space="preserve">There is yet a further trait of the Latin American which to the Anglo-Saxon mind is almost inexplicable. This is the pleasure in the torture of the Indian as a </w:t>
      </w:r>
      <w:r>
        <w:rPr>
          <w:i/>
          <w:iCs/>
        </w:rPr>
        <w:t>diversion</w:t>
      </w:r>
      <w:r>
        <w:rPr>
          <w:i w:val="false"/>
          <w:iCs w:val="false"/>
        </w:rPr>
        <w:t>, not merely as a vengeance or 'punishment.'</w:t>
      </w:r>
      <w:r>
        <w:rPr/>
        <w:t>"</w:t>
      </w:r>
      <w:r>
        <w:rPr>
          <w:rStyle w:val="FootnoteReference"/>
        </w:rPr>
        <w:footnoteReference w:id="37"/>
      </w:r>
    </w:p>
    <w:p>
      <w:pPr>
        <w:pStyle w:val="Normal"/>
        <w:bidi w:val="0"/>
        <w:spacing w:lineRule="auto" w:line="480"/>
        <w:jc w:val="start"/>
        <w:rPr>
          <w:rFonts w:ascii="Liberation Serif" w:hAnsi="Liberation Serif"/>
        </w:rPr>
      </w:pPr>
      <w:r>
        <w:rPr/>
        <w:t xml:space="preserve">The explanation? That the Peruvians carry bad Iberian blood, blood of a lower class. Enock's analysis exists within a rigid racial hierarchy - even his criticism of ethnic cleansing reinforces colonial hierarchy. This is a criticism not </w:t>
      </w:r>
      <w:r>
        <w:rPr>
          <w:i/>
          <w:iCs/>
        </w:rPr>
        <w:t>of</w:t>
      </w:r>
      <w:r>
        <w:rPr/>
        <w:t xml:space="preserve">, but </w:t>
      </w:r>
      <w:r>
        <w:rPr>
          <w:i/>
          <w:iCs/>
        </w:rPr>
        <w:t>internal to</w:t>
      </w:r>
      <w:r>
        <w:rPr/>
        <w:t xml:space="preserve"> the Civilising Project.</w:t>
      </w:r>
    </w:p>
    <w:p>
      <w:pPr>
        <w:pStyle w:val="Normal"/>
        <w:bidi w:val="0"/>
        <w:spacing w:lineRule="auto" w:line="480"/>
        <w:jc w:val="start"/>
        <w:rPr>
          <w:rFonts w:ascii="Liberation Serif" w:hAnsi="Liberation Serif"/>
        </w:rPr>
      </w:pPr>
      <w:r>
        <w:rPr/>
        <w:tab/>
        <w:t>It is not surprising that, as an engineer, Enock would be chosen to introduce Hardenburg's narrative. Although Hardenburg is less explicit about his racial prejudices - he has them, but they don't shine through so vividly - he shares another interest with Enock. As they describe the natural space of the Putumayo basin and its inhabitants, they do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 And a page later: "The whole Amazon Valley, when it shall have been opened up, will prove to be one of the most valuable parts of the earth's surface." What's odd about these quotes is that they are sandwiched between the diatribes against the "savages" of North and South America and the extended musings on the racial mixing of Spanish and Latin American races. It's written in a scattered way, as if Enock can't decide between the relative importance of accumulation and expounding his racial theories.</w:t>
      </w:r>
    </w:p>
    <w:p>
      <w:pPr>
        <w:pStyle w:val="Normal"/>
        <w:bidi w:val="0"/>
        <w:spacing w:lineRule="auto" w:line="480"/>
        <w:jc w:val="start"/>
        <w:rPr>
          <w:rFonts w:ascii="Liberation Serif" w:hAnsi="Liberation Serif"/>
        </w:rPr>
      </w:pPr>
      <w:r>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discusses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rPr>
        <w:footnoteReference w:id="38"/>
      </w:r>
      <w:r>
        <w:rPr/>
        <w:t xml:space="preserve"> As he travels down the river, he takes samples of rocks that might indicate the presence of valuable minerals.</w:t>
      </w:r>
    </w:p>
    <w:p>
      <w:pPr>
        <w:pStyle w:val="Normal"/>
        <w:bidi w:val="0"/>
        <w:spacing w:lineRule="auto" w:line="480"/>
        <w:jc w:val="start"/>
        <w:rPr>
          <w:rFonts w:ascii="Liberation Serif" w:hAnsi="Liberation Serif"/>
        </w:rPr>
      </w:pPr>
      <w:r>
        <w:rPr/>
        <w:tab/>
        <w:t xml:space="preserve">Once Hardenburg reaches the rubber producing regions, he quickly hits it off with the Colombian rubber agents. Talking to an agent named Duarte, Hardenburg learns that "all this rubber was collected by the Indians in the Company's service, who came periodically with what they had collected and exchanged it for merchandise, &amp;c., sold to them at rather exorbitant prices." This description hardly seems like a positive assessment of the Colombian Duarte, but it is explicitly presented as the positive complement to the maltreatment of the local inhabitants of the region by the Peruvians: "... the greatest portion of [the Huitotos] were in the service of the Peruvian Amazon Company, which, Duarte informed me, treated them very harshly, obliging them to work night and day without the slightest remuneration." </w:t>
      </w:r>
    </w:p>
    <w:p>
      <w:pPr>
        <w:pStyle w:val="Normal"/>
        <w:bidi w:val="0"/>
        <w:spacing w:lineRule="auto" w:line="480"/>
        <w:jc w:val="start"/>
        <w:rPr>
          <w:rFonts w:ascii="Liberation Serif" w:hAnsi="Liberation Serif"/>
        </w:rPr>
      </w:pPr>
      <w:r>
        <w:rPr/>
        <w:tab/>
        <w:t xml:space="preserve">Further anecdotes are meant to reflect well on the treatment of the Huitoto by the Colombian settlers, such as the observation that the native employees of the Colombian firms wear European clothes, but this purported concern for the welfare of the local inhabitants of the Putumayo is undermined by a description of the Christmas celebration that Hardenburg passes with the Colombian rubber men: </w:t>
      </w:r>
      <w:r>
        <w:rPr>
          <w:b w:val="false"/>
          <w:bCs w:val="false"/>
          <w:i w:val="false"/>
          <w:iCs w:val="false"/>
        </w:rPr>
        <w:t xml:space="preserve">"Then López brought out a small barrel of the indispensable </w:t>
      </w:r>
      <w:r>
        <w:rPr>
          <w:b w:val="false"/>
          <w:bCs w:val="false"/>
          <w:i/>
          <w:iCs/>
        </w:rPr>
        <w:t>aguardiente</w:t>
      </w:r>
      <w:r>
        <w:rPr>
          <w:b w:val="false"/>
          <w:bCs w:val="false"/>
          <w:i w:val="false"/>
          <w:iCs w:val="false"/>
        </w:rPr>
        <w:t>, and everybody, including the sick policemen, their Cioni boatmen, and Perkins and myself, got on more or less of a jag, which lasted all day, and was not interrupted even by the death of one of López' Indians, who, it seems, had been ailing for some time."</w:t>
      </w:r>
      <w:r>
        <w:rPr>
          <w:rStyle w:val="FootnoteReference"/>
          <w:b w:val="false"/>
          <w:bCs w:val="false"/>
          <w:i w:val="false"/>
          <w:iCs w:val="false"/>
        </w:rPr>
        <w:footnoteReference w:id="39"/>
      </w:r>
    </w:p>
    <w:p>
      <w:pPr>
        <w:pStyle w:val="Normal"/>
        <w:bidi w:val="0"/>
        <w:spacing w:lineRule="auto" w:line="480"/>
        <w:jc w:val="start"/>
        <w:rPr>
          <w:rFonts w:ascii="Liberation Serif" w:hAnsi="Liberation Serif"/>
        </w:rPr>
      </w:pPr>
      <w:r>
        <w:rPr/>
        <w:tab/>
        <w:t xml:space="preserve">A few days after the Christmas celebration, Hardenburg entered into negotiations to purchase stock in one of the Colombian rubber companies. Unfortunately for him, the negotiations were cut short when the Peruvian Amazon Company, accompanied by Peruvian soldiers, launched a raid on the Colombian rubber settlements, massacred the workers and agents, and took Hardenburg and his traveling mate captive. It is in captivity that Hardenburg witnessed the bulk of the atrocities that would inform his report which broke the news of the Putumayo Genocide to the English speaking world. It is clear, however, that what he witnessed before he saw the atrocities, what he witnessed while meeting and dealing with the Colombian rubber agents still formed part of the erasure of indigenous life and community in the service of rubber production. The colonial hegemony imposed on the Putumayo region was upheld not only by the atrocities committed by Arana and his agents, but by the cheating of native rubber workers, the enforcing of European customs, the undermining of indigenous production, and the callous disregard for native life expressed by Hardenburg and Enock in their accounts. </w:t>
      </w:r>
    </w:p>
    <w:p>
      <w:pPr>
        <w:pStyle w:val="Normal"/>
        <w:bidi w:val="0"/>
        <w:spacing w:lineRule="auto" w:line="480"/>
        <w:jc w:val="start"/>
        <w:rPr>
          <w:rFonts w:ascii="Liberation Serif" w:hAnsi="Liberation Serif"/>
          <w:b w:val="false"/>
          <w:bCs w:val="false"/>
        </w:rPr>
      </w:pPr>
      <w:r>
        <w:rPr>
          <w:b w:val="false"/>
          <w:bCs w:val="false"/>
        </w:rPr>
      </w:r>
    </w:p>
    <w:p>
      <w:pPr>
        <w:pStyle w:val="Normal"/>
        <w:bidi w:val="0"/>
        <w:spacing w:lineRule="auto" w:line="480"/>
        <w:jc w:val="start"/>
        <w:rPr>
          <w:rFonts w:ascii="Liberation Serif" w:hAnsi="Liberation Serif"/>
        </w:rPr>
      </w:pPr>
      <w:r>
        <w:rPr>
          <w:b/>
          <w:bCs/>
        </w:rPr>
        <w:t>Atrocious Reproduction</w:t>
      </w:r>
    </w:p>
    <w:p>
      <w:pPr>
        <w:pStyle w:val="Normal"/>
        <w:bidi w:val="0"/>
        <w:spacing w:lineRule="auto" w:line="480"/>
        <w:jc w:val="start"/>
        <w:rPr>
          <w:highlight w:val="none"/>
          <w:shd w:fill="FFFF00" w:val="clear"/>
        </w:rPr>
      </w:pPr>
      <w:r>
        <w:rPr>
          <w:b w:val="false"/>
          <w:bCs w:val="false"/>
          <w:shd w:fill="FFFF00" w:val="clear"/>
        </w:rPr>
        <w:t>[as an explanation: the nature of the rubber that had to be killed to be harvested undermined the profitability of sustainable practices]</w:t>
      </w:r>
    </w:p>
    <w:p>
      <w:pPr>
        <w:pStyle w:val="Normal"/>
        <w:bidi w:val="0"/>
        <w:spacing w:lineRule="auto" w:line="480"/>
        <w:jc w:val="start"/>
        <w:rPr>
          <w:rFonts w:ascii="Liberation Serif" w:hAnsi="Liberation Serif"/>
        </w:rPr>
      </w:pPr>
      <w:r>
        <w:rPr>
          <w:b w:val="false"/>
          <w:bCs w:val="false"/>
        </w:rPr>
        <w:tab/>
        <w:t xml:space="preserve">As a social system, the Putumayo genocide was relatively short lived. It might seem odd to speak of the reproduction of a system that cannibalized itself in just a few short years, but the concept of social reproduction includes not only the generational,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most clear in the way that the destruction of local food production opened up the Putumayo as a market for non-perishable goods, especially tinned meats from abroad. There are several key aspects of social reproduction to be examined here: the reproduction of labor, both short- and long-term; the extension of company control over labor, including the reproductive labor of employee's families; the reproduction of the rubber commodity; and the development of a market where sundry goods were bought and sold. </w:t>
      </w:r>
    </w:p>
    <w:p>
      <w:pPr>
        <w:pStyle w:val="Normal"/>
        <w:bidi w:val="0"/>
        <w:spacing w:lineRule="auto" w:line="480"/>
        <w:jc w:val="start"/>
        <w:rPr>
          <w:rFonts w:ascii="Liberation Serif" w:hAnsi="Liberation Serif"/>
        </w:rPr>
      </w:pPr>
      <w:r>
        <w:rPr>
          <w:b w:val="false"/>
          <w:bCs w:val="false"/>
        </w:rPr>
        <w:tab/>
        <w:t xml:space="preserve">It is a primary concern of every society how it will reproduce itself. The production of the necessary means of subsistence and their distribution and consumption are central to the structure of every social order. A defining feature of capitalism is the extent to which the production and consumption of the ordinary means of subsistence are divorced and mediated through exchange. Capitalist workers do not generally consume the direct products of their labor, but must exchange what they produce for a wage which will then allow them to purchase their daily needs - which are products of someone else's labor. Production and consumption become mediated through exchange, and therefore the worker's means of reproducing him- or her-self is likewise mediated through exchange. </w:t>
      </w:r>
    </w:p>
    <w:p>
      <w:pPr>
        <w:pStyle w:val="Normal"/>
        <w:bidi w:val="0"/>
        <w:spacing w:lineRule="auto" w:line="480"/>
        <w:jc w:val="start"/>
        <w:rPr>
          <w:rFonts w:ascii="Liberation Serif" w:hAnsi="Liberation Serif"/>
        </w:rPr>
      </w:pPr>
      <w:r>
        <w:rPr>
          <w:b w:val="false"/>
          <w:bCs w:val="false"/>
        </w:rPr>
        <w:tab/>
        <w:t xml:space="preserve">The act of purchasing what one needs to survive contributes to the reproduction of capitalism in two distinct ways. First, and most obviously, it allows workers to renew their labor power. They can eat the calories they expended and rest in rented rooms, and cloth themselves from the elements so that they may be able to show up to work again at full power. If their wage is high enough, they can purchase also what is necessary to raise children, and to ensure a steady stream of labor even after their death. It is a very common situation, however, that wages are not sufficient for generational reproduction. In a scenario where labor is relatively more abundant than jobs, competition can drive wages below the point of the renewal of labor, and so the workers must either die out or be subsidized by some other entity such as the state, the family, or the church. In cases where no such subsidy exists, a steady stream of labor is often supplied by immigration or by force. </w:t>
      </w:r>
    </w:p>
    <w:p>
      <w:pPr>
        <w:pStyle w:val="Normal"/>
        <w:bidi w:val="0"/>
        <w:spacing w:lineRule="auto" w:line="480"/>
        <w:jc w:val="start"/>
        <w:rPr>
          <w:rFonts w:ascii="Liberation Serif" w:hAnsi="Liberation Serif"/>
        </w:rPr>
      </w:pPr>
      <w:r>
        <w:rPr>
          <w:b w:val="false"/>
          <w:bCs w:val="false"/>
        </w:rPr>
        <w:tab/>
        <w:t xml:space="preserve">The second contribution of the act of purchase to the reproduction of capitalism is in a sense more fundamental, at least from the standpoint of capital. When the worker purchases some commodity for consumption, this represents the endpoint of the production process: the moment of purchase is also the moment of profit for the capitalist. In this exchange the worker receives what they need to live as a worker, and the capitalist also receives what they need to live </w:t>
      </w:r>
      <w:r>
        <w:rPr>
          <w:b w:val="false"/>
          <w:bCs w:val="false"/>
          <w:i/>
          <w:iCs/>
        </w:rPr>
        <w:t>as a capitalist</w:t>
      </w:r>
      <w:r>
        <w:rPr>
          <w:b w:val="false"/>
          <w:bCs w:val="false"/>
          <w:i w:val="false"/>
          <w:iCs w:val="false"/>
        </w:rPr>
        <w:t xml:space="preserve">, for this is the moment that their profit is realized, their entire </w:t>
      </w:r>
      <w:r>
        <w:rPr>
          <w:b w:val="false"/>
          <w:bCs w:val="false"/>
          <w:i/>
          <w:iCs/>
        </w:rPr>
        <w:t>raison d'etre</w:t>
      </w:r>
      <w:r>
        <w:rPr>
          <w:b w:val="false"/>
          <w:bCs w:val="false"/>
          <w:i w:val="false"/>
          <w:iCs w:val="false"/>
        </w:rPr>
        <w:t>. It is precisely this dual significance of the purchases of the worker that motivated the creation of a class of consuming workers under Fordism. But things were otherwise in Putumayo.</w:t>
      </w:r>
    </w:p>
    <w:p>
      <w:pPr>
        <w:pStyle w:val="Normal"/>
        <w:bidi w:val="0"/>
        <w:spacing w:lineRule="auto" w:line="480"/>
        <w:jc w:val="start"/>
        <w:rPr>
          <w:rFonts w:ascii="Liberation Serif" w:hAnsi="Liberation Serif"/>
        </w:rPr>
      </w:pPr>
      <w:r>
        <w:rPr>
          <w:b w:val="false"/>
          <w:bCs w:val="false"/>
          <w:i w:val="false"/>
          <w:iCs w:val="false"/>
        </w:rPr>
        <w:tab/>
        <w:t xml:space="preserve">We have seen in previous chapters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native slaves. </w:t>
      </w:r>
    </w:p>
    <w:p>
      <w:pPr>
        <w:pStyle w:val="Normal"/>
        <w:bidi w:val="0"/>
        <w:spacing w:lineRule="auto" w:line="480"/>
        <w:jc w:val="start"/>
        <w:rPr>
          <w:rFonts w:ascii="Liberation Serif" w:hAnsi="Liberation Serif"/>
        </w:rPr>
      </w:pPr>
      <w:r>
        <w:rPr>
          <w:b w:val="false"/>
          <w:bCs w:val="false"/>
          <w:i w:val="false"/>
          <w:iCs w:val="false"/>
        </w:rPr>
        <w:tab/>
        <w:t>As slaves, the native Putumayans were almost entirely left out of the wage-relation and thus excluded from purchasing commodities.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jc w:val="start"/>
        <w:rPr>
          <w:rFonts w:ascii="Liberation Serif" w:hAnsi="Liberation Serif"/>
        </w:rPr>
      </w:pPr>
      <w:r>
        <w:rPr>
          <w:b w:val="false"/>
          <w:bCs w:val="false"/>
          <w:i w:val="false"/>
          <w:iCs w:val="false"/>
        </w:rPr>
        <w:tab/>
        <w:t xml:space="preserve">The system of slavery on the Putumayo destroyed the generational reproduction of native labor, and pushed the daily reproduction to a minimum. Families were separated, with men forced to collect rubber and women and children being taken by company men as sex slaves. For the working men, Hardenburg states that their food was "given to them once a day, at noon; it consisted of a handful of </w:t>
      </w:r>
      <w:r>
        <w:rPr>
          <w:b w:val="false"/>
          <w:bCs w:val="false"/>
          <w:i/>
          <w:iCs/>
        </w:rPr>
        <w:t>fariña</w:t>
      </w:r>
      <w:r>
        <w:rPr>
          <w:b w:val="false"/>
          <w:bCs w:val="false"/>
          <w:i w:val="false"/>
          <w:iCs w:val="false"/>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rPr>
        <w:footnoteReference w:id="40"/>
      </w:r>
      <w:r>
        <w:rPr>
          <w:b w:val="false"/>
          <w:bCs w:val="false"/>
          <w:i w:val="false"/>
          <w:iCs w:val="false"/>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rPr>
        <w:footnoteReference w:id="41"/>
      </w:r>
      <w:r>
        <w:rPr>
          <w:b w:val="false"/>
          <w:bCs w:val="false"/>
          <w:i w:val="false"/>
          <w:iCs w:val="false"/>
        </w:rPr>
        <w:t xml:space="preserve"> The renewal of the labor force depended entirely on a steady stream of newly enslaved workers from a population that was, like the rubber trees, fast dwindling.</w:t>
      </w:r>
    </w:p>
    <w:p>
      <w:pPr>
        <w:pStyle w:val="Normal"/>
        <w:bidi w:val="0"/>
        <w:spacing w:lineRule="auto" w:line="480"/>
        <w:jc w:val="start"/>
        <w:rPr>
          <w:rFonts w:ascii="Liberation Serif" w:hAnsi="Liberation Serif"/>
        </w:rPr>
      </w:pPr>
      <w:r>
        <w:rPr>
          <w:b w:val="false"/>
          <w:bCs w:val="false"/>
          <w:i w:val="false"/>
          <w:iCs w:val="false"/>
        </w:rPr>
        <w:tab/>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rPr>
        <w:footnoteReference w:id="42"/>
      </w:r>
      <w:r>
        <w:rPr>
          <w:b w:val="false"/>
          <w:bCs w:val="false"/>
          <w:i w:val="false"/>
          <w:iCs w:val="false"/>
        </w:rPr>
        <w:t xml:space="preserve"> Indeed all of the houses at the rubber stations were built by the natives: </w:t>
      </w:r>
    </w:p>
    <w:p>
      <w:pPr>
        <w:pStyle w:val="Normal"/>
        <w:bidi w:val="0"/>
        <w:spacing w:lineRule="auto" w:line="480"/>
        <w:ind w:start="720"/>
        <w:jc w:val="start"/>
        <w:rPr>
          <w:rFonts w:ascii="Liberation Serif" w:hAnsi="Liberation Serif"/>
        </w:rPr>
      </w:pPr>
      <w:r>
        <w:rPr>
          <w:b w:val="false"/>
          <w:bCs w:val="false"/>
          <w:i w:val="false"/>
          <w:iCs w:val="false"/>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rPr>
        <w:footnoteReference w:id="43"/>
      </w:r>
    </w:p>
    <w:p>
      <w:pPr>
        <w:pStyle w:val="Normal"/>
        <w:bidi w:val="0"/>
        <w:spacing w:lineRule="auto" w:line="480"/>
        <w:ind w:start="0"/>
        <w:jc w:val="start"/>
        <w:rPr>
          <w:rFonts w:ascii="Liberation Serif" w:hAnsi="Liberation Serif"/>
        </w:rPr>
      </w:pPr>
      <w:r>
        <w:rPr>
          <w:b w:val="false"/>
          <w:bCs w:val="false"/>
          <w:i w:val="false"/>
          <w:iCs w:val="false"/>
        </w:rPr>
        <w:t xml:space="preserve">These houses were built on huge clearings of up to 200 acres, the clearing and planting of which also fell to the natives. </w:t>
      </w:r>
    </w:p>
    <w:p>
      <w:pPr>
        <w:pStyle w:val="Normal"/>
        <w:bidi w:val="0"/>
        <w:spacing w:lineRule="auto" w:line="480"/>
        <w:ind w:start="0"/>
        <w:jc w:val="start"/>
        <w:rPr>
          <w:rFonts w:ascii="Liberation Serif" w:hAnsi="Liberation Serif"/>
        </w:rPr>
      </w:pPr>
      <w:r>
        <w:rPr>
          <w:b w:val="false"/>
          <w:bCs w:val="false"/>
          <w:i w:val="false"/>
          <w:iCs w:val="false"/>
        </w:rPr>
        <w:tab/>
        <w:t>The Barbadians also contributed reproductive work to the maintenance of the company. A portion of the workers from Barbados were employed at an estate near Iquitos, and were there "engaged mainly in agricultural work."</w:t>
      </w:r>
      <w:r>
        <w:rPr>
          <w:rStyle w:val="FootnoteReference"/>
          <w:b w:val="false"/>
          <w:bCs w:val="false"/>
          <w:i w:val="false"/>
          <w:iCs w:val="false"/>
        </w:rPr>
        <w:footnoteReference w:id="44"/>
      </w:r>
      <w:r>
        <w:rPr>
          <w:b w:val="false"/>
          <w:bCs w:val="false"/>
          <w:i w:val="false"/>
          <w:iCs w:val="false"/>
        </w:rPr>
        <w:t xml:space="preserve"> However, only a minority of the Barbadians were so employed, and most were sent up the Putumayo to work at the rubber stations. In addition to their main jobs terrorizing the native workers, they also contributed extensively to the maintenance of the stations. Casement mentions that at one of the stations he visited, "most of the furniture in the houses had been made by various Barbados men who from time to time had served there."</w:t>
      </w:r>
      <w:r>
        <w:rPr>
          <w:rStyle w:val="FootnoteReference"/>
          <w:b w:val="false"/>
          <w:bCs w:val="false"/>
          <w:i w:val="false"/>
          <w:iCs w:val="false"/>
        </w:rPr>
        <w:footnoteReference w:id="45"/>
      </w:r>
      <w:r>
        <w:rPr>
          <w:b w:val="false"/>
          <w:bCs w:val="false"/>
          <w:i w:val="false"/>
          <w:iCs w:val="false"/>
        </w:rPr>
        <w:t xml:space="preserve"> Although they were sometimes paid for their carpentry, they often were not. In one case a particularly talented carpenter from Barbados, Edward Crichlow, was imprisoned in stocks that he himself had made. This same man was at one point sent to Iquitos to be tried for petty theft, and while in prison there he was able to work as a carpenter. He apparently made significantly more than while working in Putumayo and was able to pay his legal fees with the money he made in jail.</w:t>
      </w:r>
    </w:p>
    <w:p>
      <w:pPr>
        <w:pStyle w:val="Normal"/>
        <w:bidi w:val="0"/>
        <w:spacing w:lineRule="auto" w:line="480"/>
        <w:jc w:val="start"/>
        <w:rPr>
          <w:rFonts w:ascii="Liberation Serif" w:hAnsi="Liberation Serif"/>
        </w:rPr>
      </w:pPr>
      <w:r>
        <w:rPr>
          <w:b w:val="false"/>
          <w:bCs w:val="false"/>
          <w:i w:val="false"/>
          <w:iCs w:val="false"/>
        </w:rPr>
        <w:tab/>
        <w:t>As mentioned previously,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rPr>
        <w:footnoteReference w:id="46"/>
      </w:r>
      <w:r>
        <w:rPr>
          <w:b w:val="false"/>
          <w:bCs w:val="false"/>
          <w:i w:val="false"/>
          <w:iCs w:val="false"/>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rPr>
        <w:footnoteReference w:id="47"/>
      </w:r>
      <w:r>
        <w:rPr>
          <w:b w:val="false"/>
          <w:bCs w:val="false"/>
          <w:i w:val="false"/>
          <w:iCs w:val="false"/>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rPr>
        <w:footnoteReference w:id="48"/>
      </w:r>
      <w:r>
        <w:rPr>
          <w:b w:val="false"/>
          <w:bCs w:val="false"/>
          <w:i w:val="false"/>
          <w:iCs w:val="false"/>
        </w:rPr>
        <w:t xml:space="preserve"> </w:t>
      </w:r>
    </w:p>
    <w:p>
      <w:pPr>
        <w:pStyle w:val="Normal"/>
        <w:bidi w:val="0"/>
        <w:spacing w:lineRule="auto" w:line="480"/>
        <w:jc w:val="start"/>
        <w:rPr>
          <w:rFonts w:ascii="Liberation Serif" w:hAnsi="Liberation Serif"/>
        </w:rPr>
      </w:pPr>
      <w:r>
        <w:rPr>
          <w:b w:val="false"/>
          <w:bCs w:val="false"/>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jc w:val="start"/>
        <w:rPr>
          <w:rFonts w:ascii="Liberation Serif" w:hAnsi="Liberation Serif"/>
        </w:rPr>
      </w:pPr>
      <w:r>
        <w:rPr>
          <w:b w:val="false"/>
          <w:bCs w:val="false"/>
        </w:rPr>
        <w:tab/>
        <w:t>Whatever its immediate cause, the erosion of subsistence labor served a vital role in the reproduction of capitalism as a global system. The purchase and consumption of imported goods served the extension of the valorization of production in the Global North.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rPr>
        <w:footnoteReference w:id="49"/>
      </w:r>
      <w:r>
        <w:rPr>
          <w:b w:val="false"/>
          <w:bCs w:val="false"/>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rPr>
        <w:footnoteReference w:id="50"/>
      </w:r>
      <w:r>
        <w:rPr>
          <w:b w:val="false"/>
          <w:bCs w:val="false"/>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jc w:val="start"/>
        <w:rPr>
          <w:rFonts w:ascii="Liberation Serif" w:hAnsi="Liberation Serif"/>
        </w:rPr>
      </w:pPr>
      <w:r>
        <w:rPr>
          <w:b w:val="false"/>
          <w:bCs w:val="false"/>
        </w:rPr>
        <w:tab/>
        <w:t>The importation of tinned foodstuffs and other commodities into the Putumayo was a moment in the global reconfiguration of the dynamics of capital's reproduction.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rPr>
        <w:footnoteReference w:id="51"/>
      </w:r>
      <w:r>
        <w:rPr>
          <w:b w:val="false"/>
          <w:bCs w:val="false"/>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jc w:val="start"/>
        <w:rPr>
          <w:rFonts w:ascii="Liberation Serif" w:hAnsi="Liberation Serif"/>
        </w:rPr>
      </w:pPr>
      <w:r>
        <w:rPr>
          <w:b w:val="false"/>
          <w:bCs w:val="false"/>
        </w:rPr>
        <w:tab/>
        <w:t>During this period, the United States grew to be by far Peru's greatest trading partner.  In the 1890s, the US accounted for barely 10% of imports to Peru and most years that decade received a yet smaller proportion of its exports. By the mid 1910s, the US accounted for over 50% of Peru's trading, both imports and exports.</w:t>
      </w:r>
      <w:r>
        <w:rPr>
          <w:rStyle w:val="FootnoteReference"/>
          <w:b w:val="false"/>
          <w:bCs w:val="false"/>
        </w:rPr>
        <w:footnoteReference w:id="52"/>
      </w:r>
      <w:r>
        <w:rPr>
          <w:b w:val="false"/>
          <w:bCs w:val="false"/>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jc w:val="start"/>
        <w:rPr>
          <w:rFonts w:ascii="Liberation Serif" w:hAnsi="Liberation Serif"/>
        </w:rPr>
      </w:pPr>
      <w:r>
        <w:rPr>
          <w:b w:val="false"/>
          <w:bCs w:val="false"/>
        </w:rPr>
        <w:tab/>
        <w:t>Exemplary of this dynamic of Peru importing US consumer goods was the meat packing industry. Centered in Chicago, the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rPr>
        <w:footnoteReference w:id="53"/>
      </w:r>
      <w:r>
        <w:rPr>
          <w:b w:val="false"/>
          <w:bCs w:val="false"/>
        </w:rPr>
        <w:t xml:space="preserve"> This massive operation fed the meatpacking business, and in 1910 exports were in excess of $130 million.</w:t>
      </w:r>
      <w:r>
        <w:rPr>
          <w:rStyle w:val="FootnoteReference"/>
          <w:b w:val="false"/>
          <w:bCs w:val="false"/>
        </w:rPr>
        <w:footnoteReference w:id="54"/>
      </w:r>
      <w:r>
        <w:rPr>
          <w:b w:val="false"/>
          <w:bCs w:val="false"/>
        </w:rPr>
        <w:t xml:space="preserve"> Much of this was canned, salted, pickled or otherwise cured meat - precisely the goods sold at exorbitant prices to the Barbadian workers in the Putumayo.</w:t>
      </w:r>
    </w:p>
    <w:p>
      <w:pPr>
        <w:pStyle w:val="Normal"/>
        <w:bidi w:val="0"/>
        <w:spacing w:lineRule="auto" w:line="480"/>
        <w:jc w:val="start"/>
        <w:rPr>
          <w:rFonts w:ascii="Liberation Serif" w:hAnsi="Liberation Serif"/>
          <w:b w:val="false"/>
          <w:bCs w:val="false"/>
        </w:rPr>
      </w:pPr>
      <w:r>
        <w:rPr>
          <w:b w:val="false"/>
          <w:bCs w:val="false"/>
        </w:rPr>
      </w:r>
    </w:p>
    <w:p>
      <w:pPr>
        <w:pStyle w:val="Normal"/>
        <w:bidi w:val="0"/>
        <w:spacing w:lineRule="auto" w:line="480"/>
        <w:jc w:val="start"/>
        <w:rPr>
          <w:rFonts w:ascii="Liberation Serif" w:hAnsi="Liberation Serif"/>
        </w:rPr>
      </w:pPr>
      <w:r>
        <w:rPr>
          <w:b/>
          <w:bCs/>
        </w:rPr>
        <w:t>Conclusion</w:t>
      </w:r>
    </w:p>
    <w:p>
      <w:pPr>
        <w:pStyle w:val="Normal"/>
        <w:bidi w:val="0"/>
        <w:spacing w:lineRule="auto" w:line="480"/>
        <w:jc w:val="start"/>
        <w:rPr>
          <w:rFonts w:ascii="Liberation Serif" w:hAnsi="Liberation Serif"/>
        </w:rPr>
      </w:pPr>
      <w:r>
        <w:rPr>
          <w:b w:val="false"/>
          <w:bCs w:val="false"/>
        </w:rPr>
        <w:tab/>
        <w:t>By the time Casement had arrived in Peru, both the population of the indigenous residents of  the Putumayo and the rubber output of the region had fallen considerably: from about 50,000 inhabitants in 1906 to "not more than 8,000 in 1911," and from 645,000 kilograms of rubber to 236,000 in the same period. Despite this, Casements notes that the individuals exploiting the Putumayo seemed unconcerned: "The disappearance of the London company as an active factor restricts the necessities of profit finding to a narrower field. While it needed a heavy output of hundreds of tons of rubber in 1906 upon which to found an appeal to British investors or speculators in 1907 ... a diminished yield of only 200 tons will still maintain many families and individuals on the spot."</w:t>
      </w:r>
      <w:r>
        <w:rPr>
          <w:rStyle w:val="FootnoteReference"/>
          <w:b w:val="false"/>
          <w:bCs w:val="false"/>
        </w:rPr>
        <w:footnoteReference w:id="55"/>
      </w:r>
      <w:r>
        <w:rPr>
          <w:b w:val="false"/>
          <w:bCs w:val="false"/>
        </w:rPr>
        <w:t xml:space="preserve"> </w:t>
      </w:r>
    </w:p>
    <w:p>
      <w:pPr>
        <w:pStyle w:val="Normal"/>
        <w:bidi w:val="0"/>
        <w:spacing w:lineRule="auto" w:line="480"/>
        <w:jc w:val="start"/>
        <w:rPr>
          <w:rFonts w:ascii="Liberation Serif" w:hAnsi="Liberation Serif"/>
        </w:rPr>
      </w:pPr>
      <w:r>
        <w:rPr>
          <w:b w:val="false"/>
          <w:bCs w:val="false"/>
        </w:rPr>
        <w:tab/>
        <w:t>According to the correspondence included in Casement's consular report, by July of 1911 the Peruvian government had issued more than 200 arrest warrants for the perpetrators of the Putumayo genocide. However, "[m]any [had] escaped to Brazil. Only accessories remain[ed] in the territory."</w:t>
      </w:r>
      <w:r>
        <w:rPr>
          <w:rStyle w:val="FootnoteReference"/>
          <w:b w:val="false"/>
          <w:bCs w:val="false"/>
        </w:rPr>
        <w:footnoteReference w:id="56"/>
      </w:r>
      <w:r>
        <w:rPr>
          <w:b w:val="false"/>
          <w:bCs w:val="false"/>
        </w:rPr>
        <w:t xml:space="preserve"> Many of the warrants were voided by Peruvian courts or tied up in bureaucratic technicalities in an attempt to bury the matter.</w:t>
      </w:r>
      <w:r>
        <w:rPr>
          <w:rStyle w:val="FootnoteReference"/>
          <w:b w:val="false"/>
          <w:bCs w:val="false"/>
        </w:rPr>
        <w:footnoteReference w:id="57"/>
      </w:r>
      <w:r>
        <w:rPr>
          <w:b w:val="false"/>
          <w:bCs w:val="false"/>
        </w:rPr>
        <w:t xml:space="preserve"> In 1913 the Peruvian Amazon Company was dissolved, but Arana maintained his estates and continued exploiting their rubber and residents.</w:t>
      </w:r>
      <w:r>
        <w:rPr>
          <w:rStyle w:val="FootnoteReference"/>
          <w:b w:val="false"/>
          <w:bCs w:val="false"/>
        </w:rPr>
        <w:footnoteReference w:id="58"/>
      </w:r>
      <w:r>
        <w:rPr>
          <w:b w:val="false"/>
          <w:bCs w:val="false"/>
        </w:rPr>
        <w:t xml:space="preserve"> Over 6,000 inhabitants of the Putumayo - evidently most of the remaining residents, if Casement's numbers were correct - were forced to leave their home territory in the late 1920s by two of Arana's managers. Half of them died on the march.</w:t>
      </w:r>
      <w:r>
        <w:rPr>
          <w:rStyle w:val="FootnoteReference"/>
          <w:b w:val="false"/>
          <w:bCs w:val="false"/>
        </w:rPr>
        <w:footnoteReference w:id="59"/>
      </w:r>
      <w:r>
        <w:rPr>
          <w:b w:val="false"/>
          <w:bCs w:val="false"/>
        </w:rPr>
        <w:t xml:space="preserve"> In the 1920s Arana became a Peruvian senator. In 1927 the territorial conflict over the Putumayo was finally settled between Peru and Colombia in favor of Colombia. Arana resisted the treaty, but managed to ensure that he would be compensated for his property. A Colombian bank bought Arana's rights, but he died before receiving the full payment. In the 1980s, a Colombian bank paid his heirs $160,000.</w:t>
      </w:r>
      <w:r>
        <w:rPr>
          <w:rStyle w:val="FootnoteReference"/>
          <w:b w:val="false"/>
          <w:bCs w:val="false"/>
        </w:rPr>
        <w:footnoteReference w:id="60"/>
      </w:r>
      <w:r>
        <w:rPr>
          <w:b w:val="false"/>
          <w:bCs w:val="false"/>
        </w:rPr>
        <w:t xml:space="preserve"> Taussig approvingly cites Edmund Morel's claim that the intervention spearheaded by Casement was one of the "only two [occasions] in which British diplomacy rose above the commonplace" and helped bring an end to the genocide. I'm not so sure. The rubber genocide in the Putumayo did not end because of external pressure, but because Arana ran out of people to kill.</w:t>
      </w:r>
    </w:p>
    <w:p>
      <w:pPr>
        <w:pStyle w:val="Normal"/>
        <w:bidi w:val="0"/>
        <w:spacing w:lineRule="auto" w:line="480"/>
        <w:jc w:val="start"/>
        <w:rPr>
          <w:rFonts w:ascii="Liberation Serif" w:hAnsi="Liberation Serif"/>
        </w:rPr>
      </w:pPr>
      <w:r>
        <w:rPr>
          <w:b w:val="false"/>
          <w:bCs w:val="false"/>
        </w:rPr>
        <w:tab/>
        <w:t xml:space="preserve">The genocide cannot be reduced to its economic dimension. Taussig refers to market pressure as a 'trigger' - not the sole cause of the genocide, just its immediate context. But although the market may not have demanded the specific torture of the Huitoto people, it did demand a radical reconfiguration of life in the Putumayo. Meeting the market demand for rubber in previously unimagined quantities required a logic of extraction to be imposed on the land, and labor discipline to be imposed on the workers. New forms of social and capital reproduction developed in response to the rise of industry in the Global North - both its need for raw material inputs, and its need for an increased market for consumer goods. The structure of the global market made way for this reconfiguration to be borne out by especially bloodthirsty actors in the remote region of the Putumayo. </w: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440" w:right="1440" w:gutter="0" w:header="1440" w:top="1999" w:footer="1440" w:bottom="1999"/>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01T11:25:47Z" w:initials="">
    <w:p>
      <w:pPr>
        <w:overflowPunct w:val="true"/>
        <w:bidi w:val="0"/>
        <w:rPr/>
      </w:pPr>
      <w:r>
        <w:rPr>
          <w:rFonts w:eastAsia="DejaVu Sans" w:cs="Noto Sans Arabic"/>
          <w:kern w:val="0"/>
          <w:lang w:val="en-US" w:eastAsia="en-US" w:bidi="en-US"/>
        </w:rPr>
        <w:t>Cite this</w:t>
      </w:r>
    </w:p>
  </w:comment>
  <w:comment w:id="1" w:author="Unknown Author" w:date="2026-06-01T11:26:08Z" w:initials="">
    <w:p>
      <w:pPr>
        <w:overflowPunct w:val="true"/>
        <w:bidi w:val="0"/>
        <w:rPr/>
      </w:pPr>
      <w:r>
        <w:rPr>
          <w:rFonts w:eastAsia="DejaVu Sans" w:cs="Noto Sans Arabic"/>
          <w:kern w:val="0"/>
          <w:lang w:val="en-US" w:eastAsia="en-US" w:bidi="en-US"/>
        </w:rPr>
        <w:t>Cite this</w:t>
      </w:r>
    </w:p>
  </w:comment>
  <w:comment w:id="2" w:author="Unknown Author" w:date="2026-06-01T11:26:48Z" w:initials="">
    <w:p>
      <w:pPr>
        <w:overflowPunct w:val="true"/>
        <w:bidi w:val="0"/>
        <w:rPr/>
      </w:pPr>
      <w:r>
        <w:rPr>
          <w:rFonts w:eastAsia="DejaVu Sans" w:cs="Noto Sans Arabic"/>
          <w:kern w:val="0"/>
          <w:lang w:val="en-US" w:eastAsia="en-US" w:bidi="en-US"/>
        </w:rPr>
        <w:t>Who?</w:t>
      </w:r>
    </w:p>
  </w:comment>
  <w:comment w:id="3" w:author="Unknown Author" w:date="2026-06-02T11:24:26Z" w:initials="">
    <w:p>
      <w:pPr>
        <w:overflowPunct w:val="false"/>
        <w:rPr/>
      </w:pPr>
      <w:r>
        <w:rPr>
          <w:rFonts w:eastAsia="DejaVu Sans" w:cs="Noto Sans Arabic"/>
          <w:kern w:val="0"/>
          <w:lang w:val="en-US" w:eastAsia="en-US" w:bidi="en-US"/>
        </w:rPr>
        <w:t>cite</w:t>
      </w:r>
    </w:p>
  </w:comment>
  <w:comment w:id="4" w:author="Unknown Author" w:date="2026-06-01T11:44:29Z" w:initials="">
    <w:p>
      <w:pPr>
        <w:overflowPunct w:val="true"/>
        <w:bidi w:val="0"/>
        <w:rPr/>
      </w:pPr>
      <w:r>
        <w:rPr>
          <w:rFonts w:eastAsia="DejaVu Sans" w:cs="Noto Sans Arabic"/>
          <w:kern w:val="0"/>
          <w:lang w:val="en-US" w:eastAsia="en-US" w:bidi="en-US"/>
        </w:rPr>
        <w:t>Find some better way to draw this out of the source</w:t>
      </w:r>
    </w:p>
  </w:comment>
  <w:comment w:id="5" w:author="Unknown Author" w:date="2026-06-04T10:52:03Z" w:initials="">
    <w:p>
      <w:pPr>
        <w:rPr/>
      </w:pPr>
      <w:r>
        <w:rPr>
          <w:rFonts w:eastAsia="DejaVu Sans" w:cs="Noto Sans Arabic"/>
          <w:kern w:val="0"/>
          <w:lang w:val="en-US" w:eastAsia="en-US" w:bidi="en-US"/>
        </w:rPr>
        <w:t>Some citation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 w:name="PageNumWizard_FOOTER_Default_Page_Style1"/>
    <w:r>
      <w:rPr/>
      <w:fldChar w:fldCharType="begin"/>
    </w:r>
    <w:r>
      <w:rPr/>
      <w:instrText xml:space="preserve"> PAGE </w:instrText>
    </w:r>
    <w:r>
      <w:rPr/>
      <w:fldChar w:fldCharType="separate"/>
    </w:r>
    <w:r>
      <w:rPr/>
      <w:t>31</w:t>
    </w:r>
    <w:r>
      <w:rPr/>
      <w:fldChar w:fldCharType="end"/>
    </w:r>
    <w:bookmarkEnd w:id="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Default_Page_Style1"/>
    <w:r>
      <w:rPr/>
      <w:fldChar w:fldCharType="begin"/>
    </w:r>
    <w:r>
      <w:rPr/>
      <w:instrText xml:space="preserve"> PAGE </w:instrText>
    </w:r>
    <w:r>
      <w:rPr/>
      <w:fldChar w:fldCharType="separate"/>
    </w:r>
    <w:r>
      <w:rPr/>
      <w:t>31</w:t>
    </w:r>
    <w:r>
      <w:rPr/>
      <w:fldChar w:fldCharType="end"/>
    </w:r>
    <w:bookmarkEnd w:id="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https://www.thehenryford.org/visit/ford-rouge-factory-tour/history-and-timeline/fords-rouge/</w:t>
      </w:r>
    </w:p>
  </w:footnote>
  <w:footnote w:id="3">
    <w:p>
      <w:pPr>
        <w:pStyle w:val="FootnoteText"/>
        <w:bidi w:val="0"/>
        <w:jc w:val="start"/>
        <w:rPr/>
      </w:pPr>
      <w:r>
        <w:rPr>
          <w:rStyle w:val="FootnoteCharacters"/>
        </w:rPr>
        <w:footnoteRef/>
      </w:r>
      <w:r>
        <w:rPr/>
        <w:tab/>
        <w:t xml:space="preserve">W. E. Hardenburg, </w:t>
      </w:r>
      <w:r>
        <w:rPr>
          <w:i/>
        </w:rPr>
        <w:t>The Putumayo: The Devil’s Paradise</w:t>
      </w:r>
      <w:r>
        <w:rPr/>
        <w:t>, ed. C. R. Enock (T. Fisher Unwin, 1912), 94-5.</w:t>
      </w:r>
    </w:p>
  </w:footnote>
  <w:footnote w:id="4">
    <w:p>
      <w:pPr>
        <w:pStyle w:val="FootnoteText"/>
        <w:bidi w:val="0"/>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5">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6">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7">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8">
    <w:p>
      <w:pPr>
        <w:pStyle w:val="FootnoteText"/>
        <w:bidi w:val="0"/>
        <w:jc w:val="start"/>
        <w:rPr>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1.</w:t>
      </w:r>
    </w:p>
  </w:footnote>
  <w:footnote w:id="9">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10">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11">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12">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13">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14">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15">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16">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7">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8">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19">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20">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21">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 w:id="22">
    <w:p>
      <w:pPr>
        <w:pStyle w:val="FootnoteText"/>
        <w:bidi w:val="0"/>
        <w:jc w:val="start"/>
        <w:rPr/>
      </w:pPr>
      <w:r>
        <w:rPr>
          <w:rStyle w:val="FootnoteCharacters"/>
        </w:rPr>
        <w:footnoteRef/>
      </w:r>
      <w:r>
        <w:rPr/>
        <w:tab/>
        <w:t xml:space="preserve">Michael Taussig, “Culture of Terror--Space of Death. Roger Casement’s Putumayo Report and the Explanation of Torture,” </w:t>
      </w:r>
      <w:r>
        <w:rPr>
          <w:i/>
        </w:rPr>
        <w:t>Comparative Studies in Society and History</w:t>
      </w:r>
      <w:r>
        <w:rPr/>
        <w:t xml:space="preserve"> 26, no. 3 (1984), 479.</w:t>
      </w:r>
    </w:p>
  </w:footnote>
  <w:footnote w:id="23">
    <w:p>
      <w:pPr>
        <w:pStyle w:val="FootnoteText"/>
        <w:bidi w:val="0"/>
        <w:jc w:val="start"/>
        <w:rPr/>
      </w:pPr>
      <w:r>
        <w:rPr>
          <w:rStyle w:val="FootnoteCharacters"/>
        </w:rPr>
        <w:footnoteRef/>
      </w:r>
      <w:r>
        <w:rPr/>
        <w:tab/>
        <w:t>Taussig, “Culture of Terror,” 479.</w:t>
      </w:r>
    </w:p>
  </w:footnote>
  <w:footnote w:id="24">
    <w:p>
      <w:pPr>
        <w:pStyle w:val="FootnoteText"/>
        <w:rPr>
          <w:highlight w:val="none"/>
          <w:shd w:fill="FFFF00" w:val="clear"/>
        </w:rPr>
      </w:pPr>
      <w:r>
        <w:rPr>
          <w:rStyle w:val="FootnoteCharacters"/>
        </w:rPr>
        <w:footnoteRef/>
      </w:r>
      <w:r>
        <w:rPr>
          <w:shd w:fill="FFFF00" w:val="clear"/>
        </w:rPr>
        <w:tab/>
        <w:t>PAC Accounting 282</w:t>
      </w:r>
    </w:p>
  </w:footnote>
  <w:footnote w:id="25">
    <w:p>
      <w:pPr>
        <w:pStyle w:val="FootnoteText"/>
        <w:rPr>
          <w:highlight w:val="none"/>
          <w:shd w:fill="FFFF00" w:val="clear"/>
        </w:rPr>
      </w:pPr>
      <w:r>
        <w:rPr>
          <w:rStyle w:val="FootnoteCharacters"/>
        </w:rPr>
        <w:footnoteRef/>
      </w:r>
      <w:r>
        <w:rPr>
          <w:shd w:fill="FFFF00" w:val="clear"/>
        </w:rPr>
        <w:tab/>
        <w:t>PAC Accounting 295</w:t>
      </w:r>
    </w:p>
  </w:footnote>
  <w:footnote w:id="26">
    <w:p>
      <w:pPr>
        <w:pStyle w:val="FootnoteText"/>
        <w:rPr>
          <w:highlight w:val="none"/>
          <w:shd w:fill="FFFF00" w:val="clear"/>
        </w:rPr>
      </w:pPr>
      <w:r>
        <w:rPr>
          <w:rStyle w:val="FootnoteCharacters"/>
        </w:rPr>
        <w:footnoteRef/>
      </w:r>
      <w:r>
        <w:rPr>
          <w:shd w:fill="FFFF00" w:val="clear"/>
        </w:rPr>
        <w:tab/>
        <w:t>PAC Accounting 288</w:t>
      </w:r>
    </w:p>
  </w:footnote>
  <w:footnote w:id="27">
    <w:p>
      <w:pPr>
        <w:pStyle w:val="FootnoteText"/>
        <w:rPr>
          <w:highlight w:val="none"/>
          <w:shd w:fill="FFFF00" w:val="clear"/>
        </w:rPr>
      </w:pPr>
      <w:r>
        <w:rPr>
          <w:rStyle w:val="FootnoteCharacters"/>
        </w:rPr>
        <w:footnoteRef/>
      </w:r>
      <w:r>
        <w:rPr>
          <w:shd w:fill="FFFF00" w:val="clear"/>
        </w:rPr>
        <w:tab/>
        <w:t>PAC Accounting 289</w:t>
      </w:r>
    </w:p>
  </w:footnote>
  <w:footnote w:id="28">
    <w:p>
      <w:pPr>
        <w:pStyle w:val="FootnoteText"/>
        <w:rPr>
          <w:highlight w:val="none"/>
          <w:shd w:fill="FFFF00" w:val="clear"/>
        </w:rPr>
      </w:pPr>
      <w:r>
        <w:rPr>
          <w:rStyle w:val="FootnoteCharacters"/>
        </w:rPr>
        <w:footnoteRef/>
      </w:r>
      <w:r>
        <w:rPr>
          <w:shd w:fill="FFFF00" w:val="clear"/>
        </w:rPr>
        <w:tab/>
        <w:t>PAC Accounting 292</w:t>
      </w:r>
    </w:p>
  </w:footnote>
  <w:footnote w:id="29">
    <w:p>
      <w:pPr>
        <w:pStyle w:val="FootnoteText"/>
        <w:bidi w:val="0"/>
        <w:jc w:val="start"/>
        <w:rPr/>
      </w:pPr>
      <w:r>
        <w:rPr>
          <w:rStyle w:val="FootnoteCharacters"/>
        </w:rPr>
        <w:footnoteRef/>
      </w:r>
      <w:r>
        <w:rPr/>
        <w:tab/>
        <w:t>Taussig, “Culture of Terror,” 468.</w:t>
      </w:r>
    </w:p>
  </w:footnote>
  <w:footnote w:id="30">
    <w:p>
      <w:pPr>
        <w:pStyle w:val="FootnoteText"/>
        <w:bidi w:val="0"/>
        <w:jc w:val="start"/>
        <w:rPr/>
      </w:pPr>
      <w:r>
        <w:rPr>
          <w:rStyle w:val="FootnoteCharacters"/>
        </w:rPr>
        <w:footnoteRef/>
      </w:r>
      <w:r>
        <w:rPr/>
        <w:tab/>
        <w:t>Taussig, “Culture of Terror,” 468.</w:t>
      </w:r>
    </w:p>
  </w:footnote>
  <w:footnote w:id="31">
    <w:p>
      <w:pPr>
        <w:pStyle w:val="FootnoteText"/>
        <w:bidi w:val="0"/>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32">
    <w:p>
      <w:pPr>
        <w:pStyle w:val="FootnoteText"/>
        <w:suppressLineNumbers/>
        <w:bidi w:val="0"/>
        <w:ind w:hanging="340" w:start="340"/>
        <w:jc w:val="start"/>
        <w:rPr/>
      </w:pPr>
      <w:r>
        <w:rPr>
          <w:rStyle w:val="FootnoteCharacters"/>
        </w:rPr>
        <w:footnoteRef/>
      </w:r>
      <w:r>
        <w:rPr>
          <w:i/>
        </w:rPr>
        <w:tab/>
        <w:t>West Sussex Gazette,</w:t>
      </w:r>
      <w:r>
        <w:rPr/>
        <w:t xml:space="preserve"> 9th June 1949, accessed at http://www.enockfamilyhistory.co.uk/Charles_Reginald_Enock_-_1869-1970.htm</w:t>
      </w:r>
    </w:p>
  </w:footnote>
  <w:footnote w:id="33">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12.</w:t>
      </w:r>
    </w:p>
  </w:footnote>
  <w:footnote w:id="34">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12.</w:t>
      </w:r>
    </w:p>
  </w:footnote>
  <w:footnote w:id="35">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16.</w:t>
      </w:r>
    </w:p>
  </w:footnote>
  <w:footnote w:id="36">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37">
    <w:p>
      <w:pPr>
        <w:pStyle w:val="FootnoteText"/>
        <w:rPr/>
      </w:pPr>
      <w:r>
        <w:rPr>
          <w:rStyle w:val="FootnoteCharacters"/>
        </w:rPr>
        <w:footnoteRef/>
      </w:r>
      <w:r>
        <w:rPr/>
        <w:tab/>
        <w:t xml:space="preserve">Hardenburg, </w:t>
      </w:r>
      <w:r>
        <w:rPr>
          <w:i/>
          <w:iCs/>
        </w:rPr>
        <w:t>The Devil's Paradise</w:t>
      </w:r>
      <w:r>
        <w:rPr>
          <w:i w:val="false"/>
          <w:iCs w:val="false"/>
        </w:rPr>
        <w:t>, 37.</w:t>
      </w:r>
    </w:p>
  </w:footnote>
  <w:footnote w:id="38">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39">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134.</w:t>
      </w:r>
    </w:p>
  </w:footnote>
  <w:footnote w:id="40">
    <w:p>
      <w:pPr>
        <w:pStyle w:val="FootnoteTex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41">
    <w:p>
      <w:pPr>
        <w:pStyle w:val="FootnoteTex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42">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43">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44">
    <w:p>
      <w:pPr>
        <w:pStyle w:val="FootnoteText"/>
        <w:rPr/>
      </w:pPr>
      <w:r>
        <w:rPr>
          <w:rStyle w:val="FootnoteCharacters"/>
        </w:rPr>
        <w:footnoteRef/>
      </w:r>
      <w:r>
        <w:rPr>
          <w:shd w:fill="auto" w:val="clear"/>
        </w:rPr>
        <w:tab/>
        <w:t xml:space="preserve">Casement, </w:t>
      </w:r>
      <w:r>
        <w:rPr>
          <w:i/>
          <w:shd w:fill="auto" w:val="clear"/>
        </w:rPr>
        <w:t xml:space="preserve">Correspondence, </w:t>
      </w:r>
      <w:r>
        <w:rPr/>
        <w:t>8.</w:t>
      </w:r>
    </w:p>
  </w:footnote>
  <w:footnote w:id="45">
    <w:p>
      <w:pPr>
        <w:pStyle w:val="FootnoteText"/>
        <w:rPr>
          <w:shd w:fill="FFFF00" w:val="clear"/>
        </w:rPr>
      </w:pPr>
      <w:r>
        <w:rPr>
          <w:rStyle w:val="FootnoteCharacters"/>
        </w:rPr>
        <w:footnoteRef/>
      </w:r>
      <w:r>
        <w:rPr>
          <w:shd w:fill="auto" w:val="clear"/>
        </w:rPr>
        <w:tab/>
        <w:t xml:space="preserve">Casement, </w:t>
      </w:r>
      <w:r>
        <w:rPr>
          <w:i/>
          <w:shd w:fill="auto" w:val="clear"/>
        </w:rPr>
        <w:t xml:space="preserve">Correspondence, </w:t>
      </w:r>
      <w:r>
        <w:rPr>
          <w:shd w:fill="FFFF00" w:val="clear"/>
        </w:rPr>
        <w:t>18.</w:t>
      </w:r>
    </w:p>
  </w:footnote>
  <w:footnote w:id="46">
    <w:p>
      <w:pPr>
        <w:pStyle w:val="FootnoteTex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FFFF00" w:val="clear"/>
        </w:rPr>
        <w:t>8.</w:t>
      </w:r>
    </w:p>
  </w:footnote>
  <w:footnote w:id="47">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48">
    <w:p>
      <w:pPr>
        <w:pStyle w:val="FootnoteText"/>
        <w:rPr/>
      </w:pPr>
      <w:r>
        <w:rPr>
          <w:rStyle w:val="FootnoteCharacters"/>
        </w:rPr>
        <w:footnoteRef/>
      </w:r>
      <w:r>
        <w:rPr>
          <w:shd w:fill="auto" w:val="clear"/>
        </w:rPr>
        <w:tab/>
        <w:t xml:space="preserve">Casement, </w:t>
      </w:r>
      <w:r>
        <w:rPr>
          <w:i/>
          <w:shd w:fill="auto" w:val="clear"/>
        </w:rPr>
        <w:t xml:space="preserve">Correspondence, </w:t>
      </w:r>
      <w:r>
        <w:rPr/>
        <w:t>22.</w:t>
      </w:r>
    </w:p>
  </w:footnote>
  <w:footnote w:id="49">
    <w:p>
      <w:pPr>
        <w:pStyle w:val="FootnoteTex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50">
    <w:p>
      <w:pPr>
        <w:pStyle w:val="FootnoteText"/>
        <w:rPr/>
      </w:pPr>
      <w:r>
        <w:rPr>
          <w:rStyle w:val="FootnoteCharacters"/>
        </w:rPr>
        <w:footnoteRef/>
      </w:r>
      <w:r>
        <w:rPr/>
        <w:tab/>
        <w:t xml:space="preserve">Marx, </w:t>
      </w:r>
      <w:r>
        <w:rPr>
          <w:i/>
        </w:rPr>
        <w:t>Capital</w:t>
      </w:r>
      <w:r>
        <w:rPr/>
        <w:t>, vol. 1, 911.</w:t>
      </w:r>
    </w:p>
  </w:footnote>
  <w:footnote w:id="51">
    <w:p>
      <w:pPr>
        <w:pStyle w:val="FootnoteText"/>
        <w:rPr/>
      </w:pPr>
      <w:r>
        <w:rPr>
          <w:rStyle w:val="FootnoteCharacters"/>
        </w:rPr>
        <w:footnoteRef/>
      </w:r>
      <w:r>
        <w:rPr/>
        <w:tab/>
        <w:t>Geoff Bertram, “End-Use Classification of Peruvian Imports, 1891-1972,” St Antonys College Oxford, 1977.</w:t>
      </w:r>
    </w:p>
  </w:footnote>
  <w:footnote w:id="52">
    <w:p>
      <w:pPr>
        <w:pStyle w:val="FootnoteTex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53">
    <w:p>
      <w:pPr>
        <w:pStyle w:val="FootnoteTex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54">
    <w:p>
      <w:pPr>
        <w:pStyle w:val="FootnoteTex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55">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157.</w:t>
      </w:r>
    </w:p>
  </w:footnote>
  <w:footnote w:id="56">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147.</w:t>
      </w:r>
    </w:p>
  </w:footnote>
  <w:footnote w:id="57">
    <w:p>
      <w:pPr>
        <w:pStyle w:val="FootnoteText"/>
        <w:rPr/>
      </w:pPr>
      <w:r>
        <w:rPr>
          <w:rStyle w:val="FootnoteCharacters"/>
        </w:rPr>
        <w:footnoteRef/>
      </w:r>
      <w:r>
        <w:rPr/>
        <w:tab/>
        <w:t xml:space="preserve">Pilar Jordán, “A Propósito de Redes Sociales, Económicas y Políticas En La Iquitos de Inicios Del Siglo XX,” </w:t>
      </w:r>
      <w:r>
        <w:rPr>
          <w:i/>
        </w:rPr>
        <w:t>Boletín Americanista, ISSN 0520-4100, N</w:t>
      </w:r>
      <w:r>
        <w:rPr>
          <w:i/>
          <w:position w:val="7"/>
          <w:sz w:val="16"/>
        </w:rPr>
        <w:t>o</w:t>
      </w:r>
      <w:r>
        <w:rPr>
          <w:i/>
        </w:rPr>
        <w:t>. 56, 2006, Pags. 103-118</w:t>
      </w:r>
      <w:r>
        <w:rPr/>
        <w:t>, January 2006, 112.</w:t>
      </w:r>
    </w:p>
  </w:footnote>
  <w:footnote w:id="58">
    <w:p>
      <w:pPr>
        <w:pStyle w:val="FootnoteText"/>
        <w:rPr/>
      </w:pPr>
      <w:r>
        <w:rPr>
          <w:rStyle w:val="FootnoteCharacters"/>
        </w:rPr>
        <w:footnoteRef/>
      </w:r>
      <w:r>
        <w:rPr/>
        <w:tab/>
        <w:t xml:space="preserve">J. Goodman, </w:t>
      </w:r>
      <w:r>
        <w:rPr>
          <w:i/>
        </w:rPr>
        <w:t>The Devil and Mr. Casement: One Man’s Battle for Human Rights in South America’s Heart of Darkness</w:t>
      </w:r>
      <w:r>
        <w:rPr/>
        <w:t xml:space="preserve"> (Farrar, Straus and Giroux, 2010), 239.</w:t>
      </w:r>
    </w:p>
  </w:footnote>
  <w:footnote w:id="59">
    <w:p>
      <w:pPr>
        <w:pStyle w:val="FootnoteText"/>
        <w:rPr/>
      </w:pPr>
      <w:r>
        <w:rPr>
          <w:rStyle w:val="FootnoteCharacters"/>
        </w:rPr>
        <w:footnoteRef/>
      </w:r>
      <w:r>
        <w:rPr/>
        <w:tab/>
        <w:t xml:space="preserve">J.V.S. Román et al., </w:t>
      </w:r>
      <w:r>
        <w:rPr>
          <w:i/>
        </w:rPr>
        <w:t>Perfiles Históricos de La Amazonía Peruana</w:t>
      </w:r>
      <w:r>
        <w:rPr/>
        <w:t xml:space="preserve"> (Centro de Estudios Teológicos de la Amazonía, 1994), 192-3.</w:t>
      </w:r>
    </w:p>
  </w:footnote>
  <w:footnote w:id="60">
    <w:p>
      <w:pPr>
        <w:pStyle w:val="FootnoteText"/>
        <w:rPr/>
      </w:pPr>
      <w:r>
        <w:rPr>
          <w:rStyle w:val="FootnoteCharacters"/>
        </w:rPr>
        <w:footnoteRef/>
      </w:r>
      <w:r>
        <w:rPr/>
        <w:tab/>
        <w:t>Echeverri, “The Putumayo Indians and the Rubber Boom,” 17.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bookmarkStart w:id="0" w:name="PageNumWizard_HEADER_Default_Page_Style5"/>
    <w:bookmarkStart w:id="1" w:name="PageNumWizard_HEADER_Default_Page_Style5"/>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bookmarkStart w:id="2" w:name="PageNumWizard_HEADER_Default_Page_Style5"/>
    <w:bookmarkStart w:id="3" w:name="PageNumWizard_HEADER_Default_Page_Style5"/>
    <w:bookmarkEnd w:id="3"/>
  </w:p>
</w:hdr>
</file>

<file path=word/settings.xml><?xml version="1.0" encoding="utf-8"?>
<w:settings xmlns:w="http://schemas.openxmlformats.org/wordprocessingml/2006/main">
  <w:zoom w:percent="65"/>
  <w:defaultTabStop w:val="709"/>
  <w:autoHyphenation w:val="true"/>
  <w:footnotePr>
    <w:numFmt w:val="decimal"/>
    <w:footnote w:id="0"/>
    <w:footnote w:id="1"/>
  </w:footnotePr>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lear" w:pos="4986"/>
        <w:tab w:val="clear" w:pos="9972"/>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comments" Target="comment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1257</TotalTime>
  <Application>LibreOffice/24.2.7.2$Linux_X86_64 LibreOffice_project/420$Build-2</Application>
  <AppVersion>15.0000</AppVersion>
  <Pages>31</Pages>
  <Words>9124</Words>
  <Characters>47047</Characters>
  <CharactersWithSpaces>56126</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2025-10-10T13:35:02Z</dcterms:created>
  <dc:creator/>
  <dc:description/>
  <dc:language>en-US</dc:language>
  <cp:lastModifiedBy/>
  <cp:lastPrinted>2026-05-27T11:14:31Z</cp:lastPrinted>
  <dcterms:modified xsi:type="dcterms:W3CDTF">2026-06-04T11:30:21Z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