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4E20" w14:textId="4EF24CAE" w:rsidR="00632F46" w:rsidRPr="00834D69" w:rsidRDefault="00B157D8" w:rsidP="006701F8">
      <w:pPr>
        <w:spacing w:before="240" w:after="240" w:line="480" w:lineRule="auto"/>
        <w:jc w:val="center"/>
        <w:rPr>
          <w:rFonts w:asciiTheme="majorBidi" w:hAnsiTheme="majorBidi" w:cstheme="majorBidi"/>
          <w:b/>
          <w:bCs/>
          <w:sz w:val="24"/>
          <w:szCs w:val="24"/>
        </w:rPr>
      </w:pPr>
      <w:r w:rsidRPr="00834D69">
        <w:rPr>
          <w:rFonts w:asciiTheme="majorBidi" w:hAnsiTheme="majorBidi" w:cstheme="majorBidi"/>
          <w:b/>
          <w:bCs/>
          <w:sz w:val="24"/>
          <w:szCs w:val="24"/>
        </w:rPr>
        <w:t xml:space="preserve">Chapter 2: Money, </w:t>
      </w:r>
      <w:proofErr w:type="spellStart"/>
      <w:r w:rsidRPr="00834D69">
        <w:rPr>
          <w:rFonts w:asciiTheme="majorBidi" w:hAnsiTheme="majorBidi" w:cstheme="majorBidi"/>
          <w:b/>
          <w:bCs/>
          <w:sz w:val="24"/>
          <w:szCs w:val="24"/>
        </w:rPr>
        <w:t>Extractivism</w:t>
      </w:r>
      <w:proofErr w:type="spellEnd"/>
      <w:r w:rsidRPr="00834D69">
        <w:rPr>
          <w:rFonts w:asciiTheme="majorBidi" w:hAnsiTheme="majorBidi" w:cstheme="majorBidi"/>
          <w:b/>
          <w:bCs/>
          <w:sz w:val="24"/>
          <w:szCs w:val="24"/>
        </w:rPr>
        <w:t xml:space="preserve"> and Rural Labor in Bardizag: Charcoal Production</w:t>
      </w:r>
      <w:r w:rsidR="002F123B" w:rsidRPr="00834D69">
        <w:rPr>
          <w:rFonts w:asciiTheme="majorBidi" w:hAnsiTheme="majorBidi" w:cstheme="majorBidi"/>
          <w:b/>
          <w:bCs/>
          <w:sz w:val="24"/>
          <w:szCs w:val="24"/>
        </w:rPr>
        <w:t xml:space="preserve">, </w:t>
      </w:r>
      <w:r w:rsidR="002F123B" w:rsidRPr="00834D69">
        <w:rPr>
          <w:rFonts w:asciiTheme="majorBidi" w:hAnsiTheme="majorBidi" w:cstheme="majorBidi"/>
          <w:b/>
          <w:bCs/>
          <w:i/>
          <w:iCs/>
          <w:sz w:val="24"/>
          <w:szCs w:val="24"/>
        </w:rPr>
        <w:t>Amira</w:t>
      </w:r>
      <w:r w:rsidR="002F123B" w:rsidRPr="00834D69">
        <w:rPr>
          <w:rFonts w:asciiTheme="majorBidi" w:hAnsiTheme="majorBidi" w:cstheme="majorBidi"/>
          <w:b/>
          <w:bCs/>
          <w:sz w:val="24"/>
          <w:szCs w:val="24"/>
        </w:rPr>
        <w:t>s</w:t>
      </w:r>
      <w:r w:rsidRPr="00834D69">
        <w:rPr>
          <w:rFonts w:asciiTheme="majorBidi" w:hAnsiTheme="majorBidi" w:cstheme="majorBidi"/>
          <w:b/>
          <w:bCs/>
          <w:sz w:val="24"/>
          <w:szCs w:val="24"/>
        </w:rPr>
        <w:t xml:space="preserve"> and the Armenian Peasantry (16</w:t>
      </w:r>
      <w:r w:rsidR="00632F46" w:rsidRPr="00834D69">
        <w:rPr>
          <w:rFonts w:asciiTheme="majorBidi" w:hAnsiTheme="majorBidi" w:cstheme="majorBidi"/>
          <w:b/>
          <w:bCs/>
          <w:sz w:val="24"/>
          <w:szCs w:val="24"/>
        </w:rPr>
        <w:t>40s-18</w:t>
      </w:r>
      <w:r w:rsidR="00AC0E11" w:rsidRPr="00834D69">
        <w:rPr>
          <w:rFonts w:asciiTheme="majorBidi" w:hAnsiTheme="majorBidi" w:cstheme="majorBidi"/>
          <w:b/>
          <w:bCs/>
          <w:sz w:val="24"/>
          <w:szCs w:val="24"/>
        </w:rPr>
        <w:t>3</w:t>
      </w:r>
      <w:r w:rsidR="00632F46" w:rsidRPr="00834D69">
        <w:rPr>
          <w:rFonts w:asciiTheme="majorBidi" w:hAnsiTheme="majorBidi" w:cstheme="majorBidi"/>
          <w:b/>
          <w:bCs/>
          <w:sz w:val="24"/>
          <w:szCs w:val="24"/>
        </w:rPr>
        <w:t>0s)</w:t>
      </w:r>
    </w:p>
    <w:p w14:paraId="1E8207D1" w14:textId="68411559" w:rsidR="00DC649A" w:rsidRPr="00834D69" w:rsidRDefault="00DC649A" w:rsidP="00635435">
      <w:pPr>
        <w:pStyle w:val="NormalWeb"/>
        <w:spacing w:line="480" w:lineRule="auto"/>
        <w:jc w:val="both"/>
        <w:rPr>
          <w:rFonts w:asciiTheme="majorBidi" w:hAnsiTheme="majorBidi" w:cstheme="majorBidi"/>
        </w:rPr>
      </w:pPr>
      <w:r w:rsidRPr="00834D69">
        <w:rPr>
          <w:rStyle w:val="Strong"/>
          <w:rFonts w:asciiTheme="majorBidi" w:hAnsiTheme="majorBidi" w:cstheme="majorBidi"/>
          <w:b w:val="0"/>
          <w:bCs w:val="0"/>
        </w:rPr>
        <w:t xml:space="preserve">In 1831, in İzmit, a group of Armenian villagers drafted a petition they could not ignore. </w:t>
      </w:r>
      <w:r w:rsidR="003118CC" w:rsidRPr="00834D69">
        <w:rPr>
          <w:rFonts w:asciiTheme="majorBidi" w:hAnsiTheme="majorBidi" w:cstheme="majorBidi"/>
        </w:rPr>
        <w:t xml:space="preserve">For generations, their fathers and grandfathers had climbed into the forests of </w:t>
      </w:r>
      <w:proofErr w:type="spellStart"/>
      <w:r w:rsidR="000D72A9" w:rsidRPr="00834D69">
        <w:rPr>
          <w:rFonts w:asciiTheme="majorBidi" w:hAnsiTheme="majorBidi" w:cstheme="majorBidi"/>
        </w:rPr>
        <w:t>Bahçecik</w:t>
      </w:r>
      <w:proofErr w:type="spellEnd"/>
      <w:r w:rsidR="003118CC" w:rsidRPr="00834D69">
        <w:rPr>
          <w:rFonts w:asciiTheme="majorBidi" w:hAnsiTheme="majorBidi" w:cstheme="majorBidi"/>
        </w:rPr>
        <w:t xml:space="preserve"> and Yuvacik, swung their axes, and fed the charcoal </w:t>
      </w:r>
      <w:r w:rsidR="00635435" w:rsidRPr="00834D69">
        <w:rPr>
          <w:rFonts w:asciiTheme="majorBidi" w:hAnsiTheme="majorBidi" w:cstheme="majorBidi"/>
        </w:rPr>
        <w:t>kil</w:t>
      </w:r>
      <w:r w:rsidR="003118CC" w:rsidRPr="00834D69">
        <w:rPr>
          <w:rFonts w:asciiTheme="majorBidi" w:hAnsiTheme="majorBidi" w:cstheme="majorBidi"/>
        </w:rPr>
        <w:t>ns that kept the Ottoman Empire</w:t>
      </w:r>
      <w:r w:rsidR="000D72A9" w:rsidRPr="00834D69">
        <w:rPr>
          <w:rFonts w:asciiTheme="majorBidi" w:hAnsiTheme="majorBidi" w:cstheme="majorBidi"/>
        </w:rPr>
        <w:t>’</w:t>
      </w:r>
      <w:r w:rsidR="003118CC" w:rsidRPr="00834D69">
        <w:rPr>
          <w:rFonts w:asciiTheme="majorBidi" w:hAnsiTheme="majorBidi" w:cstheme="majorBidi"/>
        </w:rPr>
        <w:t xml:space="preserve">s mint alive. The Ottoman state had promised them something in return; exemption from the crushing weight of extraordinary taxes; the </w:t>
      </w:r>
      <w:r w:rsidR="003118CC" w:rsidRPr="00834D69">
        <w:rPr>
          <w:rFonts w:asciiTheme="majorBidi" w:hAnsiTheme="majorBidi" w:cstheme="majorBidi"/>
          <w:i/>
          <w:iCs/>
        </w:rPr>
        <w:t xml:space="preserve">tekalif-i </w:t>
      </w:r>
      <w:proofErr w:type="spellStart"/>
      <w:r w:rsidR="003118CC" w:rsidRPr="00834D69">
        <w:rPr>
          <w:rFonts w:asciiTheme="majorBidi" w:hAnsiTheme="majorBidi" w:cstheme="majorBidi"/>
          <w:i/>
          <w:iCs/>
        </w:rPr>
        <w:t>orfiye</w:t>
      </w:r>
      <w:proofErr w:type="spellEnd"/>
      <w:r w:rsidR="003118CC" w:rsidRPr="00834D69">
        <w:rPr>
          <w:rFonts w:asciiTheme="majorBidi" w:hAnsiTheme="majorBidi" w:cstheme="majorBidi"/>
        </w:rPr>
        <w:t xml:space="preserve">, a deal struck long ago and sealed with an imperial rescript, a </w:t>
      </w:r>
      <w:r w:rsidR="003118CC" w:rsidRPr="00834D69">
        <w:rPr>
          <w:rFonts w:asciiTheme="majorBidi" w:hAnsiTheme="majorBidi" w:cstheme="majorBidi"/>
          <w:i/>
          <w:iCs/>
        </w:rPr>
        <w:t>hatt-i humayun</w:t>
      </w:r>
      <w:r w:rsidR="003118CC" w:rsidRPr="00834D69">
        <w:rPr>
          <w:rFonts w:asciiTheme="majorBidi" w:hAnsiTheme="majorBidi" w:cstheme="majorBidi"/>
        </w:rPr>
        <w:t xml:space="preserve">. Their only recognized fiscal obligation was the </w:t>
      </w:r>
      <w:r w:rsidR="003118CC" w:rsidRPr="00834D69">
        <w:rPr>
          <w:rFonts w:asciiTheme="majorBidi" w:hAnsiTheme="majorBidi" w:cstheme="majorBidi"/>
          <w:i/>
          <w:iCs/>
        </w:rPr>
        <w:t>cizye</w:t>
      </w:r>
      <w:r w:rsidR="003118CC" w:rsidRPr="00834D69">
        <w:rPr>
          <w:rFonts w:asciiTheme="majorBidi" w:hAnsiTheme="majorBidi" w:cstheme="majorBidi"/>
        </w:rPr>
        <w:t xml:space="preserve">, the poll tax that marked them, like all non-Muslim subjects, as tolerated outsiders in the empire they helped sustain. </w:t>
      </w:r>
      <w:r w:rsidRPr="00834D69">
        <w:rPr>
          <w:rStyle w:val="Strong"/>
          <w:rFonts w:asciiTheme="majorBidi" w:hAnsiTheme="majorBidi" w:cstheme="majorBidi"/>
          <w:b w:val="0"/>
          <w:bCs w:val="0"/>
        </w:rPr>
        <w:t>By 1831, however, these obligations had expanded beyond their original terms.</w:t>
      </w:r>
    </w:p>
    <w:p w14:paraId="3AA150C9" w14:textId="74B3A3A0" w:rsidR="000D72A9" w:rsidRPr="00834D69" w:rsidRDefault="00DC649A" w:rsidP="008A4567">
      <w:pPr>
        <w:pStyle w:val="NormalWeb"/>
        <w:spacing w:line="480" w:lineRule="auto"/>
        <w:jc w:val="both"/>
        <w:rPr>
          <w:rFonts w:asciiTheme="majorBidi" w:hAnsiTheme="majorBidi" w:cstheme="majorBidi"/>
        </w:rPr>
      </w:pPr>
      <w:r w:rsidRPr="00834D69">
        <w:rPr>
          <w:rFonts w:asciiTheme="majorBidi" w:hAnsiTheme="majorBidi" w:cstheme="majorBidi"/>
        </w:rPr>
        <w:t>According to the petition, villagers were now required to supply charcoal not only to the</w:t>
      </w:r>
      <w:r w:rsidRPr="00834D69">
        <w:rPr>
          <w:rStyle w:val="Strong"/>
          <w:rFonts w:asciiTheme="majorBidi" w:hAnsiTheme="majorBidi" w:cstheme="majorBidi"/>
          <w:b w:val="0"/>
          <w:bCs w:val="0"/>
        </w:rPr>
        <w:t xml:space="preserve"> Mint (</w:t>
      </w:r>
      <w:proofErr w:type="spellStart"/>
      <w:r w:rsidRPr="00834D69">
        <w:rPr>
          <w:rStyle w:val="Strong"/>
          <w:rFonts w:asciiTheme="majorBidi" w:hAnsiTheme="majorBidi" w:cstheme="majorBidi"/>
          <w:b w:val="0"/>
          <w:bCs w:val="0"/>
          <w:i/>
          <w:iCs/>
        </w:rPr>
        <w:t>Darbhâne-i</w:t>
      </w:r>
      <w:proofErr w:type="spellEnd"/>
      <w:r w:rsidRPr="00834D69">
        <w:rPr>
          <w:rStyle w:val="Strong"/>
          <w:rFonts w:asciiTheme="majorBidi" w:hAnsiTheme="majorBidi" w:cstheme="majorBidi"/>
          <w:b w:val="0"/>
          <w:bCs w:val="0"/>
          <w:i/>
          <w:iCs/>
        </w:rPr>
        <w:t xml:space="preserve"> </w:t>
      </w:r>
      <w:proofErr w:type="spellStart"/>
      <w:r w:rsidRPr="00834D69">
        <w:rPr>
          <w:rStyle w:val="Strong"/>
          <w:rFonts w:asciiTheme="majorBidi" w:hAnsiTheme="majorBidi" w:cstheme="majorBidi"/>
          <w:b w:val="0"/>
          <w:bCs w:val="0"/>
          <w:i/>
          <w:iCs/>
        </w:rPr>
        <w:t>Âmire</w:t>
      </w:r>
      <w:proofErr w:type="spellEnd"/>
      <w:r w:rsidRPr="00834D69">
        <w:rPr>
          <w:rStyle w:val="Strong"/>
          <w:rFonts w:asciiTheme="majorBidi" w:hAnsiTheme="majorBidi" w:cstheme="majorBidi"/>
          <w:b w:val="0"/>
          <w:bCs w:val="0"/>
        </w:rPr>
        <w:t>)</w:t>
      </w:r>
      <w:r w:rsidRPr="00834D69">
        <w:rPr>
          <w:rStyle w:val="apple-converted-space"/>
          <w:rFonts w:asciiTheme="majorBidi" w:hAnsiTheme="majorBidi" w:cstheme="majorBidi"/>
        </w:rPr>
        <w:t> </w:t>
      </w:r>
      <w:r w:rsidRPr="00834D69">
        <w:rPr>
          <w:rFonts w:asciiTheme="majorBidi" w:hAnsiTheme="majorBidi" w:cstheme="majorBidi"/>
        </w:rPr>
        <w:t>but also to the</w:t>
      </w:r>
      <w:r w:rsidRPr="00834D69">
        <w:rPr>
          <w:rStyle w:val="apple-converted-space"/>
          <w:rFonts w:asciiTheme="majorBidi" w:hAnsiTheme="majorBidi" w:cstheme="majorBidi"/>
        </w:rPr>
        <w:t> </w:t>
      </w:r>
      <w:r w:rsidRPr="00834D69">
        <w:rPr>
          <w:rStyle w:val="Strong"/>
          <w:rFonts w:asciiTheme="majorBidi" w:hAnsiTheme="majorBidi" w:cstheme="majorBidi"/>
          <w:b w:val="0"/>
          <w:bCs w:val="0"/>
        </w:rPr>
        <w:t>Imperial Bombardiers’ Corps (</w:t>
      </w:r>
      <w:r w:rsidRPr="00834D69">
        <w:rPr>
          <w:rStyle w:val="Strong"/>
          <w:rFonts w:asciiTheme="majorBidi" w:hAnsiTheme="majorBidi" w:cstheme="majorBidi"/>
          <w:b w:val="0"/>
          <w:bCs w:val="0"/>
          <w:i/>
          <w:iCs/>
        </w:rPr>
        <w:t>Humbarahane</w:t>
      </w:r>
      <w:r w:rsidRPr="00834D69">
        <w:rPr>
          <w:rStyle w:val="Strong"/>
          <w:rFonts w:asciiTheme="majorBidi" w:hAnsiTheme="majorBidi" w:cstheme="majorBidi"/>
          <w:b w:val="0"/>
          <w:bCs w:val="0"/>
        </w:rPr>
        <w:t>)</w:t>
      </w:r>
      <w:r w:rsidR="000D72A9" w:rsidRPr="00834D69">
        <w:rPr>
          <w:rFonts w:asciiTheme="majorBidi" w:hAnsiTheme="majorBidi" w:cstheme="majorBidi"/>
          <w:b/>
          <w:bCs/>
        </w:rPr>
        <w:t xml:space="preserve"> </w:t>
      </w:r>
      <w:r w:rsidRPr="00834D69">
        <w:rPr>
          <w:rFonts w:asciiTheme="majorBidi" w:hAnsiTheme="majorBidi" w:cstheme="majorBidi"/>
        </w:rPr>
        <w:t>within the same time frame.</w:t>
      </w:r>
      <w:r w:rsidR="000D72A9" w:rsidRPr="00834D69">
        <w:rPr>
          <w:rStyle w:val="FootnoteReference"/>
          <w:rFonts w:asciiTheme="majorBidi" w:hAnsiTheme="majorBidi" w:cstheme="majorBidi"/>
        </w:rPr>
        <w:t xml:space="preserve"> </w:t>
      </w:r>
      <w:r w:rsidR="000D72A9" w:rsidRPr="00834D69">
        <w:rPr>
          <w:rStyle w:val="FootnoteReference"/>
          <w:rFonts w:asciiTheme="majorBidi" w:hAnsiTheme="majorBidi" w:cstheme="majorBidi"/>
        </w:rPr>
        <w:footnoteReference w:id="1"/>
      </w:r>
      <w:r w:rsidR="000D72A9" w:rsidRPr="00834D69">
        <w:rPr>
          <w:rFonts w:asciiTheme="majorBidi" w:hAnsiTheme="majorBidi" w:cstheme="majorBidi"/>
        </w:rPr>
        <w:t xml:space="preserve"> </w:t>
      </w:r>
      <w:r w:rsidRPr="00834D69">
        <w:rPr>
          <w:rFonts w:asciiTheme="majorBidi" w:hAnsiTheme="majorBidi" w:cstheme="majorBidi"/>
        </w:rPr>
        <w:t>The petitioners</w:t>
      </w:r>
      <w:r w:rsidR="000D72A9" w:rsidRPr="00834D69">
        <w:rPr>
          <w:rFonts w:asciiTheme="majorBidi" w:hAnsiTheme="majorBidi" w:cstheme="majorBidi"/>
        </w:rPr>
        <w:t xml:space="preserve">; </w:t>
      </w:r>
      <w:r w:rsidRPr="00834D69">
        <w:rPr>
          <w:rFonts w:asciiTheme="majorBidi" w:hAnsiTheme="majorBidi" w:cstheme="majorBidi"/>
        </w:rPr>
        <w:t>men such as</w:t>
      </w:r>
      <w:r w:rsidRPr="00834D69">
        <w:rPr>
          <w:rStyle w:val="apple-converted-space"/>
          <w:rFonts w:asciiTheme="majorBidi" w:hAnsiTheme="majorBidi" w:cstheme="majorBidi"/>
        </w:rPr>
        <w:t> </w:t>
      </w:r>
      <w:proofErr w:type="spellStart"/>
      <w:r w:rsidRPr="00834D69">
        <w:rPr>
          <w:rStyle w:val="Strong"/>
          <w:rFonts w:asciiTheme="majorBidi" w:hAnsiTheme="majorBidi" w:cstheme="majorBidi"/>
          <w:b w:val="0"/>
          <w:bCs w:val="0"/>
        </w:rPr>
        <w:t>Kirkor</w:t>
      </w:r>
      <w:proofErr w:type="spellEnd"/>
      <w:r w:rsidRPr="00834D69">
        <w:rPr>
          <w:rStyle w:val="Strong"/>
          <w:rFonts w:asciiTheme="majorBidi" w:hAnsiTheme="majorBidi" w:cstheme="majorBidi"/>
          <w:b w:val="0"/>
          <w:bCs w:val="0"/>
        </w:rPr>
        <w:t>, Agop, and Serkis</w:t>
      </w:r>
      <w:r w:rsidR="000D72A9" w:rsidRPr="00834D69">
        <w:rPr>
          <w:rStyle w:val="Strong"/>
          <w:rFonts w:asciiTheme="majorBidi" w:hAnsiTheme="majorBidi" w:cstheme="majorBidi"/>
          <w:b w:val="0"/>
          <w:bCs w:val="0"/>
        </w:rPr>
        <w:t xml:space="preserve"> and many others</w:t>
      </w:r>
      <w:r w:rsidR="000D72A9" w:rsidRPr="00834D69">
        <w:rPr>
          <w:rFonts w:asciiTheme="majorBidi" w:hAnsiTheme="majorBidi" w:cstheme="majorBidi"/>
        </w:rPr>
        <w:t xml:space="preserve">, </w:t>
      </w:r>
      <w:r w:rsidRPr="00834D69">
        <w:rPr>
          <w:rFonts w:asciiTheme="majorBidi" w:hAnsiTheme="majorBidi" w:cstheme="majorBidi"/>
        </w:rPr>
        <w:t>described themselves in the formulaic language of imperial subjects as</w:t>
      </w:r>
      <w:r w:rsidRPr="00834D69">
        <w:rPr>
          <w:rStyle w:val="apple-converted-space"/>
          <w:rFonts w:asciiTheme="majorBidi" w:hAnsiTheme="majorBidi" w:cstheme="majorBidi"/>
        </w:rPr>
        <w:t> </w:t>
      </w:r>
      <w:r w:rsidRPr="00834D69">
        <w:rPr>
          <w:rFonts w:asciiTheme="majorBidi" w:hAnsiTheme="majorBidi" w:cstheme="majorBidi"/>
        </w:rPr>
        <w:t>poor subjects</w:t>
      </w:r>
      <w:r w:rsidR="000D72A9" w:rsidRPr="00834D69">
        <w:rPr>
          <w:rFonts w:asciiTheme="majorBidi" w:hAnsiTheme="majorBidi" w:cstheme="majorBidi"/>
        </w:rPr>
        <w:t xml:space="preserve"> (</w:t>
      </w:r>
      <w:r w:rsidR="000D72A9" w:rsidRPr="00834D69">
        <w:rPr>
          <w:rStyle w:val="Emphasis"/>
          <w:rFonts w:asciiTheme="majorBidi" w:hAnsiTheme="majorBidi" w:cstheme="majorBidi"/>
        </w:rPr>
        <w:t xml:space="preserve">reâyâ-yı </w:t>
      </w:r>
      <w:proofErr w:type="spellStart"/>
      <w:r w:rsidR="000D72A9" w:rsidRPr="00834D69">
        <w:rPr>
          <w:rStyle w:val="Emphasis"/>
          <w:rFonts w:asciiTheme="majorBidi" w:hAnsiTheme="majorBidi" w:cstheme="majorBidi"/>
        </w:rPr>
        <w:t>fukarâ</w:t>
      </w:r>
      <w:proofErr w:type="spellEnd"/>
      <w:r w:rsidR="000D72A9" w:rsidRPr="00834D69">
        <w:rPr>
          <w:rStyle w:val="Emphasis"/>
          <w:rFonts w:asciiTheme="majorBidi" w:hAnsiTheme="majorBidi" w:cstheme="majorBidi"/>
        </w:rPr>
        <w:t xml:space="preserve"> </w:t>
      </w:r>
      <w:proofErr w:type="spellStart"/>
      <w:r w:rsidR="000D72A9" w:rsidRPr="00834D69">
        <w:rPr>
          <w:rStyle w:val="Emphasis"/>
          <w:rFonts w:asciiTheme="majorBidi" w:hAnsiTheme="majorBidi" w:cstheme="majorBidi"/>
        </w:rPr>
        <w:t>kulları</w:t>
      </w:r>
      <w:proofErr w:type="spellEnd"/>
      <w:r w:rsidRPr="00834D69">
        <w:rPr>
          <w:rFonts w:asciiTheme="majorBidi" w:hAnsiTheme="majorBidi" w:cstheme="majorBidi"/>
        </w:rPr>
        <w:t xml:space="preserve">), yet their complaint was clear: </w:t>
      </w:r>
      <w:r w:rsidR="000D72A9" w:rsidRPr="00834D69">
        <w:rPr>
          <w:rStyle w:val="Strong"/>
          <w:rFonts w:asciiTheme="majorBidi" w:hAnsiTheme="majorBidi" w:cstheme="majorBidi"/>
          <w:b w:val="0"/>
          <w:bCs w:val="0"/>
        </w:rPr>
        <w:t>t</w:t>
      </w:r>
      <w:r w:rsidR="006E3E09" w:rsidRPr="00834D69">
        <w:rPr>
          <w:rStyle w:val="Strong"/>
          <w:rFonts w:asciiTheme="majorBidi" w:hAnsiTheme="majorBidi" w:cstheme="majorBidi"/>
          <w:b w:val="0"/>
          <w:bCs w:val="0"/>
        </w:rPr>
        <w:t xml:space="preserve">he </w:t>
      </w:r>
      <w:r w:rsidRPr="00834D69">
        <w:rPr>
          <w:rStyle w:val="Strong"/>
          <w:rFonts w:asciiTheme="majorBidi" w:hAnsiTheme="majorBidi" w:cstheme="majorBidi"/>
          <w:b w:val="0"/>
          <w:bCs w:val="0"/>
        </w:rPr>
        <w:t>combined demands of production and transport had exceeded what could reasonably be fulfilled.</w:t>
      </w:r>
      <w:r w:rsidR="00CF5F4F" w:rsidRPr="00834D69">
        <w:rPr>
          <w:rFonts w:asciiTheme="majorBidi" w:hAnsiTheme="majorBidi" w:cstheme="majorBidi"/>
        </w:rPr>
        <w:t xml:space="preserve"> </w:t>
      </w:r>
      <w:r w:rsidR="00823872" w:rsidRPr="00834D69">
        <w:rPr>
          <w:rFonts w:asciiTheme="majorBidi" w:hAnsiTheme="majorBidi" w:cstheme="majorBidi"/>
        </w:rPr>
        <w:t>What appeared in administrative records as a regulated obligation was experienced in practice as an expanding and unsustainable labor burden</w:t>
      </w:r>
      <w:r w:rsidR="00621AE7" w:rsidRPr="00834D69">
        <w:rPr>
          <w:rFonts w:asciiTheme="majorBidi" w:hAnsiTheme="majorBidi" w:cstheme="majorBidi"/>
        </w:rPr>
        <w:t>.</w:t>
      </w:r>
      <w:r w:rsidR="00CF5F4F" w:rsidRPr="00834D69">
        <w:rPr>
          <w:rFonts w:asciiTheme="majorBidi" w:hAnsiTheme="majorBidi" w:cstheme="majorBidi"/>
        </w:rPr>
        <w:t xml:space="preserve"> Read in this light, the petition shifts from a record of grievance to evidence of the labor and extraction underpinning monetary production, aligning with</w:t>
      </w:r>
      <w:r w:rsidR="008A4567" w:rsidRPr="00834D69">
        <w:rPr>
          <w:rFonts w:asciiTheme="majorBidi" w:hAnsiTheme="majorBidi" w:cstheme="majorBidi"/>
        </w:rPr>
        <w:t xml:space="preserve"> </w:t>
      </w:r>
      <w:r w:rsidR="00CF5F4F" w:rsidRPr="00834D69">
        <w:rPr>
          <w:rFonts w:asciiTheme="majorBidi" w:hAnsiTheme="majorBidi" w:cstheme="majorBidi"/>
        </w:rPr>
        <w:t>recent scholarly approaches to money.</w:t>
      </w:r>
    </w:p>
    <w:p w14:paraId="37BC7E90" w14:textId="5EC9A698" w:rsidR="004040C5" w:rsidRPr="00834D69" w:rsidRDefault="00402EA4" w:rsidP="004040C5">
      <w:pPr>
        <w:pStyle w:val="NormalWeb"/>
        <w:spacing w:line="480" w:lineRule="auto"/>
        <w:jc w:val="both"/>
        <w:rPr>
          <w:rFonts w:asciiTheme="majorBidi" w:hAnsiTheme="majorBidi" w:cstheme="majorBidi"/>
        </w:rPr>
      </w:pPr>
      <w:r w:rsidRPr="00834D69">
        <w:rPr>
          <w:rFonts w:asciiTheme="majorBidi" w:hAnsiTheme="majorBidi" w:cstheme="majorBidi"/>
        </w:rPr>
        <w:lastRenderedPageBreak/>
        <w:t>Recent scholarship in European financial history has undergone a “</w:t>
      </w:r>
      <w:r w:rsidR="006E3E09" w:rsidRPr="00834D69">
        <w:rPr>
          <w:rFonts w:asciiTheme="majorBidi" w:hAnsiTheme="majorBidi" w:cstheme="majorBidi"/>
        </w:rPr>
        <w:t>monetary</w:t>
      </w:r>
      <w:r w:rsidRPr="00834D69">
        <w:rPr>
          <w:rFonts w:asciiTheme="majorBidi" w:hAnsiTheme="majorBidi" w:cstheme="majorBidi"/>
        </w:rPr>
        <w:t xml:space="preserve"> turn,” in which money is no longer treated as a technical medium of exchange but as social, political and institutional construct. </w:t>
      </w:r>
      <w:r w:rsidR="009C24CE" w:rsidRPr="00834D69">
        <w:rPr>
          <w:rFonts w:asciiTheme="majorBidi" w:hAnsiTheme="majorBidi" w:cstheme="majorBidi"/>
        </w:rPr>
        <w:t>Historians such as Christine Desan have emphasized the role of the state in constituting monetary systems, while David Graeber</w:t>
      </w:r>
      <w:r w:rsidR="00317E1D" w:rsidRPr="00834D69">
        <w:rPr>
          <w:rFonts w:asciiTheme="majorBidi" w:hAnsiTheme="majorBidi" w:cstheme="majorBidi"/>
        </w:rPr>
        <w:t xml:space="preserve"> </w:t>
      </w:r>
      <w:r w:rsidR="009C24CE" w:rsidRPr="00834D69">
        <w:rPr>
          <w:rFonts w:asciiTheme="majorBidi" w:hAnsiTheme="majorBidi" w:cstheme="majorBidi"/>
        </w:rPr>
        <w:t>ha</w:t>
      </w:r>
      <w:r w:rsidR="00317E1D" w:rsidRPr="00834D69">
        <w:rPr>
          <w:rFonts w:asciiTheme="majorBidi" w:hAnsiTheme="majorBidi" w:cstheme="majorBidi"/>
        </w:rPr>
        <w:t>s</w:t>
      </w:r>
      <w:r w:rsidR="009C24CE" w:rsidRPr="00834D69">
        <w:rPr>
          <w:rFonts w:asciiTheme="majorBidi" w:hAnsiTheme="majorBidi" w:cstheme="majorBidi"/>
        </w:rPr>
        <w:t xml:space="preserve"> foregrounded the social and moral dimensions of debt and value.</w:t>
      </w:r>
      <w:r w:rsidRPr="00834D69">
        <w:rPr>
          <w:rStyle w:val="FootnoteReference"/>
          <w:rFonts w:asciiTheme="majorBidi" w:hAnsiTheme="majorBidi" w:cstheme="majorBidi"/>
        </w:rPr>
        <w:footnoteReference w:id="2"/>
      </w:r>
      <w:r w:rsidR="009C24CE" w:rsidRPr="00834D69">
        <w:rPr>
          <w:rFonts w:asciiTheme="majorBidi" w:hAnsiTheme="majorBidi" w:cstheme="majorBidi"/>
        </w:rPr>
        <w:t xml:space="preserve"> This body of work has</w:t>
      </w:r>
      <w:r w:rsidR="00317E1D" w:rsidRPr="00834D69">
        <w:rPr>
          <w:rFonts w:asciiTheme="majorBidi" w:hAnsiTheme="majorBidi" w:cstheme="majorBidi"/>
        </w:rPr>
        <w:t xml:space="preserve"> </w:t>
      </w:r>
      <w:r w:rsidR="009C24CE" w:rsidRPr="00834D69">
        <w:rPr>
          <w:rFonts w:asciiTheme="majorBidi" w:hAnsiTheme="majorBidi" w:cstheme="majorBidi"/>
        </w:rPr>
        <w:t xml:space="preserve">expanded our understanding </w:t>
      </w:r>
      <w:r w:rsidR="00EA0BFA" w:rsidRPr="00834D69">
        <w:rPr>
          <w:rFonts w:asciiTheme="majorBidi" w:hAnsiTheme="majorBidi" w:cstheme="majorBidi"/>
        </w:rPr>
        <w:t xml:space="preserve">of money beyond its metallic content or fiscal function, </w:t>
      </w:r>
      <w:r w:rsidR="006E3E09" w:rsidRPr="00834D69">
        <w:rPr>
          <w:rFonts w:asciiTheme="majorBidi" w:hAnsiTheme="majorBidi" w:cstheme="majorBidi"/>
        </w:rPr>
        <w:t>revealing</w:t>
      </w:r>
      <w:r w:rsidR="00EA0BFA" w:rsidRPr="00834D69">
        <w:rPr>
          <w:rFonts w:asciiTheme="majorBidi" w:hAnsiTheme="majorBidi" w:cstheme="majorBidi"/>
        </w:rPr>
        <w:t xml:space="preserve"> its embeddedness in relations of power, </w:t>
      </w:r>
      <w:r w:rsidR="006E3E09" w:rsidRPr="00834D69">
        <w:rPr>
          <w:rFonts w:asciiTheme="majorBidi" w:hAnsiTheme="majorBidi" w:cstheme="majorBidi"/>
        </w:rPr>
        <w:t>ecology</w:t>
      </w:r>
      <w:r w:rsidR="00D36A1B" w:rsidRPr="00834D69">
        <w:rPr>
          <w:rFonts w:asciiTheme="majorBidi" w:hAnsiTheme="majorBidi" w:cstheme="majorBidi"/>
        </w:rPr>
        <w:t xml:space="preserve">, </w:t>
      </w:r>
      <w:r w:rsidR="006E3E09" w:rsidRPr="00834D69">
        <w:rPr>
          <w:rFonts w:asciiTheme="majorBidi" w:hAnsiTheme="majorBidi" w:cstheme="majorBidi"/>
        </w:rPr>
        <w:t xml:space="preserve">and labor regimes dimensions </w:t>
      </w:r>
      <w:r w:rsidR="00CF5F4F" w:rsidRPr="00834D69">
        <w:rPr>
          <w:rFonts w:asciiTheme="majorBidi" w:hAnsiTheme="majorBidi" w:cstheme="majorBidi"/>
        </w:rPr>
        <w:t>that earlier monetary histories largely overlooked.</w:t>
      </w:r>
      <w:r w:rsidR="00D36A1B" w:rsidRPr="00834D69">
        <w:rPr>
          <w:rStyle w:val="FootnoteReference"/>
          <w:rFonts w:asciiTheme="majorBidi" w:hAnsiTheme="majorBidi" w:cstheme="majorBidi"/>
        </w:rPr>
        <w:footnoteReference w:id="3"/>
      </w:r>
      <w:r w:rsidR="00865885" w:rsidRPr="00834D69">
        <w:rPr>
          <w:rFonts w:asciiTheme="majorBidi" w:hAnsiTheme="majorBidi" w:cstheme="majorBidi"/>
        </w:rPr>
        <w:t xml:space="preserve"> </w:t>
      </w:r>
    </w:p>
    <w:p w14:paraId="2DE6C7CE" w14:textId="135672AD" w:rsidR="00317E1D" w:rsidRPr="00834D69" w:rsidRDefault="00103B52" w:rsidP="00103B52">
      <w:pPr>
        <w:spacing w:line="480" w:lineRule="auto"/>
        <w:jc w:val="both"/>
        <w:rPr>
          <w:rFonts w:asciiTheme="majorBidi" w:hAnsiTheme="majorBidi" w:cstheme="majorBidi"/>
          <w:sz w:val="24"/>
          <w:szCs w:val="24"/>
          <w:lang w:val="en-US"/>
        </w:rPr>
      </w:pPr>
      <w:r w:rsidRPr="00834D69">
        <w:rPr>
          <w:rFonts w:asciiTheme="majorBidi" w:hAnsiTheme="majorBidi" w:cstheme="majorBidi"/>
          <w:sz w:val="24"/>
          <w:szCs w:val="24"/>
          <w:lang w:val="en-US"/>
        </w:rPr>
        <w:t xml:space="preserve">By applying a ‘monetary turn’ to the Ottoman context, I think, we can move beyond viewing money as a mere technical medium of exchange and instead see it as a social and institutional construct embedded in relations of power and labor.  </w:t>
      </w:r>
      <w:r w:rsidR="006E3E09" w:rsidRPr="00834D69">
        <w:rPr>
          <w:rFonts w:asciiTheme="majorBidi" w:hAnsiTheme="majorBidi" w:cstheme="majorBidi"/>
          <w:sz w:val="24"/>
          <w:szCs w:val="24"/>
        </w:rPr>
        <w:t xml:space="preserve">The Bardizag case, as this chapter argues, both fits within and </w:t>
      </w:r>
      <w:r w:rsidR="00317E1D" w:rsidRPr="00834D69">
        <w:rPr>
          <w:rFonts w:asciiTheme="majorBidi" w:hAnsiTheme="majorBidi" w:cstheme="majorBidi"/>
          <w:sz w:val="24"/>
          <w:szCs w:val="24"/>
        </w:rPr>
        <w:t>extends this trajectory</w:t>
      </w:r>
      <w:r w:rsidR="006E3E09" w:rsidRPr="00834D69">
        <w:rPr>
          <w:rStyle w:val="Strong"/>
          <w:rFonts w:asciiTheme="majorBidi" w:hAnsiTheme="majorBidi" w:cstheme="majorBidi"/>
          <w:b w:val="0"/>
          <w:bCs w:val="0"/>
          <w:sz w:val="24"/>
          <w:szCs w:val="24"/>
        </w:rPr>
        <w:t>.</w:t>
      </w:r>
      <w:r w:rsidR="00865885" w:rsidRPr="00834D69">
        <w:rPr>
          <w:rStyle w:val="Strong"/>
          <w:rFonts w:asciiTheme="majorBidi" w:hAnsiTheme="majorBidi" w:cstheme="majorBidi"/>
          <w:b w:val="0"/>
          <w:bCs w:val="0"/>
          <w:sz w:val="24"/>
          <w:szCs w:val="24"/>
        </w:rPr>
        <w:t xml:space="preserve"> </w:t>
      </w:r>
      <w:r w:rsidR="004040C5" w:rsidRPr="00834D69">
        <w:rPr>
          <w:rStyle w:val="Strong"/>
          <w:rFonts w:asciiTheme="majorBidi" w:hAnsiTheme="majorBidi" w:cstheme="majorBidi"/>
          <w:b w:val="0"/>
          <w:bCs w:val="0"/>
          <w:sz w:val="24"/>
          <w:szCs w:val="24"/>
        </w:rPr>
        <w:t>E</w:t>
      </w:r>
      <w:r w:rsidR="00865885" w:rsidRPr="00834D69">
        <w:rPr>
          <w:rStyle w:val="Strong"/>
          <w:rFonts w:asciiTheme="majorBidi" w:hAnsiTheme="majorBidi" w:cstheme="majorBidi"/>
          <w:b w:val="0"/>
          <w:bCs w:val="0"/>
          <w:sz w:val="24"/>
          <w:szCs w:val="24"/>
        </w:rPr>
        <w:t>xisting scholarship on the Mint</w:t>
      </w:r>
      <w:r w:rsidR="00317E1D" w:rsidRPr="00834D69">
        <w:rPr>
          <w:rStyle w:val="Strong"/>
          <w:rFonts w:asciiTheme="majorBidi" w:hAnsiTheme="majorBidi" w:cstheme="majorBidi"/>
          <w:b w:val="0"/>
          <w:bCs w:val="0"/>
          <w:sz w:val="24"/>
          <w:szCs w:val="24"/>
        </w:rPr>
        <w:t xml:space="preserve"> has tended to focus</w:t>
      </w:r>
      <w:r w:rsidR="004040C5" w:rsidRPr="00834D69">
        <w:rPr>
          <w:rStyle w:val="Strong"/>
          <w:rFonts w:asciiTheme="majorBidi" w:hAnsiTheme="majorBidi" w:cstheme="majorBidi"/>
          <w:b w:val="0"/>
          <w:bCs w:val="0"/>
          <w:sz w:val="24"/>
          <w:szCs w:val="24"/>
        </w:rPr>
        <w:t xml:space="preserve"> on</w:t>
      </w:r>
      <w:r w:rsidR="00865885" w:rsidRPr="00834D69">
        <w:rPr>
          <w:rStyle w:val="Strong"/>
          <w:rFonts w:asciiTheme="majorBidi" w:hAnsiTheme="majorBidi" w:cstheme="majorBidi"/>
          <w:b w:val="0"/>
          <w:bCs w:val="0"/>
          <w:sz w:val="24"/>
          <w:szCs w:val="24"/>
        </w:rPr>
        <w:t xml:space="preserve"> institution</w:t>
      </w:r>
      <w:r w:rsidR="004040C5" w:rsidRPr="00834D69">
        <w:rPr>
          <w:rStyle w:val="Strong"/>
          <w:rFonts w:asciiTheme="majorBidi" w:hAnsiTheme="majorBidi" w:cstheme="majorBidi"/>
          <w:b w:val="0"/>
          <w:bCs w:val="0"/>
          <w:sz w:val="24"/>
          <w:szCs w:val="24"/>
        </w:rPr>
        <w:t xml:space="preserve">al </w:t>
      </w:r>
      <w:r w:rsidR="00317E1D" w:rsidRPr="00834D69">
        <w:rPr>
          <w:rStyle w:val="Strong"/>
          <w:rFonts w:asciiTheme="majorBidi" w:hAnsiTheme="majorBidi" w:cstheme="majorBidi"/>
          <w:b w:val="0"/>
          <w:bCs w:val="0"/>
          <w:sz w:val="24"/>
          <w:szCs w:val="24"/>
        </w:rPr>
        <w:t xml:space="preserve">and administrative history, leaving aside the question of how monetary production was materially grounded in laboring </w:t>
      </w:r>
      <w:r w:rsidR="00865885" w:rsidRPr="00834D69">
        <w:rPr>
          <w:rStyle w:val="Strong"/>
          <w:rFonts w:asciiTheme="majorBidi" w:hAnsiTheme="majorBidi" w:cstheme="majorBidi"/>
          <w:b w:val="0"/>
          <w:bCs w:val="0"/>
          <w:sz w:val="24"/>
          <w:szCs w:val="24"/>
        </w:rPr>
        <w:t xml:space="preserve">bodies and </w:t>
      </w:r>
      <w:r w:rsidR="00317E1D" w:rsidRPr="00834D69">
        <w:rPr>
          <w:rStyle w:val="Strong"/>
          <w:rFonts w:asciiTheme="majorBidi" w:hAnsiTheme="majorBidi" w:cstheme="majorBidi"/>
          <w:b w:val="0"/>
          <w:bCs w:val="0"/>
          <w:sz w:val="24"/>
          <w:szCs w:val="24"/>
        </w:rPr>
        <w:t xml:space="preserve">ecological </w:t>
      </w:r>
      <w:r w:rsidR="00865885" w:rsidRPr="00834D69">
        <w:rPr>
          <w:rStyle w:val="Strong"/>
          <w:rFonts w:asciiTheme="majorBidi" w:hAnsiTheme="majorBidi" w:cstheme="majorBidi"/>
          <w:b w:val="0"/>
          <w:bCs w:val="0"/>
          <w:sz w:val="24"/>
          <w:szCs w:val="24"/>
        </w:rPr>
        <w:t>resources</w:t>
      </w:r>
      <w:r w:rsidR="004040C5" w:rsidRPr="00834D69">
        <w:rPr>
          <w:rStyle w:val="Strong"/>
          <w:rFonts w:asciiTheme="majorBidi" w:hAnsiTheme="majorBidi" w:cstheme="majorBidi"/>
          <w:b w:val="0"/>
          <w:bCs w:val="0"/>
          <w:sz w:val="24"/>
          <w:szCs w:val="24"/>
        </w:rPr>
        <w:t>.</w:t>
      </w:r>
      <w:r w:rsidR="00865885" w:rsidRPr="00834D69">
        <w:rPr>
          <w:rStyle w:val="Strong"/>
          <w:rFonts w:asciiTheme="majorBidi" w:hAnsiTheme="majorBidi" w:cstheme="majorBidi"/>
          <w:b w:val="0"/>
          <w:bCs w:val="0"/>
          <w:sz w:val="24"/>
          <w:szCs w:val="24"/>
        </w:rPr>
        <w:t xml:space="preserve"> </w:t>
      </w:r>
      <w:r w:rsidR="009927D8" w:rsidRPr="00834D69">
        <w:rPr>
          <w:rFonts w:asciiTheme="majorBidi" w:hAnsiTheme="majorBidi" w:cstheme="majorBidi"/>
          <w:sz w:val="24"/>
          <w:szCs w:val="24"/>
        </w:rPr>
        <w:t>Bardizag</w:t>
      </w:r>
      <w:r w:rsidR="00317E1D" w:rsidRPr="00834D69">
        <w:rPr>
          <w:rFonts w:asciiTheme="majorBidi" w:hAnsiTheme="majorBidi" w:cstheme="majorBidi"/>
          <w:sz w:val="24"/>
          <w:szCs w:val="24"/>
        </w:rPr>
        <w:t xml:space="preserve">, I argue, brings this dimension into sharper focus. The charcoal that fueled the Mint’s furnaces was not acquired through open markets but supplied by Armenian peasants under fixed obligations and regulated prices. In this sense, monetary production appears not as an abstract financial process but as one </w:t>
      </w:r>
      <w:r w:rsidR="003F1D25" w:rsidRPr="00834D69">
        <w:rPr>
          <w:rFonts w:asciiTheme="majorBidi" w:hAnsiTheme="majorBidi" w:cstheme="majorBidi"/>
          <w:sz w:val="24"/>
          <w:szCs w:val="24"/>
        </w:rPr>
        <w:t xml:space="preserve">embedded in systems of extraction operating at the level of everyday rural life. </w:t>
      </w:r>
    </w:p>
    <w:p w14:paraId="38BAB1DD" w14:textId="1CDE78D4" w:rsidR="002A7F1C" w:rsidRPr="00834D69" w:rsidRDefault="003F1D25" w:rsidP="002A7F1C">
      <w:pPr>
        <w:pStyle w:val="NormalWeb"/>
        <w:spacing w:line="480" w:lineRule="auto"/>
        <w:jc w:val="both"/>
        <w:rPr>
          <w:rFonts w:asciiTheme="majorBidi" w:hAnsiTheme="majorBidi" w:cstheme="majorBidi"/>
          <w:shd w:val="clear" w:color="auto" w:fill="FFFFFF"/>
        </w:rPr>
      </w:pPr>
      <w:r w:rsidRPr="00834D69">
        <w:rPr>
          <w:rFonts w:asciiTheme="majorBidi" w:hAnsiTheme="majorBidi" w:cstheme="majorBidi"/>
          <w:shd w:val="clear" w:color="auto" w:fill="FFFFFF"/>
        </w:rPr>
        <w:t xml:space="preserve">In this context, Nilay </w:t>
      </w:r>
      <w:proofErr w:type="spellStart"/>
      <w:r w:rsidRPr="00834D69">
        <w:rPr>
          <w:rFonts w:asciiTheme="majorBidi" w:hAnsiTheme="majorBidi" w:cstheme="majorBidi"/>
          <w:shd w:val="clear" w:color="auto" w:fill="FFFFFF"/>
        </w:rPr>
        <w:t>Özok</w:t>
      </w:r>
      <w:proofErr w:type="spellEnd"/>
      <w:r w:rsidRPr="00834D69">
        <w:rPr>
          <w:rFonts w:asciiTheme="majorBidi" w:hAnsiTheme="majorBidi" w:cstheme="majorBidi"/>
          <w:shd w:val="clear" w:color="auto" w:fill="FFFFFF"/>
        </w:rPr>
        <w:t xml:space="preserve">-Gündoğan conceptualizes Ottoman mining and minting within a framework of extractive colonialism, distinguishing </w:t>
      </w:r>
      <w:r w:rsidR="00FB24F5" w:rsidRPr="00834D69">
        <w:rPr>
          <w:rFonts w:asciiTheme="majorBidi" w:hAnsiTheme="majorBidi" w:cstheme="majorBidi"/>
          <w:shd w:val="clear" w:color="auto" w:fill="FFFFFF"/>
        </w:rPr>
        <w:t xml:space="preserve">it from settler colonialism. In the absence of </w:t>
      </w:r>
      <w:r w:rsidR="00FB24F5" w:rsidRPr="00834D69">
        <w:rPr>
          <w:rFonts w:asciiTheme="majorBidi" w:hAnsiTheme="majorBidi" w:cstheme="majorBidi"/>
          <w:shd w:val="clear" w:color="auto" w:fill="FFFFFF"/>
        </w:rPr>
        <w:lastRenderedPageBreak/>
        <w:t>settler component, she argues, extractive colonialism is predicated on an interdependent yet fundamentally oppressive and exploitative relationship with the locality.</w:t>
      </w:r>
      <w:r w:rsidR="00FB24F5" w:rsidRPr="00834D69">
        <w:rPr>
          <w:rStyle w:val="FootnoteReference"/>
          <w:rFonts w:asciiTheme="majorBidi" w:hAnsiTheme="majorBidi" w:cstheme="majorBidi"/>
          <w:shd w:val="clear" w:color="auto" w:fill="FFFFFF"/>
        </w:rPr>
        <w:footnoteReference w:id="4"/>
      </w:r>
      <w:r w:rsidR="00FB24F5" w:rsidRPr="00834D69">
        <w:rPr>
          <w:rFonts w:asciiTheme="majorBidi" w:hAnsiTheme="majorBidi" w:cstheme="majorBidi"/>
          <w:shd w:val="clear" w:color="auto" w:fill="FFFFFF"/>
        </w:rPr>
        <w:t xml:space="preserve"> </w:t>
      </w:r>
      <w:r w:rsidR="00FB24F5" w:rsidRPr="00834D69">
        <w:rPr>
          <w:rStyle w:val="apple-converted-space"/>
          <w:rFonts w:asciiTheme="majorBidi" w:hAnsiTheme="majorBidi" w:cstheme="majorBidi"/>
          <w:shd w:val="clear" w:color="auto" w:fill="FFFFFF"/>
        </w:rPr>
        <w:t> </w:t>
      </w:r>
      <w:r w:rsidR="00FB24F5" w:rsidRPr="00834D69">
        <w:rPr>
          <w:rFonts w:asciiTheme="majorBidi" w:hAnsiTheme="majorBidi" w:cstheme="majorBidi"/>
          <w:shd w:val="clear" w:color="auto" w:fill="FFFFFF"/>
        </w:rPr>
        <w:t>Large-scale extractive projects like mining generate specific institutional forms, social relations, and subjectivities oriented toward maximizing resource extraction.</w:t>
      </w:r>
      <w:r w:rsidR="005A2571" w:rsidRPr="00834D69">
        <w:rPr>
          <w:rStyle w:val="FootnoteReference"/>
          <w:rFonts w:asciiTheme="majorBidi" w:hAnsiTheme="majorBidi" w:cstheme="majorBidi"/>
          <w:shd w:val="clear" w:color="auto" w:fill="FFFFFF"/>
        </w:rPr>
        <w:footnoteReference w:id="5"/>
      </w:r>
      <w:r w:rsidR="00FB24F5" w:rsidRPr="00834D69">
        <w:rPr>
          <w:rFonts w:asciiTheme="majorBidi" w:hAnsiTheme="majorBidi" w:cstheme="majorBidi"/>
          <w:shd w:val="clear" w:color="auto" w:fill="FFFFFF"/>
        </w:rPr>
        <w:t xml:space="preserve"> From this perspective, situating extraction at the center of analysis reveals how regions often treated as peripheral were in fact vital to the Ottoman state’s military and fiscal needs.</w:t>
      </w:r>
      <w:r w:rsidR="00DC389A" w:rsidRPr="00834D69">
        <w:rPr>
          <w:rFonts w:asciiTheme="majorBidi" w:hAnsiTheme="majorBidi" w:cstheme="majorBidi"/>
          <w:shd w:val="clear" w:color="auto" w:fill="FFFFFF"/>
        </w:rPr>
        <w:t xml:space="preserve"> </w:t>
      </w:r>
    </w:p>
    <w:p w14:paraId="0C30C05E" w14:textId="541E9A60" w:rsidR="002A7F1C" w:rsidRPr="00834D69" w:rsidRDefault="00DC389A" w:rsidP="002A7F1C">
      <w:pPr>
        <w:pStyle w:val="NormalWeb"/>
        <w:spacing w:line="480" w:lineRule="auto"/>
        <w:jc w:val="both"/>
        <w:rPr>
          <w:rFonts w:asciiTheme="majorBidi" w:hAnsiTheme="majorBidi" w:cstheme="majorBidi"/>
        </w:rPr>
      </w:pPr>
      <w:r w:rsidRPr="00834D69">
        <w:rPr>
          <w:rFonts w:asciiTheme="majorBidi" w:hAnsiTheme="majorBidi" w:cstheme="majorBidi"/>
          <w:shd w:val="clear" w:color="auto" w:fill="FFFFFF"/>
        </w:rPr>
        <w:t xml:space="preserve">Her analysis foregrounds how regions such as Kurdistan were integrated into imperial structures through regimes of labor, coercion, and provincial resource mobilization oriented toward silver production for the mint. </w:t>
      </w:r>
      <w:r w:rsidR="002A7F1C" w:rsidRPr="00834D69">
        <w:rPr>
          <w:rFonts w:asciiTheme="majorBidi" w:hAnsiTheme="majorBidi" w:cstheme="majorBidi"/>
          <w:shd w:val="clear" w:color="auto" w:fill="FFFFFF"/>
        </w:rPr>
        <w:t>She brings Potosí</w:t>
      </w:r>
      <w:r w:rsidR="002A7F1C" w:rsidRPr="00834D69">
        <w:rPr>
          <w:rStyle w:val="apple-converted-space"/>
          <w:rFonts w:asciiTheme="majorBidi" w:hAnsiTheme="majorBidi" w:cstheme="majorBidi"/>
          <w:shd w:val="clear" w:color="auto" w:fill="FFFFFF"/>
        </w:rPr>
        <w:t xml:space="preserve"> mine as an analytically distinctive case, not only its structure of domination but its role in generating a vast commodity frontier: its silver circulated through global markets, reorganizing trade, labor systems, and patterns of accumulation far beyond the site of extraction. </w:t>
      </w:r>
      <w:r w:rsidR="002A7F1C" w:rsidRPr="00834D69">
        <w:rPr>
          <w:rFonts w:asciiTheme="majorBidi" w:hAnsiTheme="majorBidi" w:cstheme="majorBidi"/>
        </w:rPr>
        <w:t xml:space="preserve">Approaching the Ottoman material through this lens opens a productive line of inquiry, yet it also invites further refinement when considered alongside evidence from Bardizag and other regions. The available documentation suggests that resources such as silver and charcoal were directed primarily toward the Imperial Mint, where they were transformed into coinage serving fiscal and military purposes, rather than entering broader commodity circuits. </w:t>
      </w:r>
      <w:r w:rsidR="002A7F1C" w:rsidRPr="00834D69">
        <w:rPr>
          <w:rFonts w:asciiTheme="majorBidi" w:hAnsiTheme="majorBidi" w:cstheme="majorBidi"/>
          <w:shd w:val="clear" w:color="auto" w:fill="FFFFFF"/>
        </w:rPr>
        <w:t> More broadly, this invites comparison with what has been described as commodity frontiers: zones in which environmental exploitation underpinned production and linked localized extraction to the wider expansion of capitalist space through goods such as sugar, silver, gold, tobacco, and grain did in Americas.</w:t>
      </w:r>
      <w:r w:rsidR="002A7F1C" w:rsidRPr="00834D69">
        <w:rPr>
          <w:rStyle w:val="FootnoteReference"/>
          <w:rFonts w:asciiTheme="majorBidi" w:hAnsiTheme="majorBidi" w:cstheme="majorBidi"/>
          <w:shd w:val="clear" w:color="auto" w:fill="FFFFFF"/>
        </w:rPr>
        <w:footnoteReference w:id="6"/>
      </w:r>
      <w:r w:rsidR="002A7F1C" w:rsidRPr="00834D69">
        <w:rPr>
          <w:rFonts w:asciiTheme="majorBidi" w:hAnsiTheme="majorBidi" w:cstheme="majorBidi"/>
          <w:shd w:val="clear" w:color="auto" w:fill="FFFFFF"/>
        </w:rPr>
        <w:t xml:space="preserve"> Seen in this light, the Ottoman case raises the further question of whether its </w:t>
      </w:r>
      <w:r w:rsidR="002A7F1C" w:rsidRPr="00834D69">
        <w:rPr>
          <w:rFonts w:asciiTheme="majorBidi" w:hAnsiTheme="majorBidi" w:cstheme="majorBidi"/>
          <w:shd w:val="clear" w:color="auto" w:fill="FFFFFF"/>
        </w:rPr>
        <w:lastRenderedPageBreak/>
        <w:t>extractive regimes operated within such expansive circuits or remained largely contained within imperial fiscal structures.</w:t>
      </w:r>
    </w:p>
    <w:p w14:paraId="0F1ED46F" w14:textId="69F5A8FB" w:rsidR="003F1D25" w:rsidRPr="00834D69" w:rsidRDefault="002A7F1C" w:rsidP="002A7F1C">
      <w:pPr>
        <w:pStyle w:val="NormalWeb"/>
        <w:spacing w:line="480" w:lineRule="auto"/>
        <w:jc w:val="both"/>
        <w:rPr>
          <w:rFonts w:asciiTheme="majorBidi" w:hAnsiTheme="majorBidi" w:cstheme="majorBidi"/>
          <w:shd w:val="clear" w:color="auto" w:fill="FFFFFF"/>
        </w:rPr>
      </w:pPr>
      <w:r w:rsidRPr="00834D69">
        <w:rPr>
          <w:rFonts w:asciiTheme="majorBidi" w:hAnsiTheme="majorBidi" w:cstheme="majorBidi"/>
          <w:shd w:val="clear" w:color="auto" w:fill="FFFFFF"/>
        </w:rPr>
        <w:t xml:space="preserve">Bardizag contributes to this discussion with </w:t>
      </w:r>
      <w:r w:rsidR="002F123B" w:rsidRPr="00834D69">
        <w:rPr>
          <w:rFonts w:asciiTheme="majorBidi" w:hAnsiTheme="majorBidi" w:cstheme="majorBidi"/>
          <w:shd w:val="clear" w:color="auto" w:fill="FFFFFF"/>
        </w:rPr>
        <w:t>clarity</w:t>
      </w:r>
      <w:r w:rsidRPr="00834D69">
        <w:rPr>
          <w:rFonts w:asciiTheme="majorBidi" w:hAnsiTheme="majorBidi" w:cstheme="majorBidi"/>
          <w:shd w:val="clear" w:color="auto" w:fill="FFFFFF"/>
        </w:rPr>
        <w:t xml:space="preserve"> </w:t>
      </w:r>
      <w:r w:rsidR="00335421" w:rsidRPr="00834D69">
        <w:rPr>
          <w:rFonts w:asciiTheme="majorBidi" w:hAnsiTheme="majorBidi" w:cstheme="majorBidi"/>
          <w:shd w:val="clear" w:color="auto" w:fill="FFFFFF"/>
        </w:rPr>
        <w:t>because o</w:t>
      </w:r>
      <w:r w:rsidRPr="00834D69">
        <w:rPr>
          <w:rFonts w:asciiTheme="majorBidi" w:hAnsiTheme="majorBidi" w:cstheme="majorBidi"/>
          <w:shd w:val="clear" w:color="auto" w:fill="FFFFFF"/>
        </w:rPr>
        <w:t>nce consumed in the Mint’s furnaces, its value was realized entirely within the process of coin production</w:t>
      </w:r>
      <w:r w:rsidR="00335421" w:rsidRPr="00834D69">
        <w:rPr>
          <w:rFonts w:asciiTheme="majorBidi" w:hAnsiTheme="majorBidi" w:cstheme="majorBidi"/>
          <w:shd w:val="clear" w:color="auto" w:fill="FFFFFF"/>
        </w:rPr>
        <w:t xml:space="preserve"> in the late 17</w:t>
      </w:r>
      <w:r w:rsidR="00335421" w:rsidRPr="00834D69">
        <w:rPr>
          <w:rFonts w:asciiTheme="majorBidi" w:hAnsiTheme="majorBidi" w:cstheme="majorBidi"/>
          <w:shd w:val="clear" w:color="auto" w:fill="FFFFFF"/>
          <w:vertAlign w:val="superscript"/>
        </w:rPr>
        <w:t>th</w:t>
      </w:r>
      <w:r w:rsidR="00335421" w:rsidRPr="00834D69">
        <w:rPr>
          <w:rFonts w:asciiTheme="majorBidi" w:hAnsiTheme="majorBidi" w:cstheme="majorBidi"/>
          <w:shd w:val="clear" w:color="auto" w:fill="FFFFFF"/>
        </w:rPr>
        <w:t xml:space="preserve"> and 18</w:t>
      </w:r>
      <w:r w:rsidR="00335421" w:rsidRPr="00834D69">
        <w:rPr>
          <w:rFonts w:asciiTheme="majorBidi" w:hAnsiTheme="majorBidi" w:cstheme="majorBidi"/>
          <w:shd w:val="clear" w:color="auto" w:fill="FFFFFF"/>
          <w:vertAlign w:val="superscript"/>
        </w:rPr>
        <w:t>th</w:t>
      </w:r>
      <w:r w:rsidR="00335421" w:rsidRPr="00834D69">
        <w:rPr>
          <w:rFonts w:asciiTheme="majorBidi" w:hAnsiTheme="majorBidi" w:cstheme="majorBidi"/>
          <w:shd w:val="clear" w:color="auto" w:fill="FFFFFF"/>
        </w:rPr>
        <w:t xml:space="preserve"> century</w:t>
      </w:r>
      <w:r w:rsidRPr="00834D69">
        <w:rPr>
          <w:rFonts w:asciiTheme="majorBidi" w:hAnsiTheme="majorBidi" w:cstheme="majorBidi"/>
          <w:shd w:val="clear" w:color="auto" w:fill="FFFFFF"/>
        </w:rPr>
        <w:t>. This foregrounds a form of extraction that operated less through market expansion than through direct incorporation into state processes</w:t>
      </w:r>
      <w:r w:rsidR="00335421" w:rsidRPr="00834D69">
        <w:rPr>
          <w:rFonts w:asciiTheme="majorBidi" w:hAnsiTheme="majorBidi" w:cstheme="majorBidi"/>
          <w:shd w:val="clear" w:color="auto" w:fill="FFFFFF"/>
        </w:rPr>
        <w:t xml:space="preserve"> </w:t>
      </w:r>
      <w:r w:rsidR="00335421" w:rsidRPr="00834D69">
        <w:rPr>
          <w:rFonts w:asciiTheme="majorBidi" w:hAnsiTheme="majorBidi" w:cstheme="majorBidi"/>
          <w:b/>
          <w:bCs/>
          <w:shd w:val="clear" w:color="auto" w:fill="FFFFFF"/>
        </w:rPr>
        <w:t>(elaborate more on the class characteristic of the State)</w:t>
      </w:r>
      <w:r w:rsidRPr="00834D69">
        <w:rPr>
          <w:rFonts w:asciiTheme="majorBidi" w:hAnsiTheme="majorBidi" w:cstheme="majorBidi"/>
          <w:shd w:val="clear" w:color="auto" w:fill="FFFFFF"/>
        </w:rPr>
        <w:t>. By shifting attention from mineral wealth to energy and ecological labor, Bardizag broadens the analytical lens and highlights the need to examine how different types of resources shaped the relationship between empire, economy, and environment.</w:t>
      </w:r>
      <w:r w:rsidR="00DC4365" w:rsidRPr="00834D69">
        <w:rPr>
          <w:rFonts w:asciiTheme="majorBidi" w:hAnsiTheme="majorBidi" w:cstheme="majorBidi"/>
          <w:shd w:val="clear" w:color="auto" w:fill="FFFFFF"/>
        </w:rPr>
        <w:t xml:space="preserve"> This argument directs our attention to the material foundations of monetary production, beginning with the ecological landscape that made sustained extraction possible. </w:t>
      </w:r>
    </w:p>
    <w:p w14:paraId="74900BBB" w14:textId="263E071A" w:rsidR="00274F07" w:rsidRPr="00834D69" w:rsidRDefault="00274F07" w:rsidP="002A7F1C">
      <w:pPr>
        <w:pStyle w:val="NormalWeb"/>
        <w:spacing w:line="480" w:lineRule="auto"/>
        <w:jc w:val="both"/>
        <w:rPr>
          <w:rStyle w:val="apple-converted-space"/>
          <w:rFonts w:asciiTheme="majorBidi" w:hAnsiTheme="majorBidi" w:cstheme="majorBidi"/>
          <w:shd w:val="clear" w:color="auto" w:fill="FFFFFF"/>
        </w:rPr>
      </w:pPr>
      <w:r w:rsidRPr="00834D69">
        <w:rPr>
          <w:rFonts w:asciiTheme="majorBidi" w:hAnsiTheme="majorBidi" w:cstheme="majorBidi"/>
          <w:shd w:val="clear" w:color="auto" w:fill="FFFFFF"/>
        </w:rPr>
        <w:t>While money is understood as a social and political construct, such constructs nonetheless depend on material conditions. In Nicomedia, those conditions were ecological: charcoal derived from the region’s forests was an indispensable input in the minting process, making forest management inseparable from monetary production.</w:t>
      </w:r>
    </w:p>
    <w:p w14:paraId="11EA1ADD" w14:textId="77777777" w:rsidR="00335421" w:rsidRPr="00834D69" w:rsidRDefault="00335421" w:rsidP="00335421">
      <w:pPr>
        <w:autoSpaceDE w:val="0"/>
        <w:autoSpaceDN w:val="0"/>
        <w:adjustRightInd w:val="0"/>
        <w:spacing w:line="480" w:lineRule="auto"/>
        <w:jc w:val="both"/>
        <w:rPr>
          <w:rFonts w:asciiTheme="majorBidi" w:eastAsiaTheme="minorHAnsi" w:hAnsiTheme="majorBidi" w:cstheme="majorBidi"/>
          <w:b/>
          <w:bCs/>
          <w:sz w:val="24"/>
          <w:szCs w:val="24"/>
          <w14:ligatures w14:val="standardContextual"/>
        </w:rPr>
      </w:pPr>
      <w:r w:rsidRPr="00834D69">
        <w:rPr>
          <w:rFonts w:asciiTheme="majorBidi" w:eastAsiaTheme="minorHAnsi" w:hAnsiTheme="majorBidi" w:cstheme="majorBidi"/>
          <w:b/>
          <w:bCs/>
          <w:sz w:val="24"/>
          <w:szCs w:val="24"/>
          <w14:ligatures w14:val="standardContextual"/>
        </w:rPr>
        <w:t xml:space="preserve">The Forest Ecology of the Nicomedia Region </w:t>
      </w:r>
    </w:p>
    <w:p w14:paraId="5AD59A5C" w14:textId="3A0D1071" w:rsidR="00A97D69" w:rsidRPr="00834D69" w:rsidRDefault="00335421" w:rsidP="00335421">
      <w:pPr>
        <w:autoSpaceDE w:val="0"/>
        <w:autoSpaceDN w:val="0"/>
        <w:adjustRightInd w:val="0"/>
        <w:spacing w:line="480" w:lineRule="auto"/>
        <w:jc w:val="both"/>
        <w:rPr>
          <w:rFonts w:asciiTheme="majorBidi" w:eastAsiaTheme="minorHAnsi" w:hAnsiTheme="majorBidi" w:cstheme="majorBidi"/>
          <w:sz w:val="24"/>
          <w:szCs w:val="24"/>
          <w14:ligatures w14:val="standardContextual"/>
        </w:rPr>
      </w:pPr>
      <w:r w:rsidRPr="00834D69">
        <w:rPr>
          <w:rFonts w:asciiTheme="majorBidi" w:eastAsiaTheme="minorHAnsi" w:hAnsiTheme="majorBidi" w:cstheme="majorBidi"/>
          <w:sz w:val="24"/>
          <w:szCs w:val="24"/>
          <w14:ligatures w14:val="standardContextual"/>
        </w:rPr>
        <w:t>The region surrounding Nicomedia (current day Kocaeli/Izmit) was historically one of the most densely forested landscapes of northwestern Anatolia.</w:t>
      </w:r>
      <w:r w:rsidR="00130603" w:rsidRPr="00834D69">
        <w:rPr>
          <w:rStyle w:val="FootnoteReference"/>
          <w:rFonts w:asciiTheme="majorBidi" w:eastAsiaTheme="minorHAnsi" w:hAnsiTheme="majorBidi" w:cstheme="majorBidi"/>
          <w:sz w:val="24"/>
          <w:szCs w:val="24"/>
          <w14:ligatures w14:val="standardContextual"/>
        </w:rPr>
        <w:footnoteReference w:id="7"/>
      </w:r>
      <w:r w:rsidRPr="00834D69">
        <w:rPr>
          <w:rFonts w:asciiTheme="majorBidi" w:eastAsiaTheme="minorHAnsi" w:hAnsiTheme="majorBidi" w:cstheme="majorBidi"/>
          <w:sz w:val="24"/>
          <w:szCs w:val="24"/>
          <w14:ligatures w14:val="standardContextual"/>
        </w:rPr>
        <w:t xml:space="preserve"> The mountains and valleys of the Kocaeli peninsula were covered with extensive woodlands composed of pine, oak, juniper and linden, forming an ecological environment well suited to the production of both timber and charcoal. </w:t>
      </w:r>
    </w:p>
    <w:p w14:paraId="598A3931" w14:textId="77777777" w:rsidR="00A97D69" w:rsidRPr="00834D69" w:rsidRDefault="00A97D69" w:rsidP="00A97D69">
      <w:pPr>
        <w:autoSpaceDE w:val="0"/>
        <w:autoSpaceDN w:val="0"/>
        <w:adjustRightInd w:val="0"/>
        <w:spacing w:line="480" w:lineRule="auto"/>
        <w:jc w:val="both"/>
        <w:rPr>
          <w:rFonts w:asciiTheme="majorBidi" w:eastAsiaTheme="minorHAnsi" w:hAnsiTheme="majorBidi" w:cstheme="majorBidi"/>
          <w:sz w:val="24"/>
          <w:szCs w:val="24"/>
          <w14:ligatures w14:val="standardContextual"/>
        </w:rPr>
      </w:pPr>
    </w:p>
    <w:p w14:paraId="13820544" w14:textId="28361A73" w:rsidR="00335421" w:rsidRPr="00834D69" w:rsidRDefault="00A97D69" w:rsidP="00791636">
      <w:pPr>
        <w:autoSpaceDE w:val="0"/>
        <w:autoSpaceDN w:val="0"/>
        <w:adjustRightInd w:val="0"/>
        <w:spacing w:line="480" w:lineRule="auto"/>
        <w:jc w:val="both"/>
        <w:rPr>
          <w:rFonts w:asciiTheme="majorBidi" w:hAnsiTheme="majorBidi" w:cstheme="majorBidi"/>
          <w:sz w:val="24"/>
          <w:szCs w:val="24"/>
          <w:shd w:val="clear" w:color="auto" w:fill="FFFFFF"/>
        </w:rPr>
      </w:pPr>
      <w:r w:rsidRPr="00834D69">
        <w:rPr>
          <w:rFonts w:asciiTheme="majorBidi" w:eastAsiaTheme="minorHAnsi" w:hAnsiTheme="majorBidi" w:cstheme="majorBidi"/>
          <w:sz w:val="24"/>
          <w:szCs w:val="24"/>
          <w14:ligatures w14:val="standardContextual"/>
        </w:rPr>
        <w:t>The dense of woodlands of the Nicomedia region, famously described as “Sea of Trees” (</w:t>
      </w:r>
      <w:proofErr w:type="spellStart"/>
      <w:r w:rsidRPr="00834D69">
        <w:rPr>
          <w:rFonts w:asciiTheme="majorBidi" w:eastAsiaTheme="minorHAnsi" w:hAnsiTheme="majorBidi" w:cstheme="majorBidi"/>
          <w:i/>
          <w:iCs/>
          <w:sz w:val="24"/>
          <w:szCs w:val="24"/>
          <w14:ligatures w14:val="standardContextual"/>
        </w:rPr>
        <w:t>Agac</w:t>
      </w:r>
      <w:proofErr w:type="spellEnd"/>
      <w:r w:rsidRPr="00834D69">
        <w:rPr>
          <w:rFonts w:asciiTheme="majorBidi" w:eastAsiaTheme="minorHAnsi" w:hAnsiTheme="majorBidi" w:cstheme="majorBidi"/>
          <w:i/>
          <w:iCs/>
          <w:sz w:val="24"/>
          <w:szCs w:val="24"/>
          <w14:ligatures w14:val="standardContextual"/>
        </w:rPr>
        <w:t xml:space="preserve"> </w:t>
      </w:r>
      <w:proofErr w:type="spellStart"/>
      <w:r w:rsidRPr="00834D69">
        <w:rPr>
          <w:rFonts w:asciiTheme="majorBidi" w:eastAsiaTheme="minorHAnsi" w:hAnsiTheme="majorBidi" w:cstheme="majorBidi"/>
          <w:i/>
          <w:iCs/>
          <w:sz w:val="24"/>
          <w:szCs w:val="24"/>
          <w14:ligatures w14:val="standardContextual"/>
        </w:rPr>
        <w:t>Denizi</w:t>
      </w:r>
      <w:proofErr w:type="spellEnd"/>
      <w:r w:rsidRPr="00834D69">
        <w:rPr>
          <w:rFonts w:asciiTheme="majorBidi" w:eastAsiaTheme="minorHAnsi" w:hAnsiTheme="majorBidi" w:cstheme="majorBidi"/>
          <w:sz w:val="24"/>
          <w:szCs w:val="24"/>
          <w14:ligatures w14:val="standardContextual"/>
        </w:rPr>
        <w:t>), functioned as a strategic ecological hinterland that linked rural landscapes directly to the material reproduction of the imperial capital.</w:t>
      </w:r>
      <w:r w:rsidR="00B142E5" w:rsidRPr="00834D69">
        <w:rPr>
          <w:rStyle w:val="FootnoteReference"/>
          <w:rFonts w:asciiTheme="majorBidi" w:eastAsiaTheme="minorHAnsi" w:hAnsiTheme="majorBidi" w:cstheme="majorBidi"/>
          <w:sz w:val="24"/>
          <w:szCs w:val="24"/>
          <w14:ligatures w14:val="standardContextual"/>
        </w:rPr>
        <w:footnoteReference w:id="8"/>
      </w:r>
      <w:r w:rsidRPr="00834D69">
        <w:rPr>
          <w:rFonts w:asciiTheme="majorBidi" w:eastAsiaTheme="minorHAnsi" w:hAnsiTheme="majorBidi" w:cstheme="majorBidi"/>
          <w:sz w:val="24"/>
          <w:szCs w:val="24"/>
          <w14:ligatures w14:val="standardContextual"/>
        </w:rPr>
        <w:t xml:space="preserve"> </w:t>
      </w:r>
      <w:r w:rsidR="00335421" w:rsidRPr="00834D69">
        <w:rPr>
          <w:rFonts w:asciiTheme="majorBidi" w:hAnsiTheme="majorBidi" w:cstheme="majorBidi"/>
          <w:sz w:val="24"/>
          <w:szCs w:val="24"/>
          <w:shd w:val="clear" w:color="auto" w:fill="FFFFFF"/>
        </w:rPr>
        <w:t xml:space="preserve">This characterization appears in the travel account of </w:t>
      </w:r>
      <w:proofErr w:type="spellStart"/>
      <w:r w:rsidR="00335421" w:rsidRPr="00834D69">
        <w:rPr>
          <w:rFonts w:asciiTheme="majorBidi" w:hAnsiTheme="majorBidi" w:cstheme="majorBidi"/>
          <w:sz w:val="24"/>
          <w:szCs w:val="24"/>
          <w:shd w:val="clear" w:color="auto" w:fill="FFFFFF"/>
        </w:rPr>
        <w:t>Evliya</w:t>
      </w:r>
      <w:proofErr w:type="spellEnd"/>
      <w:r w:rsidR="00335421" w:rsidRPr="00834D69">
        <w:rPr>
          <w:rFonts w:asciiTheme="majorBidi" w:hAnsiTheme="majorBidi" w:cstheme="majorBidi"/>
          <w:sz w:val="24"/>
          <w:szCs w:val="24"/>
          <w:shd w:val="clear" w:color="auto" w:fill="FFFFFF"/>
        </w:rPr>
        <w:t xml:space="preserve"> Celebi, who recorded his impressions while traveling through the region in the seventeenth century. After crossing the bridge north of Izmit along the Sakarya River, he described entering an immense forest whose dense shade disoriented travelers unfamiliar with its terrain. According to Celebi, those who lost their way in this wooded expanse sometimes fell prey to wild animals, while the air itself was thick with the scent of laurel, juniper, pine, and linden blossoms.</w:t>
      </w:r>
      <w:r w:rsidR="00335421" w:rsidRPr="00834D69">
        <w:rPr>
          <w:rStyle w:val="FootnoteReference"/>
          <w:rFonts w:asciiTheme="majorBidi" w:hAnsiTheme="majorBidi" w:cstheme="majorBidi"/>
          <w:sz w:val="24"/>
          <w:szCs w:val="24"/>
          <w:shd w:val="clear" w:color="auto" w:fill="FFFFFF"/>
        </w:rPr>
        <w:footnoteReference w:id="9"/>
      </w:r>
      <w:r w:rsidR="00335421" w:rsidRPr="00834D69">
        <w:rPr>
          <w:rFonts w:asciiTheme="majorBidi" w:hAnsiTheme="majorBidi" w:cstheme="majorBidi"/>
          <w:sz w:val="24"/>
          <w:szCs w:val="24"/>
          <w:shd w:val="clear" w:color="auto" w:fill="FFFFFF"/>
        </w:rPr>
        <w:t xml:space="preserve"> His account captures both the scale and the ecological richness of the forests that covered the Nicomedia hinterland. The forest that appeared to outside travelers as a disorienting wilderness was, for local inhabitants, a deeply familiar landscaped of labor and subsistenc</w:t>
      </w:r>
      <w:r w:rsidR="00791636" w:rsidRPr="00834D69">
        <w:rPr>
          <w:rFonts w:asciiTheme="majorBidi" w:hAnsiTheme="majorBidi" w:cstheme="majorBidi"/>
          <w:sz w:val="24"/>
          <w:szCs w:val="24"/>
          <w:shd w:val="clear" w:color="auto" w:fill="FFFFFF"/>
        </w:rPr>
        <w:t>e</w:t>
      </w:r>
      <w:r w:rsidR="00335421" w:rsidRPr="00834D69">
        <w:rPr>
          <w:rFonts w:asciiTheme="majorBidi" w:hAnsiTheme="majorBidi" w:cstheme="majorBidi"/>
          <w:sz w:val="24"/>
          <w:szCs w:val="24"/>
          <w:shd w:val="clear" w:color="auto" w:fill="FFFFFF"/>
        </w:rPr>
        <w:t xml:space="preserve">. This contrast between external perception and local knowledge would become increasingly consequential as imperial demands on the region intensified.  </w:t>
      </w:r>
    </w:p>
    <w:p w14:paraId="7E10B926" w14:textId="102C4371" w:rsidR="00335421" w:rsidRPr="00834D69" w:rsidRDefault="00A97D69" w:rsidP="00635435">
      <w:pPr>
        <w:autoSpaceDE w:val="0"/>
        <w:autoSpaceDN w:val="0"/>
        <w:adjustRightInd w:val="0"/>
        <w:spacing w:line="480" w:lineRule="auto"/>
        <w:jc w:val="both"/>
        <w:rPr>
          <w:rFonts w:asciiTheme="majorBidi" w:hAnsiTheme="majorBidi" w:cstheme="majorBidi"/>
          <w:sz w:val="24"/>
          <w:szCs w:val="24"/>
          <w:shd w:val="clear" w:color="auto" w:fill="FFFFFF"/>
        </w:rPr>
      </w:pPr>
      <w:r w:rsidRPr="00834D69">
        <w:rPr>
          <w:rFonts w:asciiTheme="majorBidi" w:hAnsiTheme="majorBidi" w:cstheme="majorBidi"/>
          <w:sz w:val="24"/>
          <w:szCs w:val="24"/>
          <w:shd w:val="clear" w:color="auto" w:fill="FFFFFF"/>
        </w:rPr>
        <w:t>From the perspective of the Ottoman state, these forests were not merely a wilderness but a vital</w:t>
      </w:r>
      <w:r w:rsidR="00C70D81" w:rsidRPr="00834D69">
        <w:rPr>
          <w:rFonts w:asciiTheme="majorBidi" w:hAnsiTheme="majorBidi" w:cstheme="majorBidi"/>
          <w:sz w:val="24"/>
          <w:szCs w:val="24"/>
          <w:shd w:val="clear" w:color="auto" w:fill="FFFFFF"/>
        </w:rPr>
        <w:t xml:space="preserve"> reservoir of timber and fuel that required strict administrative regulation to ensure the stability of the Imperial institutions. </w:t>
      </w:r>
      <w:r w:rsidR="00335421" w:rsidRPr="00834D69">
        <w:rPr>
          <w:rFonts w:asciiTheme="majorBidi" w:hAnsiTheme="majorBidi" w:cstheme="majorBidi"/>
          <w:sz w:val="24"/>
          <w:szCs w:val="24"/>
          <w:shd w:val="clear" w:color="auto" w:fill="FFFFFF"/>
        </w:rPr>
        <w:t>As Resul Narin notes, the Kocaeli region long stood out for its abundant woodland resources, which made it one of the empire’s principal zones of timber extraction. For centuries these forests supplied the timber required for naval construction for the Imperial Shipyard (</w:t>
      </w:r>
      <w:proofErr w:type="spellStart"/>
      <w:r w:rsidR="00335421" w:rsidRPr="00834D69">
        <w:rPr>
          <w:rFonts w:asciiTheme="majorBidi" w:hAnsiTheme="majorBidi" w:cstheme="majorBidi"/>
          <w:i/>
          <w:iCs/>
          <w:sz w:val="24"/>
          <w:szCs w:val="24"/>
          <w:shd w:val="clear" w:color="auto" w:fill="FFFFFF"/>
        </w:rPr>
        <w:t>Tersâne-i</w:t>
      </w:r>
      <w:proofErr w:type="spellEnd"/>
      <w:r w:rsidR="00335421" w:rsidRPr="00834D69">
        <w:rPr>
          <w:rFonts w:asciiTheme="majorBidi" w:hAnsiTheme="majorBidi" w:cstheme="majorBidi"/>
          <w:i/>
          <w:iCs/>
          <w:sz w:val="24"/>
          <w:szCs w:val="24"/>
          <w:shd w:val="clear" w:color="auto" w:fill="FFFFFF"/>
        </w:rPr>
        <w:t xml:space="preserve"> </w:t>
      </w:r>
      <w:proofErr w:type="spellStart"/>
      <w:r w:rsidR="00335421" w:rsidRPr="00834D69">
        <w:rPr>
          <w:rFonts w:asciiTheme="majorBidi" w:hAnsiTheme="majorBidi" w:cstheme="majorBidi"/>
          <w:i/>
          <w:iCs/>
          <w:sz w:val="24"/>
          <w:szCs w:val="24"/>
          <w:shd w:val="clear" w:color="auto" w:fill="FFFFFF"/>
        </w:rPr>
        <w:t>Âmire</w:t>
      </w:r>
      <w:proofErr w:type="spellEnd"/>
      <w:r w:rsidR="00335421" w:rsidRPr="00834D69">
        <w:rPr>
          <w:rFonts w:asciiTheme="majorBidi" w:hAnsiTheme="majorBidi" w:cstheme="majorBidi"/>
          <w:sz w:val="24"/>
          <w:szCs w:val="24"/>
          <w:shd w:val="clear" w:color="auto" w:fill="FFFFFF"/>
        </w:rPr>
        <w:t xml:space="preserve">), as well as for other state-affiliated shipyards and workshops. Studies by Idris </w:t>
      </w:r>
      <w:r w:rsidR="00335421" w:rsidRPr="00834D69">
        <w:rPr>
          <w:rFonts w:asciiTheme="majorBidi" w:hAnsiTheme="majorBidi" w:cstheme="majorBidi"/>
          <w:sz w:val="24"/>
          <w:szCs w:val="24"/>
          <w:shd w:val="clear" w:color="auto" w:fill="FFFFFF"/>
        </w:rPr>
        <w:lastRenderedPageBreak/>
        <w:t>Bostan likewise emphasize the centrality of the Kocaeli forests to provisioning of Ottoman naval infrastructure.</w:t>
      </w:r>
      <w:r w:rsidR="00335421" w:rsidRPr="00834D69">
        <w:rPr>
          <w:rStyle w:val="FootnoteReference"/>
          <w:rFonts w:asciiTheme="majorBidi" w:hAnsiTheme="majorBidi" w:cstheme="majorBidi"/>
          <w:sz w:val="24"/>
          <w:szCs w:val="24"/>
          <w:shd w:val="clear" w:color="auto" w:fill="FFFFFF"/>
        </w:rPr>
        <w:footnoteReference w:id="10"/>
      </w:r>
      <w:r w:rsidR="00335421" w:rsidRPr="00834D69">
        <w:rPr>
          <w:rFonts w:asciiTheme="majorBidi" w:hAnsiTheme="majorBidi" w:cstheme="majorBidi"/>
          <w:sz w:val="24"/>
          <w:szCs w:val="24"/>
          <w:shd w:val="clear" w:color="auto" w:fill="FFFFFF"/>
        </w:rPr>
        <w:t xml:space="preserve"> </w:t>
      </w:r>
      <w:r w:rsidR="00335421" w:rsidRPr="00834D69">
        <w:rPr>
          <w:rFonts w:asciiTheme="majorBidi" w:hAnsiTheme="majorBidi" w:cstheme="majorBidi"/>
          <w:sz w:val="24"/>
          <w:szCs w:val="24"/>
        </w:rPr>
        <w:t>Timber extraction and trade therefore constituted one of the principal economic activities in the region. From the perspective of the Ottoman state, however, timber was not merely a commodity but a strategic resource. To safeguard its supply, the government imposed strict regulations prohibiting the sale of timber abroad or to private merchants</w:t>
      </w:r>
      <w:r w:rsidR="009E368B" w:rsidRPr="00834D69">
        <w:rPr>
          <w:rFonts w:asciiTheme="majorBidi" w:hAnsiTheme="majorBidi" w:cstheme="majorBidi"/>
          <w:sz w:val="24"/>
          <w:szCs w:val="24"/>
        </w:rPr>
        <w:t xml:space="preserve">; </w:t>
      </w:r>
      <w:r w:rsidR="00335421" w:rsidRPr="00834D69">
        <w:rPr>
          <w:rFonts w:asciiTheme="majorBidi" w:hAnsiTheme="majorBidi" w:cstheme="majorBidi"/>
          <w:sz w:val="24"/>
          <w:szCs w:val="24"/>
        </w:rPr>
        <w:t>measures that, while aimed at securing state access to essential materials, also generated widespread smuggling, particularly in inland areas where administrative oversight was limited.</w:t>
      </w:r>
    </w:p>
    <w:p w14:paraId="629BD087" w14:textId="17D52C1F" w:rsidR="00335421" w:rsidRPr="00834D69" w:rsidRDefault="00335421" w:rsidP="00335421">
      <w:pPr>
        <w:pStyle w:val="NormalWeb"/>
        <w:spacing w:line="480" w:lineRule="auto"/>
        <w:jc w:val="both"/>
        <w:rPr>
          <w:rFonts w:asciiTheme="majorBidi" w:hAnsiTheme="majorBidi" w:cstheme="majorBidi"/>
        </w:rPr>
      </w:pPr>
      <w:r w:rsidRPr="00834D69">
        <w:rPr>
          <w:rFonts w:asciiTheme="majorBidi" w:hAnsiTheme="majorBidi" w:cstheme="majorBidi"/>
        </w:rPr>
        <w:t>Beyond shipbuilding, the</w:t>
      </w:r>
      <w:r w:rsidRPr="00834D69">
        <w:rPr>
          <w:rStyle w:val="apple-converted-space"/>
          <w:rFonts w:asciiTheme="majorBidi" w:hAnsiTheme="majorBidi" w:cstheme="majorBidi"/>
        </w:rPr>
        <w:t> </w:t>
      </w:r>
      <w:r w:rsidRPr="00834D69">
        <w:rPr>
          <w:rStyle w:val="il"/>
          <w:rFonts w:asciiTheme="majorBidi" w:hAnsiTheme="majorBidi" w:cstheme="majorBidi"/>
        </w:rPr>
        <w:t>forests</w:t>
      </w:r>
      <w:r w:rsidRPr="00834D69">
        <w:rPr>
          <w:rStyle w:val="apple-converted-space"/>
          <w:rFonts w:asciiTheme="majorBidi" w:hAnsiTheme="majorBidi" w:cstheme="majorBidi"/>
        </w:rPr>
        <w:t> </w:t>
      </w:r>
      <w:r w:rsidRPr="00834D69">
        <w:rPr>
          <w:rFonts w:asciiTheme="majorBidi" w:hAnsiTheme="majorBidi" w:cstheme="majorBidi"/>
        </w:rPr>
        <w:t xml:space="preserve">of Kocaeli </w:t>
      </w:r>
      <w:r w:rsidR="009E368B" w:rsidRPr="00834D69">
        <w:rPr>
          <w:rFonts w:asciiTheme="majorBidi" w:hAnsiTheme="majorBidi" w:cstheme="majorBidi"/>
        </w:rPr>
        <w:t>sustained</w:t>
      </w:r>
      <w:r w:rsidRPr="00834D69">
        <w:rPr>
          <w:rFonts w:asciiTheme="majorBidi" w:hAnsiTheme="majorBidi" w:cstheme="majorBidi"/>
        </w:rPr>
        <w:t xml:space="preserve"> </w:t>
      </w:r>
      <w:r w:rsidR="009E368B" w:rsidRPr="00834D69">
        <w:rPr>
          <w:rFonts w:asciiTheme="majorBidi" w:hAnsiTheme="majorBidi" w:cstheme="majorBidi"/>
        </w:rPr>
        <w:t>the everyday rhythms of the imperial capital itself</w:t>
      </w:r>
      <w:r w:rsidRPr="00834D69">
        <w:rPr>
          <w:rFonts w:asciiTheme="majorBidi" w:hAnsiTheme="majorBidi" w:cstheme="majorBidi"/>
        </w:rPr>
        <w:t>. The region served as one of the principal supply zones for Istanbul’s firewood</w:t>
      </w:r>
      <w:r w:rsidR="009E368B" w:rsidRPr="00834D69">
        <w:rPr>
          <w:rFonts w:asciiTheme="majorBidi" w:hAnsiTheme="majorBidi" w:cstheme="majorBidi"/>
        </w:rPr>
        <w:t xml:space="preserve">, </w:t>
      </w:r>
      <w:r w:rsidRPr="00834D69">
        <w:rPr>
          <w:rFonts w:asciiTheme="majorBidi" w:hAnsiTheme="majorBidi" w:cstheme="majorBidi"/>
        </w:rPr>
        <w:t>providing fuel for domestic heating, bakeries, and a range of artisanal workshops.</w:t>
      </w:r>
      <w:r w:rsidRPr="00834D69">
        <w:rPr>
          <w:rStyle w:val="apple-converted-space"/>
          <w:rFonts w:asciiTheme="majorBidi" w:hAnsiTheme="majorBidi" w:cstheme="majorBidi"/>
        </w:rPr>
        <w:t> </w:t>
      </w:r>
      <w:r w:rsidRPr="00834D69">
        <w:rPr>
          <w:rStyle w:val="il"/>
          <w:rFonts w:asciiTheme="majorBidi" w:hAnsiTheme="majorBidi" w:cstheme="majorBidi"/>
        </w:rPr>
        <w:t>Forest</w:t>
      </w:r>
      <w:r w:rsidRPr="00834D69">
        <w:rPr>
          <w:rStyle w:val="apple-converted-space"/>
          <w:rFonts w:asciiTheme="majorBidi" w:hAnsiTheme="majorBidi" w:cstheme="majorBidi"/>
        </w:rPr>
        <w:t> </w:t>
      </w:r>
      <w:r w:rsidRPr="00834D69">
        <w:rPr>
          <w:rFonts w:asciiTheme="majorBidi" w:hAnsiTheme="majorBidi" w:cstheme="majorBidi"/>
        </w:rPr>
        <w:t>products were also allocated to specific groups of craftsmen and used in the manufacture of household goods. In this sense, the</w:t>
      </w:r>
      <w:r w:rsidRPr="00834D69">
        <w:rPr>
          <w:rStyle w:val="apple-converted-space"/>
          <w:rFonts w:asciiTheme="majorBidi" w:hAnsiTheme="majorBidi" w:cstheme="majorBidi"/>
        </w:rPr>
        <w:t> </w:t>
      </w:r>
      <w:r w:rsidRPr="00834D69">
        <w:rPr>
          <w:rStyle w:val="il"/>
          <w:rFonts w:asciiTheme="majorBidi" w:hAnsiTheme="majorBidi" w:cstheme="majorBidi"/>
        </w:rPr>
        <w:t>forests</w:t>
      </w:r>
      <w:r w:rsidRPr="00834D69">
        <w:rPr>
          <w:rStyle w:val="apple-converted-space"/>
          <w:rFonts w:asciiTheme="majorBidi" w:hAnsiTheme="majorBidi" w:cstheme="majorBidi"/>
        </w:rPr>
        <w:t> </w:t>
      </w:r>
      <w:r w:rsidRPr="00834D69">
        <w:rPr>
          <w:rFonts w:asciiTheme="majorBidi" w:hAnsiTheme="majorBidi" w:cstheme="majorBidi"/>
        </w:rPr>
        <w:t>of the Nicomedia hinterland formed an essential</w:t>
      </w:r>
      <w:r w:rsidRPr="00834D69">
        <w:rPr>
          <w:rStyle w:val="apple-converted-space"/>
          <w:rFonts w:asciiTheme="majorBidi" w:hAnsiTheme="majorBidi" w:cstheme="majorBidi"/>
        </w:rPr>
        <w:t> </w:t>
      </w:r>
      <w:r w:rsidRPr="00834D69">
        <w:rPr>
          <w:rStyle w:val="il"/>
          <w:rFonts w:asciiTheme="majorBidi" w:hAnsiTheme="majorBidi" w:cstheme="majorBidi"/>
        </w:rPr>
        <w:t>ecological</w:t>
      </w:r>
      <w:r w:rsidRPr="00834D69">
        <w:rPr>
          <w:rStyle w:val="apple-converted-space"/>
          <w:rFonts w:asciiTheme="majorBidi" w:hAnsiTheme="majorBidi" w:cstheme="majorBidi"/>
        </w:rPr>
        <w:t> </w:t>
      </w:r>
      <w:r w:rsidRPr="00834D69">
        <w:rPr>
          <w:rFonts w:asciiTheme="majorBidi" w:hAnsiTheme="majorBidi" w:cstheme="majorBidi"/>
        </w:rPr>
        <w:t>hinterland of the Ottoman capital, linking rural landscapes directly to the material reproduction of urban life.</w:t>
      </w:r>
    </w:p>
    <w:p w14:paraId="0E9BB046" w14:textId="671C25EC" w:rsidR="00335421" w:rsidRPr="00834D69" w:rsidRDefault="00335421" w:rsidP="00335421">
      <w:pPr>
        <w:pStyle w:val="NormalWeb"/>
        <w:spacing w:line="480" w:lineRule="auto"/>
        <w:jc w:val="both"/>
        <w:rPr>
          <w:rFonts w:asciiTheme="majorBidi" w:hAnsiTheme="majorBidi" w:cstheme="majorBidi"/>
        </w:rPr>
      </w:pPr>
      <w:r w:rsidRPr="00834D69">
        <w:rPr>
          <w:rFonts w:asciiTheme="majorBidi" w:hAnsiTheme="majorBidi" w:cstheme="majorBidi"/>
        </w:rPr>
        <w:t>Within this broader</w:t>
      </w:r>
      <w:r w:rsidRPr="00834D69">
        <w:rPr>
          <w:rStyle w:val="apple-converted-space"/>
          <w:rFonts w:asciiTheme="majorBidi" w:hAnsiTheme="majorBidi" w:cstheme="majorBidi"/>
        </w:rPr>
        <w:t> </w:t>
      </w:r>
      <w:r w:rsidRPr="00834D69">
        <w:rPr>
          <w:rStyle w:val="il"/>
          <w:rFonts w:asciiTheme="majorBidi" w:hAnsiTheme="majorBidi" w:cstheme="majorBidi"/>
        </w:rPr>
        <w:t>forest</w:t>
      </w:r>
      <w:r w:rsidRPr="00834D69">
        <w:rPr>
          <w:rStyle w:val="apple-converted-space"/>
          <w:rFonts w:asciiTheme="majorBidi" w:hAnsiTheme="majorBidi" w:cstheme="majorBidi"/>
        </w:rPr>
        <w:t> </w:t>
      </w:r>
      <w:r w:rsidRPr="00834D69">
        <w:rPr>
          <w:rFonts w:asciiTheme="majorBidi" w:hAnsiTheme="majorBidi" w:cstheme="majorBidi"/>
        </w:rPr>
        <w:t>economy, Bardizag occupied a particularly advantageous position. Located within the wooded uplands of the Kocaeli peninsula close to the Sea of Marmara, the village combined abundant access to</w:t>
      </w:r>
      <w:r w:rsidRPr="00834D69">
        <w:rPr>
          <w:rStyle w:val="apple-converted-space"/>
          <w:rFonts w:asciiTheme="majorBidi" w:hAnsiTheme="majorBidi" w:cstheme="majorBidi"/>
        </w:rPr>
        <w:t> </w:t>
      </w:r>
      <w:r w:rsidRPr="00834D69">
        <w:rPr>
          <w:rStyle w:val="il"/>
          <w:rFonts w:asciiTheme="majorBidi" w:hAnsiTheme="majorBidi" w:cstheme="majorBidi"/>
        </w:rPr>
        <w:t>forest</w:t>
      </w:r>
      <w:r w:rsidRPr="00834D69">
        <w:rPr>
          <w:rStyle w:val="apple-converted-space"/>
          <w:rFonts w:asciiTheme="majorBidi" w:hAnsiTheme="majorBidi" w:cstheme="majorBidi"/>
        </w:rPr>
        <w:t> </w:t>
      </w:r>
      <w:r w:rsidRPr="00834D69">
        <w:rPr>
          <w:rFonts w:asciiTheme="majorBidi" w:hAnsiTheme="majorBidi" w:cstheme="majorBidi"/>
        </w:rPr>
        <w:t>resources with relatively easy maritime transport to the capital.</w:t>
      </w:r>
      <w:r w:rsidR="00DE0105" w:rsidRPr="00834D69">
        <w:rPr>
          <w:rFonts w:asciiTheme="majorBidi" w:hAnsiTheme="majorBidi" w:cstheme="majorBidi"/>
        </w:rPr>
        <w:t xml:space="preserve"> </w:t>
      </w:r>
      <w:r w:rsidRPr="00834D69">
        <w:rPr>
          <w:rFonts w:asciiTheme="majorBidi" w:hAnsiTheme="majorBidi" w:cstheme="majorBidi"/>
        </w:rPr>
        <w:t xml:space="preserve">Pine wood from the surrounding mountains could be converted into charcoal and shipped efficiently to Istanbul, making </w:t>
      </w:r>
      <w:r w:rsidR="000B4F96" w:rsidRPr="00834D69">
        <w:rPr>
          <w:rFonts w:asciiTheme="majorBidi" w:hAnsiTheme="majorBidi" w:cstheme="majorBidi"/>
        </w:rPr>
        <w:t>Bardizag</w:t>
      </w:r>
      <w:r w:rsidRPr="00834D69">
        <w:rPr>
          <w:rFonts w:asciiTheme="majorBidi" w:hAnsiTheme="majorBidi" w:cstheme="majorBidi"/>
        </w:rPr>
        <w:t xml:space="preserve"> an ideal supply zone for the fuel demands of the Imperial Mint. The</w:t>
      </w:r>
      <w:r w:rsidRPr="00834D69">
        <w:rPr>
          <w:rStyle w:val="apple-converted-space"/>
          <w:rFonts w:asciiTheme="majorBidi" w:hAnsiTheme="majorBidi" w:cstheme="majorBidi"/>
        </w:rPr>
        <w:t> </w:t>
      </w:r>
      <w:r w:rsidRPr="00834D69">
        <w:rPr>
          <w:rStyle w:val="il"/>
          <w:rFonts w:asciiTheme="majorBidi" w:hAnsiTheme="majorBidi" w:cstheme="majorBidi"/>
        </w:rPr>
        <w:t>forests</w:t>
      </w:r>
      <w:r w:rsidRPr="00834D69">
        <w:rPr>
          <w:rStyle w:val="apple-converted-space"/>
          <w:rFonts w:asciiTheme="majorBidi" w:hAnsiTheme="majorBidi" w:cstheme="majorBidi"/>
        </w:rPr>
        <w:t> </w:t>
      </w:r>
      <w:r w:rsidRPr="00834D69">
        <w:rPr>
          <w:rFonts w:asciiTheme="majorBidi" w:hAnsiTheme="majorBidi" w:cstheme="majorBidi"/>
        </w:rPr>
        <w:t xml:space="preserve">of the Nicomedia region thus formed the </w:t>
      </w:r>
      <w:r w:rsidR="00DE0105" w:rsidRPr="00834D69">
        <w:rPr>
          <w:rFonts w:asciiTheme="majorBidi" w:hAnsiTheme="majorBidi" w:cstheme="majorBidi"/>
        </w:rPr>
        <w:t>frontier</w:t>
      </w:r>
      <w:r w:rsidRPr="00834D69">
        <w:rPr>
          <w:rFonts w:asciiTheme="majorBidi" w:hAnsiTheme="majorBidi" w:cstheme="majorBidi"/>
        </w:rPr>
        <w:t xml:space="preserve"> of a wider imperial energy </w:t>
      </w:r>
      <w:r w:rsidRPr="00834D69">
        <w:rPr>
          <w:rFonts w:asciiTheme="majorBidi" w:hAnsiTheme="majorBidi" w:cstheme="majorBidi"/>
        </w:rPr>
        <w:lastRenderedPageBreak/>
        <w:t xml:space="preserve">system in which woodlands, rural labor, and urban institutions were tightly </w:t>
      </w:r>
      <w:r w:rsidR="000B4F96" w:rsidRPr="00834D69">
        <w:rPr>
          <w:rFonts w:asciiTheme="majorBidi" w:hAnsiTheme="majorBidi" w:cstheme="majorBidi"/>
        </w:rPr>
        <w:t xml:space="preserve">and durably </w:t>
      </w:r>
      <w:r w:rsidRPr="00834D69">
        <w:rPr>
          <w:rFonts w:asciiTheme="majorBidi" w:hAnsiTheme="majorBidi" w:cstheme="majorBidi"/>
        </w:rPr>
        <w:t>interconnected.</w:t>
      </w:r>
    </w:p>
    <w:p w14:paraId="5D3477BA" w14:textId="438E3EC0" w:rsidR="00A54F61" w:rsidRPr="00834D69" w:rsidRDefault="00A54F61" w:rsidP="00A54F61">
      <w:pPr>
        <w:pStyle w:val="NormalWeb"/>
        <w:spacing w:line="480" w:lineRule="auto"/>
        <w:ind w:firstLine="720"/>
        <w:jc w:val="both"/>
        <w:rPr>
          <w:rFonts w:asciiTheme="majorBidi" w:hAnsiTheme="majorBidi" w:cstheme="majorBidi"/>
        </w:rPr>
      </w:pPr>
      <w:r w:rsidRPr="00834D69">
        <w:rPr>
          <w:rFonts w:asciiTheme="majorBidi" w:hAnsiTheme="majorBidi" w:cstheme="majorBidi"/>
        </w:rPr>
        <w:t xml:space="preserve">The patterns of extraction, conflict, and depletion visible in the Nicomedia region were not unique to Nicomedia; they reflect a broader dynamic that has increasingly drawn the attention of Ottoman environmental historians. To understand what these pressures meant specifically for Bardizag’s peasant community, it is necessary to examine the legal categories that structured forest across the empire more broadly. </w:t>
      </w:r>
      <w:r w:rsidRPr="00834D69">
        <w:rPr>
          <w:rFonts w:asciiTheme="majorBidi" w:eastAsiaTheme="minorHAnsi" w:hAnsiTheme="majorBidi" w:cstheme="majorBidi"/>
          <w14:ligatures w14:val="standardContextual"/>
        </w:rPr>
        <w:t>Recent scholarship in Ottoman environmental history has shifted focus toward the governance of natural resources, particularly forests, and the ways forest policies restructured rural livelihoods. Central to this literature is the distinction between forest categories and their associated rights</w:t>
      </w:r>
      <w:r w:rsidRPr="00834D69">
        <w:rPr>
          <w:rFonts w:asciiTheme="majorBidi" w:eastAsiaTheme="minorHAnsi" w:hAnsiTheme="majorBidi" w:cstheme="majorBidi"/>
          <w:i/>
          <w:iCs/>
          <w14:ligatures w14:val="standardContextual"/>
        </w:rPr>
        <w:t>. Cibal-</w:t>
      </w:r>
      <w:proofErr w:type="spellStart"/>
      <w:r w:rsidRPr="00834D69">
        <w:rPr>
          <w:rFonts w:asciiTheme="majorBidi" w:eastAsiaTheme="minorHAnsi" w:hAnsiTheme="majorBidi" w:cstheme="majorBidi"/>
          <w:i/>
          <w:iCs/>
          <w14:ligatures w14:val="standardContextual"/>
        </w:rPr>
        <w:t>i</w:t>
      </w:r>
      <w:proofErr w:type="spellEnd"/>
      <w:r w:rsidRPr="00834D69">
        <w:rPr>
          <w:rFonts w:asciiTheme="majorBidi" w:eastAsiaTheme="minorHAnsi" w:hAnsiTheme="majorBidi" w:cstheme="majorBidi"/>
          <w:i/>
          <w:iCs/>
          <w14:ligatures w14:val="standardContextual"/>
        </w:rPr>
        <w:t xml:space="preserve"> </w:t>
      </w:r>
      <w:proofErr w:type="spellStart"/>
      <w:r w:rsidRPr="00834D69">
        <w:rPr>
          <w:rFonts w:asciiTheme="majorBidi" w:eastAsiaTheme="minorHAnsi" w:hAnsiTheme="majorBidi" w:cstheme="majorBidi"/>
          <w:i/>
          <w:iCs/>
          <w14:ligatures w14:val="standardContextual"/>
        </w:rPr>
        <w:t>mubaha</w:t>
      </w:r>
      <w:proofErr w:type="spellEnd"/>
      <w:r w:rsidRPr="00834D69">
        <w:rPr>
          <w:rFonts w:asciiTheme="majorBidi" w:eastAsiaTheme="minorHAnsi" w:hAnsiTheme="majorBidi" w:cstheme="majorBidi"/>
          <w14:ligatures w14:val="standardContextual"/>
        </w:rPr>
        <w:t xml:space="preserve"> forests; unenclosed; publicly accessible state-owned lands, functioned as commons that supported subsistence activities such as grazing, fuelwood collection, and small-scale production. Even though legally held by the state, they were traditionally open to local use, reflecting a regime of permissive, customary access. Scholars including </w:t>
      </w:r>
      <w:r w:rsidRPr="00834D69">
        <w:rPr>
          <w:rStyle w:val="apple-converted-space"/>
          <w:rFonts w:asciiTheme="majorBidi" w:hAnsiTheme="majorBidi" w:cstheme="majorBidi"/>
          <w:shd w:val="clear" w:color="auto" w:fill="FFFFFF"/>
        </w:rPr>
        <w:t> </w:t>
      </w:r>
      <w:r w:rsidRPr="00834D69">
        <w:rPr>
          <w:rFonts w:asciiTheme="majorBidi" w:hAnsiTheme="majorBidi" w:cstheme="majorBidi"/>
          <w:shd w:val="clear" w:color="auto" w:fill="FFFFFF"/>
        </w:rPr>
        <w:t xml:space="preserve">Selçuk </w:t>
      </w:r>
      <w:r w:rsidRPr="00834D69">
        <w:rPr>
          <w:rFonts w:asciiTheme="majorBidi" w:eastAsiaTheme="minorHAnsi" w:hAnsiTheme="majorBidi" w:cstheme="majorBidi"/>
          <w14:ligatures w14:val="standardContextual"/>
        </w:rPr>
        <w:t xml:space="preserve">Dursun, </w:t>
      </w:r>
      <w:r w:rsidRPr="00834D69">
        <w:rPr>
          <w:rFonts w:asciiTheme="majorBidi" w:hAnsiTheme="majorBidi" w:cstheme="majorBidi"/>
          <w:shd w:val="clear" w:color="auto" w:fill="FFFFFF"/>
        </w:rPr>
        <w:t>Önder</w:t>
      </w:r>
      <w:r w:rsidRPr="00834D69">
        <w:rPr>
          <w:rStyle w:val="apple-converted-space"/>
          <w:rFonts w:asciiTheme="majorBidi" w:hAnsiTheme="majorBidi" w:cstheme="majorBidi"/>
          <w:shd w:val="clear" w:color="auto" w:fill="FFFFFF"/>
        </w:rPr>
        <w:t> </w:t>
      </w:r>
      <w:r w:rsidRPr="00834D69">
        <w:rPr>
          <w:rFonts w:asciiTheme="majorBidi" w:eastAsiaTheme="minorHAnsi" w:hAnsiTheme="majorBidi" w:cstheme="majorBidi"/>
          <w14:ligatures w14:val="standardContextual"/>
        </w:rPr>
        <w:t xml:space="preserve"> Eren </w:t>
      </w:r>
      <w:r w:rsidRPr="00834D69">
        <w:rPr>
          <w:rFonts w:asciiTheme="majorBidi" w:hAnsiTheme="majorBidi" w:cstheme="majorBidi"/>
          <w:shd w:val="clear" w:color="auto" w:fill="FFFFFF"/>
        </w:rPr>
        <w:t>Akgül</w:t>
      </w:r>
      <w:r w:rsidRPr="00834D69">
        <w:rPr>
          <w:rFonts w:asciiTheme="majorBidi" w:eastAsiaTheme="minorHAnsi" w:hAnsiTheme="majorBidi" w:cstheme="majorBidi"/>
          <w14:ligatures w14:val="standardContextual"/>
        </w:rPr>
        <w:t xml:space="preserve">, and </w:t>
      </w:r>
      <w:r w:rsidRPr="00834D69">
        <w:rPr>
          <w:rStyle w:val="mw-page-title-main"/>
          <w:rFonts w:asciiTheme="majorBidi" w:hAnsiTheme="majorBidi" w:cstheme="majorBidi"/>
          <w:lang w:val="en"/>
        </w:rPr>
        <w:t>Başak</w:t>
      </w:r>
      <w:r w:rsidRPr="00834D69">
        <w:rPr>
          <w:rStyle w:val="mw-page-title-main"/>
          <w:rFonts w:asciiTheme="majorBidi" w:hAnsiTheme="majorBidi" w:cstheme="majorBidi"/>
        </w:rPr>
        <w:t xml:space="preserve"> A</w:t>
      </w:r>
      <w:r w:rsidRPr="00834D69">
        <w:rPr>
          <w:rFonts w:asciiTheme="majorBidi" w:hAnsiTheme="majorBidi" w:cstheme="majorBidi"/>
          <w:shd w:val="clear" w:color="auto" w:fill="FFFFFF"/>
        </w:rPr>
        <w:t>kgül</w:t>
      </w:r>
      <w:r w:rsidRPr="00834D69">
        <w:rPr>
          <w:rFonts w:asciiTheme="majorBidi" w:eastAsiaTheme="minorHAnsi" w:hAnsiTheme="majorBidi" w:cstheme="majorBidi"/>
          <w14:ligatures w14:val="standardContextual"/>
        </w:rPr>
        <w:t xml:space="preserve"> have demonstrated that nineteenth century Ottoman reforms progressively redefined these forests as economic and strategic assets, restricting customary use and transforming formerly open-access lands into legally defined state property.</w:t>
      </w:r>
      <w:r w:rsidR="004C39AA" w:rsidRPr="00834D69">
        <w:rPr>
          <w:rFonts w:asciiTheme="majorBidi" w:eastAsiaTheme="minorHAnsi" w:hAnsiTheme="majorBidi" w:cstheme="majorBidi"/>
          <w14:ligatures w14:val="standardContextual"/>
        </w:rPr>
        <w:t xml:space="preserve"> </w:t>
      </w:r>
      <w:r w:rsidR="004C39AA" w:rsidRPr="00834D69">
        <w:rPr>
          <w:rStyle w:val="FootnoteReference"/>
          <w:rFonts w:asciiTheme="majorBidi" w:eastAsiaTheme="minorHAnsi" w:hAnsiTheme="majorBidi" w:cstheme="majorBidi"/>
          <w14:ligatures w14:val="standardContextual"/>
        </w:rPr>
        <w:footnoteReference w:id="11"/>
      </w:r>
    </w:p>
    <w:p w14:paraId="40E213A8" w14:textId="3E660989" w:rsidR="00A54F61" w:rsidRPr="00834D69" w:rsidRDefault="001E7853" w:rsidP="00A54F61">
      <w:pPr>
        <w:pStyle w:val="NormalWeb"/>
        <w:spacing w:line="480" w:lineRule="auto"/>
        <w:ind w:firstLine="720"/>
        <w:jc w:val="both"/>
        <w:rPr>
          <w:rFonts w:asciiTheme="majorBidi" w:hAnsiTheme="majorBidi" w:cstheme="majorBidi"/>
        </w:rPr>
      </w:pPr>
      <w:r w:rsidRPr="00834D69">
        <w:rPr>
          <w:rFonts w:asciiTheme="majorBidi" w:eastAsiaTheme="minorHAnsi" w:hAnsiTheme="majorBidi" w:cstheme="majorBidi"/>
          <w14:ligatures w14:val="standardContextual"/>
        </w:rPr>
        <w:t xml:space="preserve">Ottoman environmental governance relied on hierarchical legal categories, such as the distinction between state and commons, to prioritize state extractive needs over local customary </w:t>
      </w:r>
      <w:r w:rsidRPr="00834D69">
        <w:rPr>
          <w:rFonts w:asciiTheme="majorBidi" w:eastAsiaTheme="minorHAnsi" w:hAnsiTheme="majorBidi" w:cstheme="majorBidi"/>
          <w14:ligatures w14:val="standardContextual"/>
        </w:rPr>
        <w:lastRenderedPageBreak/>
        <w:t xml:space="preserve">access. </w:t>
      </w:r>
      <w:r w:rsidR="00A54F61" w:rsidRPr="00834D69">
        <w:rPr>
          <w:rFonts w:asciiTheme="majorBidi" w:eastAsiaTheme="minorHAnsi" w:hAnsiTheme="majorBidi" w:cstheme="majorBidi"/>
          <w14:ligatures w14:val="standardContextual"/>
        </w:rPr>
        <w:t xml:space="preserve">The experience of Armenian peasants in Bardizag both complicates and extends this historiographical narrative. Unlike communities relying on commons, Bardizag’s peasants depended on </w:t>
      </w:r>
      <w:proofErr w:type="spellStart"/>
      <w:r w:rsidR="00A54F61" w:rsidRPr="00834D69">
        <w:rPr>
          <w:rFonts w:asciiTheme="majorBidi" w:eastAsiaTheme="minorHAnsi" w:hAnsiTheme="majorBidi" w:cstheme="majorBidi"/>
          <w:i/>
          <w:iCs/>
          <w14:ligatures w14:val="standardContextual"/>
        </w:rPr>
        <w:t>cibal-i</w:t>
      </w:r>
      <w:proofErr w:type="spellEnd"/>
      <w:r w:rsidR="00A54F61" w:rsidRPr="00834D69">
        <w:rPr>
          <w:rFonts w:asciiTheme="majorBidi" w:eastAsiaTheme="minorHAnsi" w:hAnsiTheme="majorBidi" w:cstheme="majorBidi"/>
          <w:i/>
          <w:iCs/>
          <w14:ligatures w14:val="standardContextual"/>
        </w:rPr>
        <w:t xml:space="preserve"> </w:t>
      </w:r>
      <w:proofErr w:type="spellStart"/>
      <w:r w:rsidR="00A54F61" w:rsidRPr="00834D69">
        <w:rPr>
          <w:rFonts w:asciiTheme="majorBidi" w:hAnsiTheme="majorBidi" w:cstheme="majorBidi"/>
          <w:i/>
          <w:iCs/>
          <w:shd w:val="clear" w:color="auto" w:fill="FFFFFF"/>
        </w:rPr>
        <w:t>şahâne</w:t>
      </w:r>
      <w:proofErr w:type="spellEnd"/>
      <w:r w:rsidR="00A54F61" w:rsidRPr="00834D69">
        <w:rPr>
          <w:rFonts w:asciiTheme="majorBidi" w:eastAsiaTheme="minorHAnsi" w:hAnsiTheme="majorBidi" w:cstheme="majorBidi"/>
          <w14:ligatures w14:val="standardContextual"/>
        </w:rPr>
        <w:t xml:space="preserve"> or mostly known as </w:t>
      </w:r>
      <w:r w:rsidR="00A54F61" w:rsidRPr="00834D69">
        <w:rPr>
          <w:rFonts w:asciiTheme="majorBidi" w:eastAsiaTheme="minorHAnsi" w:hAnsiTheme="majorBidi" w:cstheme="majorBidi"/>
          <w:i/>
          <w:iCs/>
          <w14:ligatures w14:val="standardContextual"/>
        </w:rPr>
        <w:t>miri</w:t>
      </w:r>
      <w:r w:rsidR="00A54F61" w:rsidRPr="00834D69">
        <w:rPr>
          <w:rFonts w:asciiTheme="majorBidi" w:eastAsiaTheme="minorHAnsi" w:hAnsiTheme="majorBidi" w:cstheme="majorBidi"/>
          <w14:ligatures w14:val="standardContextual"/>
        </w:rPr>
        <w:t xml:space="preserve"> forests, a category of state-owned woodland under direct imperial control, where access was formally restricted than customarily permitted. Seasonal grazing one of the central pillars of Bardizag’s rural economy was explicitly prohibited in these miri forests.</w:t>
      </w:r>
      <w:r w:rsidR="00A54F61" w:rsidRPr="00834D69">
        <w:rPr>
          <w:rStyle w:val="FootnoteReference"/>
          <w:rFonts w:asciiTheme="majorBidi" w:eastAsiaTheme="minorHAnsi" w:hAnsiTheme="majorBidi" w:cstheme="majorBidi"/>
          <w14:ligatures w14:val="standardContextual"/>
        </w:rPr>
        <w:footnoteReference w:id="12"/>
      </w:r>
      <w:r w:rsidR="00A54F61" w:rsidRPr="00834D69">
        <w:rPr>
          <w:rFonts w:asciiTheme="majorBidi" w:eastAsiaTheme="minorHAnsi" w:hAnsiTheme="majorBidi" w:cstheme="majorBidi"/>
          <w14:ligatures w14:val="standardContextual"/>
        </w:rPr>
        <w:t xml:space="preserve"> </w:t>
      </w:r>
      <w:r w:rsidR="00A54F61" w:rsidRPr="00834D69">
        <w:rPr>
          <w:rFonts w:asciiTheme="majorBidi" w:hAnsiTheme="majorBidi" w:cstheme="majorBidi"/>
        </w:rPr>
        <w:t>The conflict over forest access in Bardizag thus reveals that environmental dispossession was not solely a product of privatization or commercialization, but also of the enforcement of hierarchical legal categories that determined who could access essential ecological resources and on what terms.</w:t>
      </w:r>
    </w:p>
    <w:p w14:paraId="3C18DBE3" w14:textId="3DA01DBE" w:rsidR="00A54F61" w:rsidRPr="00834D69" w:rsidRDefault="001E7853" w:rsidP="00A54F61">
      <w:pPr>
        <w:pStyle w:val="NormalWeb"/>
        <w:spacing w:line="480" w:lineRule="auto"/>
        <w:ind w:firstLine="720"/>
        <w:jc w:val="both"/>
        <w:rPr>
          <w:rFonts w:asciiTheme="majorBidi" w:hAnsiTheme="majorBidi" w:cstheme="majorBidi"/>
        </w:rPr>
      </w:pPr>
      <w:r w:rsidRPr="00834D69">
        <w:rPr>
          <w:rFonts w:asciiTheme="majorBidi" w:hAnsiTheme="majorBidi" w:cstheme="majorBidi"/>
        </w:rPr>
        <w:t xml:space="preserve">The enforcement of restricted access in Bardizag illustrates that environmental dispossession was often driven by the state’s need to secure essential ecological resources for its metallurgical operations. </w:t>
      </w:r>
      <w:r w:rsidR="00A54F61" w:rsidRPr="00834D69">
        <w:rPr>
          <w:rFonts w:asciiTheme="majorBidi" w:hAnsiTheme="majorBidi" w:cstheme="majorBidi"/>
        </w:rPr>
        <w:t>Integrating Bardizag into this broader debate makes clear that Ottoman Forest administration cannot be understood merely as a technical or economic reform. It was</w:t>
      </w:r>
      <w:r w:rsidRPr="00834D69">
        <w:rPr>
          <w:rFonts w:asciiTheme="majorBidi" w:hAnsiTheme="majorBidi" w:cstheme="majorBidi"/>
        </w:rPr>
        <w:t xml:space="preserve">, rather, a. </w:t>
      </w:r>
      <w:r w:rsidR="00A54F61" w:rsidRPr="00834D69">
        <w:rPr>
          <w:rFonts w:asciiTheme="majorBidi" w:hAnsiTheme="majorBidi" w:cstheme="majorBidi"/>
        </w:rPr>
        <w:t xml:space="preserve">state-mediated process of environmental governance that reshaped customary rights and subsistence strategies in ways that varied significantly according to forest classification and local social structure. The natural conditions of the Nicomedia region its dense forests, accessible coastline, and proximity to Istanbul made Bardizag uniquely suited to supply the fuel that sustained the metallurgical operations of the Imperial Mint. </w:t>
      </w:r>
      <w:r w:rsidR="00542501" w:rsidRPr="00834D69">
        <w:rPr>
          <w:rStyle w:val="FootnoteReference"/>
          <w:rFonts w:asciiTheme="majorBidi" w:hAnsiTheme="majorBidi" w:cstheme="majorBidi"/>
        </w:rPr>
        <w:footnoteReference w:id="13"/>
      </w:r>
      <w:r w:rsidR="005A2571" w:rsidRPr="00834D69">
        <w:rPr>
          <w:rFonts w:asciiTheme="majorBidi" w:hAnsiTheme="majorBidi" w:cstheme="majorBidi"/>
        </w:rPr>
        <w:t xml:space="preserve"> </w:t>
      </w:r>
      <w:r w:rsidR="00A54F61" w:rsidRPr="00834D69">
        <w:rPr>
          <w:rFonts w:asciiTheme="majorBidi" w:hAnsiTheme="majorBidi" w:cstheme="majorBidi"/>
        </w:rPr>
        <w:t xml:space="preserve">Yet those same conditions drew the village </w:t>
      </w:r>
      <w:r w:rsidR="00A54F61" w:rsidRPr="00834D69">
        <w:rPr>
          <w:rFonts w:asciiTheme="majorBidi" w:hAnsiTheme="majorBidi" w:cstheme="majorBidi"/>
        </w:rPr>
        <w:lastRenderedPageBreak/>
        <w:t>ever more deeply into an imperial system that, over time, eroded the customary foundations on which its rural economy depended.</w:t>
      </w:r>
    </w:p>
    <w:p w14:paraId="0C44E03E" w14:textId="0B81B43B" w:rsidR="00006249" w:rsidRPr="00834D69" w:rsidRDefault="00FD38D6" w:rsidP="00006249">
      <w:pPr>
        <w:pStyle w:val="NormalWeb"/>
        <w:spacing w:line="480" w:lineRule="auto"/>
        <w:jc w:val="both"/>
        <w:rPr>
          <w:rFonts w:asciiTheme="majorBidi" w:hAnsiTheme="majorBidi" w:cstheme="majorBidi"/>
        </w:rPr>
      </w:pPr>
      <w:r w:rsidRPr="00834D69">
        <w:rPr>
          <w:rFonts w:asciiTheme="majorBidi" w:hAnsiTheme="majorBidi" w:cstheme="majorBidi"/>
        </w:rPr>
        <w:t>The 1803 decree exempting Bardizag</w:t>
      </w:r>
      <w:r w:rsidR="009E368B" w:rsidRPr="00834D69">
        <w:rPr>
          <w:rFonts w:asciiTheme="majorBidi" w:hAnsiTheme="majorBidi" w:cstheme="majorBidi"/>
        </w:rPr>
        <w:t xml:space="preserve"> with </w:t>
      </w:r>
      <w:proofErr w:type="spellStart"/>
      <w:r w:rsidR="009E368B" w:rsidRPr="00834D69">
        <w:rPr>
          <w:rFonts w:asciiTheme="majorBidi" w:hAnsiTheme="majorBidi" w:cstheme="majorBidi"/>
        </w:rPr>
        <w:t>Yuvacık</w:t>
      </w:r>
      <w:proofErr w:type="spellEnd"/>
      <w:r w:rsidR="009E368B" w:rsidRPr="00834D69">
        <w:rPr>
          <w:rFonts w:asciiTheme="majorBidi" w:hAnsiTheme="majorBidi" w:cstheme="majorBidi"/>
        </w:rPr>
        <w:t xml:space="preserve"> and </w:t>
      </w:r>
      <w:proofErr w:type="spellStart"/>
      <w:r w:rsidR="009E368B" w:rsidRPr="00834D69">
        <w:rPr>
          <w:rFonts w:asciiTheme="majorBidi" w:hAnsiTheme="majorBidi" w:cstheme="majorBidi"/>
        </w:rPr>
        <w:t>Yeniköy</w:t>
      </w:r>
      <w:proofErr w:type="spellEnd"/>
      <w:r w:rsidR="009E368B" w:rsidRPr="00834D69">
        <w:rPr>
          <w:rFonts w:asciiTheme="majorBidi" w:hAnsiTheme="majorBidi" w:cstheme="majorBidi"/>
        </w:rPr>
        <w:t xml:space="preserve">, from </w:t>
      </w:r>
      <w:r w:rsidRPr="00834D69">
        <w:rPr>
          <w:rFonts w:asciiTheme="majorBidi" w:hAnsiTheme="majorBidi" w:cstheme="majorBidi"/>
        </w:rPr>
        <w:t xml:space="preserve">firewood delivery </w:t>
      </w:r>
      <w:r w:rsidR="009E368B" w:rsidRPr="00834D69">
        <w:rPr>
          <w:rFonts w:asciiTheme="majorBidi" w:hAnsiTheme="majorBidi" w:cstheme="majorBidi"/>
        </w:rPr>
        <w:t>to Istanbul</w:t>
      </w:r>
      <w:r w:rsidRPr="00834D69">
        <w:rPr>
          <w:rFonts w:asciiTheme="majorBidi" w:hAnsiTheme="majorBidi" w:cstheme="majorBidi"/>
        </w:rPr>
        <w:t>, was not a neutral administrative act but an instrument of proto-industrial labor discipline designed to bind the village exclusively to charcoal production</w:t>
      </w:r>
      <w:r w:rsidR="009E368B" w:rsidRPr="00834D69">
        <w:rPr>
          <w:rFonts w:asciiTheme="majorBidi" w:hAnsiTheme="majorBidi" w:cstheme="majorBidi"/>
        </w:rPr>
        <w:t>.</w:t>
      </w:r>
      <w:r w:rsidR="00006249" w:rsidRPr="00834D69">
        <w:rPr>
          <w:rStyle w:val="FootnoteReference"/>
          <w:rFonts w:asciiTheme="majorBidi" w:hAnsiTheme="majorBidi" w:cstheme="majorBidi"/>
        </w:rPr>
        <w:footnoteReference w:id="14"/>
      </w:r>
      <w:r w:rsidR="009E368B" w:rsidRPr="00834D69">
        <w:rPr>
          <w:rFonts w:asciiTheme="majorBidi" w:hAnsiTheme="majorBidi" w:cstheme="majorBidi"/>
        </w:rPr>
        <w:t xml:space="preserve"> This exemption reveals the village’s strategic place within the Ottoman imperial provisioning and energy regime, particularly in relation to the Imperial Mint. While many settlements in the </w:t>
      </w:r>
      <w:proofErr w:type="spellStart"/>
      <w:r w:rsidR="009E368B" w:rsidRPr="00834D69">
        <w:rPr>
          <w:rFonts w:asciiTheme="majorBidi" w:hAnsiTheme="majorBidi" w:cstheme="majorBidi"/>
        </w:rPr>
        <w:t>İznikmid</w:t>
      </w:r>
      <w:proofErr w:type="spellEnd"/>
      <w:r w:rsidR="009E368B" w:rsidRPr="00834D69">
        <w:rPr>
          <w:rFonts w:asciiTheme="majorBidi" w:hAnsiTheme="majorBidi" w:cstheme="majorBidi"/>
        </w:rPr>
        <w:t xml:space="preserve"> region were mobilized to cut and transport firewood to meet the capital’s growing fuel demands, Bardizag was reserved </w:t>
      </w:r>
      <w:r w:rsidR="00AB26A7" w:rsidRPr="00834D69">
        <w:rPr>
          <w:rFonts w:asciiTheme="majorBidi" w:hAnsiTheme="majorBidi" w:cstheme="majorBidi"/>
        </w:rPr>
        <w:t>to produce pine</w:t>
      </w:r>
      <w:r w:rsidR="009E368B" w:rsidRPr="00834D69">
        <w:rPr>
          <w:rFonts w:asciiTheme="majorBidi" w:hAnsiTheme="majorBidi" w:cstheme="majorBidi"/>
        </w:rPr>
        <w:t xml:space="preserve"> charcoal</w:t>
      </w:r>
      <w:r w:rsidR="00AB26A7" w:rsidRPr="00834D69">
        <w:rPr>
          <w:rFonts w:asciiTheme="majorBidi" w:hAnsiTheme="majorBidi" w:cstheme="majorBidi"/>
        </w:rPr>
        <w:t xml:space="preserve"> (</w:t>
      </w:r>
      <w:proofErr w:type="spellStart"/>
      <w:r w:rsidR="00AB26A7" w:rsidRPr="00834D69">
        <w:rPr>
          <w:rFonts w:asciiTheme="majorBidi" w:hAnsiTheme="majorBidi" w:cstheme="majorBidi"/>
          <w:i/>
          <w:iCs/>
        </w:rPr>
        <w:t>kömür</w:t>
      </w:r>
      <w:proofErr w:type="spellEnd"/>
      <w:r w:rsidR="00AB26A7" w:rsidRPr="00834D69">
        <w:rPr>
          <w:rFonts w:asciiTheme="majorBidi" w:hAnsiTheme="majorBidi" w:cstheme="majorBidi"/>
          <w:i/>
          <w:iCs/>
        </w:rPr>
        <w:t xml:space="preserve"> </w:t>
      </w:r>
      <w:proofErr w:type="spellStart"/>
      <w:r w:rsidR="00AB26A7" w:rsidRPr="00834D69">
        <w:rPr>
          <w:rFonts w:asciiTheme="majorBidi" w:hAnsiTheme="majorBidi" w:cstheme="majorBidi"/>
          <w:i/>
          <w:iCs/>
        </w:rPr>
        <w:t>istihsali</w:t>
      </w:r>
      <w:proofErr w:type="spellEnd"/>
      <w:r w:rsidR="00AB26A7" w:rsidRPr="00834D69">
        <w:rPr>
          <w:rFonts w:asciiTheme="majorBidi" w:hAnsiTheme="majorBidi" w:cstheme="majorBidi"/>
        </w:rPr>
        <w:t>)</w:t>
      </w:r>
      <w:r w:rsidR="009E368B" w:rsidRPr="00834D69">
        <w:rPr>
          <w:rFonts w:asciiTheme="majorBidi" w:hAnsiTheme="majorBidi" w:cstheme="majorBidi"/>
        </w:rPr>
        <w:t xml:space="preserve">, a specialized fuel required for metallurgical processes at the mint. </w:t>
      </w:r>
      <w:r w:rsidR="00006249" w:rsidRPr="00834D69">
        <w:rPr>
          <w:rFonts w:asciiTheme="majorBidi" w:hAnsiTheme="majorBidi" w:cstheme="majorBidi"/>
        </w:rPr>
        <w:t>Expressed in the absolutist legal idiom of forbidden in every respect</w:t>
      </w:r>
      <w:r w:rsidR="00006249" w:rsidRPr="00834D69">
        <w:rPr>
          <w:rStyle w:val="Emphasis"/>
          <w:rFonts w:asciiTheme="majorBidi" w:hAnsiTheme="majorBidi" w:cstheme="majorBidi"/>
        </w:rPr>
        <w:t xml:space="preserve"> </w:t>
      </w:r>
      <w:r w:rsidR="00006249" w:rsidRPr="00834D69">
        <w:rPr>
          <w:rStyle w:val="Emphasis"/>
          <w:rFonts w:asciiTheme="majorBidi" w:hAnsiTheme="majorBidi" w:cstheme="majorBidi"/>
          <w:i w:val="0"/>
          <w:iCs w:val="0"/>
        </w:rPr>
        <w:t>(</w:t>
      </w:r>
      <w:r w:rsidR="00006249" w:rsidRPr="00834D69">
        <w:rPr>
          <w:rStyle w:val="Emphasis"/>
          <w:rFonts w:asciiTheme="majorBidi" w:hAnsiTheme="majorBidi" w:cstheme="majorBidi"/>
        </w:rPr>
        <w:t xml:space="preserve">min kulli'l-wujūh </w:t>
      </w:r>
      <w:proofErr w:type="spellStart"/>
      <w:r w:rsidR="00006249" w:rsidRPr="00834D69">
        <w:rPr>
          <w:rStyle w:val="Emphasis"/>
          <w:rFonts w:asciiTheme="majorBidi" w:hAnsiTheme="majorBidi" w:cstheme="majorBidi"/>
        </w:rPr>
        <w:t>mamnū</w:t>
      </w:r>
      <w:proofErr w:type="spellEnd"/>
      <w:r w:rsidR="00006249" w:rsidRPr="00834D69">
        <w:rPr>
          <w:rStyle w:val="Emphasis"/>
          <w:rFonts w:asciiTheme="majorBidi" w:hAnsiTheme="majorBidi" w:cstheme="majorBidi"/>
        </w:rPr>
        <w:t>'</w:t>
      </w:r>
      <w:r w:rsidR="00006249" w:rsidRPr="00834D69">
        <w:rPr>
          <w:rFonts w:asciiTheme="majorBidi" w:hAnsiTheme="majorBidi" w:cstheme="majorBidi"/>
        </w:rPr>
        <w:t>)</w:t>
      </w:r>
      <w:r w:rsidR="00AB26A7" w:rsidRPr="00834D69">
        <w:rPr>
          <w:rFonts w:asciiTheme="majorBidi" w:hAnsiTheme="majorBidi" w:cstheme="majorBidi"/>
        </w:rPr>
        <w:t xml:space="preserve"> </w:t>
      </w:r>
      <w:r w:rsidR="00006249" w:rsidRPr="00834D69">
        <w:rPr>
          <w:rFonts w:asciiTheme="majorBidi" w:hAnsiTheme="majorBidi" w:cstheme="majorBidi"/>
        </w:rPr>
        <w:t>the prohibitions</w:t>
      </w:r>
      <w:r w:rsidR="00AB26A7" w:rsidRPr="00834D69">
        <w:rPr>
          <w:rFonts w:asciiTheme="majorBidi" w:hAnsiTheme="majorBidi" w:cstheme="majorBidi"/>
        </w:rPr>
        <w:t xml:space="preserve"> (</w:t>
      </w:r>
      <w:r w:rsidR="00AB26A7" w:rsidRPr="00834D69">
        <w:rPr>
          <w:rFonts w:asciiTheme="majorBidi" w:hAnsiTheme="majorBidi" w:cstheme="majorBidi"/>
          <w:i/>
          <w:iCs/>
        </w:rPr>
        <w:t xml:space="preserve">men‘ </w:t>
      </w:r>
      <w:proofErr w:type="spellStart"/>
      <w:r w:rsidR="00AB26A7" w:rsidRPr="00834D69">
        <w:rPr>
          <w:rFonts w:asciiTheme="majorBidi" w:hAnsiTheme="majorBidi" w:cstheme="majorBidi"/>
          <w:i/>
          <w:iCs/>
        </w:rPr>
        <w:t>ve</w:t>
      </w:r>
      <w:proofErr w:type="spellEnd"/>
      <w:r w:rsidR="00AB26A7" w:rsidRPr="00834D69">
        <w:rPr>
          <w:rFonts w:asciiTheme="majorBidi" w:hAnsiTheme="majorBidi" w:cstheme="majorBidi"/>
          <w:i/>
          <w:iCs/>
        </w:rPr>
        <w:t xml:space="preserve"> ref‘</w:t>
      </w:r>
      <w:r w:rsidR="00AB26A7" w:rsidRPr="00834D69">
        <w:rPr>
          <w:rFonts w:asciiTheme="majorBidi" w:hAnsiTheme="majorBidi" w:cstheme="majorBidi"/>
        </w:rPr>
        <w:t>)</w:t>
      </w:r>
      <w:r w:rsidR="00006249" w:rsidRPr="00834D69">
        <w:rPr>
          <w:rFonts w:asciiTheme="majorBidi" w:hAnsiTheme="majorBidi" w:cstheme="majorBidi"/>
        </w:rPr>
        <w:t xml:space="preserve"> against firewood cutting</w:t>
      </w:r>
      <w:r w:rsidR="00AB26A7" w:rsidRPr="00834D69">
        <w:rPr>
          <w:rFonts w:asciiTheme="majorBidi" w:hAnsiTheme="majorBidi" w:cstheme="majorBidi"/>
        </w:rPr>
        <w:t xml:space="preserve"> and transport (</w:t>
      </w:r>
      <w:proofErr w:type="spellStart"/>
      <w:r w:rsidR="00AB26A7" w:rsidRPr="00834D69">
        <w:rPr>
          <w:rFonts w:asciiTheme="majorBidi" w:hAnsiTheme="majorBidi" w:cstheme="majorBidi"/>
          <w:i/>
          <w:iCs/>
        </w:rPr>
        <w:t>hatab</w:t>
      </w:r>
      <w:proofErr w:type="spellEnd"/>
      <w:r w:rsidR="00AB26A7" w:rsidRPr="00834D69">
        <w:rPr>
          <w:rFonts w:asciiTheme="majorBidi" w:hAnsiTheme="majorBidi" w:cstheme="majorBidi"/>
          <w:i/>
          <w:iCs/>
        </w:rPr>
        <w:t xml:space="preserve"> kat‘ </w:t>
      </w:r>
      <w:proofErr w:type="spellStart"/>
      <w:r w:rsidR="00AB26A7" w:rsidRPr="00834D69">
        <w:rPr>
          <w:rFonts w:asciiTheme="majorBidi" w:hAnsiTheme="majorBidi" w:cstheme="majorBidi"/>
          <w:i/>
          <w:iCs/>
        </w:rPr>
        <w:t>ve</w:t>
      </w:r>
      <w:proofErr w:type="spellEnd"/>
      <w:r w:rsidR="00AB26A7" w:rsidRPr="00834D69">
        <w:rPr>
          <w:rFonts w:asciiTheme="majorBidi" w:hAnsiTheme="majorBidi" w:cstheme="majorBidi"/>
          <w:i/>
          <w:iCs/>
        </w:rPr>
        <w:t xml:space="preserve"> </w:t>
      </w:r>
      <w:proofErr w:type="spellStart"/>
      <w:r w:rsidR="00AB26A7" w:rsidRPr="00834D69">
        <w:rPr>
          <w:rFonts w:asciiTheme="majorBidi" w:hAnsiTheme="majorBidi" w:cstheme="majorBidi"/>
          <w:i/>
          <w:iCs/>
        </w:rPr>
        <w:t>nakli</w:t>
      </w:r>
      <w:proofErr w:type="spellEnd"/>
      <w:r w:rsidR="00AB26A7" w:rsidRPr="00834D69">
        <w:rPr>
          <w:rFonts w:asciiTheme="majorBidi" w:hAnsiTheme="majorBidi" w:cstheme="majorBidi"/>
        </w:rPr>
        <w:t xml:space="preserve">), </w:t>
      </w:r>
      <w:r w:rsidR="00006249" w:rsidRPr="00834D69">
        <w:rPr>
          <w:rFonts w:asciiTheme="majorBidi" w:hAnsiTheme="majorBidi" w:cstheme="majorBidi"/>
        </w:rPr>
        <w:t>and the felling of trees of any kind were not incidental regulations but instruments of labor control. Their purpose was precisely to prevent the diversion of productive capacity away from the state</w:t>
      </w:r>
      <w:r w:rsidR="00AB26A7" w:rsidRPr="00834D69">
        <w:rPr>
          <w:rFonts w:asciiTheme="majorBidi" w:hAnsiTheme="majorBidi" w:cstheme="majorBidi"/>
        </w:rPr>
        <w:t>’</w:t>
      </w:r>
      <w:r w:rsidR="00006249" w:rsidRPr="00834D69">
        <w:rPr>
          <w:rFonts w:asciiTheme="majorBidi" w:hAnsiTheme="majorBidi" w:cstheme="majorBidi"/>
        </w:rPr>
        <w:t>s extractive priorities. The villagers were not free to respond to alternative demands, local needs, or market incentives; they were bound to a single, imperially determined use of their labor and their environment. That the Sultan explicitly declared zero tolerance for any disruption to this supply chain only underscores the stakes: the reproduction of the Ottoman monetary order was understood to depend directly on the unfreedom of these communities.</w:t>
      </w:r>
      <w:r w:rsidR="004C39AA" w:rsidRPr="00834D69">
        <w:rPr>
          <w:rFonts w:asciiTheme="majorBidi" w:hAnsiTheme="majorBidi" w:cstheme="majorBidi"/>
        </w:rPr>
        <w:t xml:space="preserve"> </w:t>
      </w:r>
      <w:r w:rsidR="004C39AA" w:rsidRPr="00834D69">
        <w:rPr>
          <w:rFonts w:asciiTheme="majorBidi" w:hAnsiTheme="majorBidi" w:cstheme="majorBidi"/>
          <w:u w:val="single"/>
        </w:rPr>
        <w:t xml:space="preserve">(Armenian soldiers returning official document </w:t>
      </w:r>
      <w:proofErr w:type="spellStart"/>
      <w:r w:rsidR="004C39AA" w:rsidRPr="00834D69">
        <w:rPr>
          <w:rFonts w:asciiTheme="majorBidi" w:hAnsiTheme="majorBidi" w:cstheme="majorBidi"/>
          <w:u w:val="single"/>
        </w:rPr>
        <w:t>ekle</w:t>
      </w:r>
      <w:proofErr w:type="spellEnd"/>
      <w:r w:rsidR="004C39AA" w:rsidRPr="00834D69">
        <w:rPr>
          <w:rFonts w:asciiTheme="majorBidi" w:hAnsiTheme="majorBidi" w:cstheme="majorBidi"/>
          <w:u w:val="single"/>
        </w:rPr>
        <w:t>)</w:t>
      </w:r>
      <w:r w:rsidR="00AB26A7" w:rsidRPr="00834D69">
        <w:rPr>
          <w:rFonts w:asciiTheme="majorBidi" w:hAnsiTheme="majorBidi" w:cstheme="majorBidi"/>
          <w:u w:val="single"/>
        </w:rPr>
        <w:t xml:space="preserve"> </w:t>
      </w:r>
      <w:r w:rsidR="00AB26A7" w:rsidRPr="00834D69">
        <w:rPr>
          <w:rFonts w:asciiTheme="majorBidi" w:hAnsiTheme="majorBidi" w:cstheme="majorBidi"/>
          <w:shd w:val="clear" w:color="auto" w:fill="FFFFFF"/>
        </w:rPr>
        <w:t xml:space="preserve">These restrictions reveal a clear logic of proto-industrial labor discipline, in which the state actively organized and fixed rural populations into specialized productive roles. Rather than reflecting a neutral administrative rationality, this arrangement </w:t>
      </w:r>
      <w:r w:rsidR="00AB26A7" w:rsidRPr="00834D69">
        <w:rPr>
          <w:rFonts w:asciiTheme="majorBidi" w:hAnsiTheme="majorBidi" w:cstheme="majorBidi"/>
          <w:shd w:val="clear" w:color="auto" w:fill="FFFFFF"/>
        </w:rPr>
        <w:lastRenderedPageBreak/>
        <w:t>underscores the extent to which the Ottoman provincial economy was structured to extract and stabilize resources essential to the reproduction of imperial power.</w:t>
      </w:r>
    </w:p>
    <w:p w14:paraId="10E6651D" w14:textId="6EA2153E" w:rsidR="00AD57B9" w:rsidRPr="00834D69" w:rsidRDefault="009E368B" w:rsidP="00AD57B9">
      <w:pPr>
        <w:pStyle w:val="NormalWeb"/>
        <w:spacing w:line="480" w:lineRule="auto"/>
        <w:jc w:val="both"/>
        <w:rPr>
          <w:rFonts w:asciiTheme="majorBidi" w:hAnsiTheme="majorBidi" w:cstheme="majorBidi"/>
        </w:rPr>
      </w:pPr>
      <w:r w:rsidRPr="00834D69">
        <w:rPr>
          <w:rFonts w:asciiTheme="majorBidi" w:hAnsiTheme="majorBidi" w:cstheme="majorBidi"/>
        </w:rPr>
        <w:t xml:space="preserve">Viewed through the lens of environmental and labor history, the decree points to a differentiated regime of resource extraction and labor allocation. Ottoman authorities did not treat forests merely as reservoirs of raw materials; rather, they governed them as productive landscapes in which specific communities were assigned specialized tasks. By restricting the villagers’ participation in alternative seasonal work and binding them </w:t>
      </w:r>
      <w:r w:rsidR="00AB26A7" w:rsidRPr="00834D69">
        <w:rPr>
          <w:rFonts w:asciiTheme="majorBidi" w:hAnsiTheme="majorBidi" w:cstheme="majorBidi"/>
        </w:rPr>
        <w:t xml:space="preserve">exclusively </w:t>
      </w:r>
      <w:r w:rsidRPr="00834D69">
        <w:rPr>
          <w:rFonts w:asciiTheme="majorBidi" w:hAnsiTheme="majorBidi" w:cstheme="majorBidi"/>
        </w:rPr>
        <w:t xml:space="preserve">to charcoal production, the state structured the temporal rhythms and spatial organization of rural labor. </w:t>
      </w:r>
      <w:r w:rsidR="00AB26A7" w:rsidRPr="00834D69">
        <w:rPr>
          <w:rFonts w:asciiTheme="majorBidi" w:hAnsiTheme="majorBidi" w:cstheme="majorBidi"/>
        </w:rPr>
        <w:t xml:space="preserve">The decree also illuminates a stark hierarchy within the Ottoman provisioning system: even as Istanbul faced an acute shortage of firewood, the uninterrupted supply of charcoal for mint operations was deemed more critical still. </w:t>
      </w:r>
      <w:r w:rsidRPr="00834D69">
        <w:rPr>
          <w:rFonts w:asciiTheme="majorBidi" w:hAnsiTheme="majorBidi" w:cstheme="majorBidi"/>
        </w:rPr>
        <w:t xml:space="preserve">Bardizag thus emerged as a controlled node within the empire’s energy infrastructure, </w:t>
      </w:r>
      <w:r w:rsidR="00AB26A7" w:rsidRPr="00834D69">
        <w:rPr>
          <w:rFonts w:asciiTheme="majorBidi" w:hAnsiTheme="majorBidi" w:cstheme="majorBidi"/>
        </w:rPr>
        <w:t xml:space="preserve">a place where </w:t>
      </w:r>
      <w:r w:rsidRPr="00834D69">
        <w:rPr>
          <w:rFonts w:asciiTheme="majorBidi" w:hAnsiTheme="majorBidi" w:cstheme="majorBidi"/>
        </w:rPr>
        <w:t>the management of forests, fuel, and labor converged to sustain the fiscal and metallurgical operations of the</w:t>
      </w:r>
      <w:r w:rsidR="00AB26A7" w:rsidRPr="00834D69">
        <w:rPr>
          <w:rFonts w:asciiTheme="majorBidi" w:hAnsiTheme="majorBidi" w:cstheme="majorBidi"/>
        </w:rPr>
        <w:t xml:space="preserve"> imperial</w:t>
      </w:r>
      <w:r w:rsidRPr="00834D69">
        <w:rPr>
          <w:rFonts w:asciiTheme="majorBidi" w:hAnsiTheme="majorBidi" w:cstheme="majorBidi"/>
        </w:rPr>
        <w:t xml:space="preserve"> state. </w:t>
      </w:r>
      <w:r w:rsidR="00EF17F9" w:rsidRPr="00834D69">
        <w:rPr>
          <w:rFonts w:asciiTheme="majorBidi" w:hAnsiTheme="majorBidi" w:cstheme="majorBidi"/>
        </w:rPr>
        <w:t>The forest supplied the fuel, but fuel does not move itself. The Amiras are the missing term in that equation; the human infrastructure through which timber became charcoal, charcoal became coin, and a landscape became a monetary system.</w:t>
      </w:r>
    </w:p>
    <w:p w14:paraId="71C1B5D1" w14:textId="77777777" w:rsidR="00AD57B9" w:rsidRPr="00834D69" w:rsidRDefault="00AD57B9" w:rsidP="00AD57B9">
      <w:pPr>
        <w:pStyle w:val="NormalWeb"/>
        <w:spacing w:line="480" w:lineRule="auto"/>
        <w:jc w:val="both"/>
        <w:rPr>
          <w:rFonts w:asciiTheme="majorBidi" w:hAnsiTheme="majorBidi" w:cstheme="majorBidi"/>
          <w:b/>
          <w:bCs/>
          <w:shd w:val="clear" w:color="auto" w:fill="FFFFFF"/>
        </w:rPr>
      </w:pPr>
      <w:r w:rsidRPr="00834D69">
        <w:rPr>
          <w:rFonts w:asciiTheme="majorBidi" w:hAnsiTheme="majorBidi" w:cstheme="majorBidi"/>
          <w:b/>
          <w:bCs/>
          <w:shd w:val="clear" w:color="auto" w:fill="FFFFFF"/>
        </w:rPr>
        <w:t xml:space="preserve">The Managers of Value : The </w:t>
      </w:r>
      <w:r w:rsidRPr="00834D69">
        <w:rPr>
          <w:rFonts w:asciiTheme="majorBidi" w:hAnsiTheme="majorBidi" w:cstheme="majorBidi"/>
          <w:b/>
          <w:bCs/>
          <w:i/>
          <w:iCs/>
          <w:shd w:val="clear" w:color="auto" w:fill="FFFFFF"/>
        </w:rPr>
        <w:t>Amira</w:t>
      </w:r>
      <w:r w:rsidRPr="00834D69">
        <w:rPr>
          <w:rFonts w:asciiTheme="majorBidi" w:hAnsiTheme="majorBidi" w:cstheme="majorBidi"/>
          <w:b/>
          <w:bCs/>
          <w:shd w:val="clear" w:color="auto" w:fill="FFFFFF"/>
        </w:rPr>
        <w:t>s and the Mint</w:t>
      </w:r>
    </w:p>
    <w:p w14:paraId="195EAFF6" w14:textId="7AEE55CC" w:rsidR="00C7717B" w:rsidRPr="00834D69" w:rsidRDefault="00227325" w:rsidP="00227325">
      <w:pPr>
        <w:pStyle w:val="NormalWeb"/>
        <w:spacing w:line="480" w:lineRule="auto"/>
        <w:jc w:val="both"/>
        <w:rPr>
          <w:rFonts w:asciiTheme="majorBidi" w:hAnsiTheme="majorBidi" w:cstheme="majorBidi"/>
        </w:rPr>
      </w:pPr>
      <w:r w:rsidRPr="00834D69">
        <w:rPr>
          <w:rFonts w:asciiTheme="majorBidi" w:hAnsiTheme="majorBidi" w:cstheme="majorBidi"/>
          <w:shd w:val="clear" w:color="auto" w:fill="FFFFFF"/>
        </w:rPr>
        <w:t xml:space="preserve">The Armenian </w:t>
      </w:r>
      <w:proofErr w:type="spellStart"/>
      <w:r w:rsidR="00A93A19" w:rsidRPr="00834D69">
        <w:rPr>
          <w:rFonts w:asciiTheme="majorBidi" w:hAnsiTheme="majorBidi" w:cstheme="majorBidi"/>
          <w:shd w:val="clear" w:color="auto" w:fill="FFFFFF"/>
        </w:rPr>
        <w:t>amiras</w:t>
      </w:r>
      <w:proofErr w:type="spellEnd"/>
      <w:r w:rsidR="00A93A19" w:rsidRPr="00834D69">
        <w:rPr>
          <w:rFonts w:asciiTheme="majorBidi" w:hAnsiTheme="majorBidi" w:cstheme="majorBidi"/>
          <w:shd w:val="clear" w:color="auto" w:fill="FFFFFF"/>
        </w:rPr>
        <w:t xml:space="preserve"> acted as a distinct class fraction that bridged the gap between the imperial center and rural periphery, reorganizing local economies to meet material requirements of the mint. </w:t>
      </w:r>
      <w:r w:rsidR="00AD57B9" w:rsidRPr="00834D69">
        <w:rPr>
          <w:rFonts w:asciiTheme="majorBidi" w:eastAsiaTheme="minorHAnsi" w:hAnsiTheme="majorBidi" w:cstheme="majorBidi"/>
          <w14:ligatures w14:val="standardContextual"/>
        </w:rPr>
        <w:t xml:space="preserve">Armenian </w:t>
      </w:r>
      <w:proofErr w:type="spellStart"/>
      <w:r w:rsidR="00AD57B9" w:rsidRPr="00834D69">
        <w:rPr>
          <w:rFonts w:asciiTheme="majorBidi" w:eastAsiaTheme="minorHAnsi" w:hAnsiTheme="majorBidi" w:cstheme="majorBidi"/>
          <w14:ligatures w14:val="standardContextual"/>
        </w:rPr>
        <w:t>amiras</w:t>
      </w:r>
      <w:proofErr w:type="spellEnd"/>
      <w:r w:rsidR="00A93A19" w:rsidRPr="00834D69">
        <w:rPr>
          <w:rFonts w:asciiTheme="majorBidi" w:eastAsiaTheme="minorHAnsi" w:hAnsiTheme="majorBidi" w:cstheme="majorBidi"/>
          <w14:ligatures w14:val="standardContextual"/>
        </w:rPr>
        <w:t>, also,</w:t>
      </w:r>
      <w:r w:rsidR="00AD57B9" w:rsidRPr="00834D69">
        <w:rPr>
          <w:rFonts w:asciiTheme="majorBidi" w:eastAsiaTheme="minorHAnsi" w:hAnsiTheme="majorBidi" w:cstheme="majorBidi"/>
          <w14:ligatures w14:val="standardContextual"/>
        </w:rPr>
        <w:t xml:space="preserve"> dominated imperial finance, international trade, and monetary administration, occupying a strategic position between the state, markets, and global flows of </w:t>
      </w:r>
      <w:r w:rsidR="00AD57B9" w:rsidRPr="00834D69">
        <w:rPr>
          <w:rFonts w:asciiTheme="majorBidi" w:eastAsiaTheme="minorHAnsi" w:hAnsiTheme="majorBidi" w:cstheme="majorBidi"/>
          <w14:ligatures w14:val="standardContextual"/>
        </w:rPr>
        <w:lastRenderedPageBreak/>
        <w:t>capital.</w:t>
      </w:r>
      <w:r w:rsidR="00AD57B9" w:rsidRPr="00834D69">
        <w:rPr>
          <w:rStyle w:val="FootnoteReference"/>
          <w:rFonts w:asciiTheme="majorBidi" w:eastAsiaTheme="minorHAnsi" w:hAnsiTheme="majorBidi" w:cstheme="majorBidi"/>
          <w14:ligatures w14:val="standardContextual"/>
        </w:rPr>
        <w:footnoteReference w:id="15"/>
      </w:r>
      <w:r w:rsidR="00AD57B9" w:rsidRPr="00834D69">
        <w:rPr>
          <w:rFonts w:asciiTheme="majorBidi" w:eastAsiaTheme="minorHAnsi" w:hAnsiTheme="majorBidi" w:cstheme="majorBidi"/>
          <w14:ligatures w14:val="standardContextual"/>
        </w:rPr>
        <w:t xml:space="preserve"> Their power did not derive simply from wealth but from their ability to manage the contradictions inherent in money itself, between commodity and state, value and circulation, trust and coercion. Following Suleiman, the </w:t>
      </w:r>
      <w:proofErr w:type="spellStart"/>
      <w:r w:rsidR="00AD57B9" w:rsidRPr="00834D69">
        <w:rPr>
          <w:rFonts w:asciiTheme="majorBidi" w:eastAsiaTheme="minorHAnsi" w:hAnsiTheme="majorBidi" w:cstheme="majorBidi"/>
          <w14:ligatures w14:val="standardContextual"/>
        </w:rPr>
        <w:t>Magnificent’s</w:t>
      </w:r>
      <w:proofErr w:type="spellEnd"/>
      <w:r w:rsidR="00AD57B9" w:rsidRPr="00834D69">
        <w:rPr>
          <w:rFonts w:asciiTheme="majorBidi" w:eastAsiaTheme="minorHAnsi" w:hAnsiTheme="majorBidi" w:cstheme="majorBidi"/>
          <w14:ligatures w14:val="standardContextual"/>
        </w:rPr>
        <w:t xml:space="preserve"> 1554 campaign against Persia, Armenian bankers of  noble descent from the Armenian Kingdom of Van were relocated from Egin to </w:t>
      </w:r>
      <w:proofErr w:type="spellStart"/>
      <w:r w:rsidR="00AD57B9" w:rsidRPr="00834D69">
        <w:rPr>
          <w:rFonts w:asciiTheme="majorBidi" w:eastAsiaTheme="minorHAnsi" w:hAnsiTheme="majorBidi" w:cstheme="majorBidi"/>
          <w14:ligatures w14:val="standardContextual"/>
        </w:rPr>
        <w:t>Hasköy</w:t>
      </w:r>
      <w:proofErr w:type="spellEnd"/>
      <w:r w:rsidR="00AD57B9" w:rsidRPr="00834D69">
        <w:rPr>
          <w:rFonts w:asciiTheme="majorBidi" w:eastAsiaTheme="minorHAnsi" w:hAnsiTheme="majorBidi" w:cstheme="majorBidi"/>
          <w14:ligatures w14:val="standardContextual"/>
        </w:rPr>
        <w:t xml:space="preserve"> in Istanbul.</w:t>
      </w:r>
      <w:r w:rsidR="00AD57B9" w:rsidRPr="00834D69">
        <w:rPr>
          <w:rStyle w:val="FootnoteReference"/>
          <w:rFonts w:asciiTheme="majorBidi" w:eastAsiaTheme="minorHAnsi" w:hAnsiTheme="majorBidi" w:cstheme="majorBidi"/>
          <w14:ligatures w14:val="standardContextual"/>
        </w:rPr>
        <w:footnoteReference w:id="16"/>
      </w:r>
      <w:r w:rsidR="00AD57B9" w:rsidRPr="00834D69">
        <w:rPr>
          <w:rFonts w:asciiTheme="majorBidi" w:eastAsiaTheme="minorHAnsi" w:hAnsiTheme="majorBidi" w:cstheme="majorBidi"/>
          <w14:ligatures w14:val="standardContextual"/>
        </w:rPr>
        <w:t xml:space="preserve"> Wealthy and financially skilled, they secured privileged roles at the Ottoman court, as bankers and officials, including head of the Imperial Mint, while also gaining influence within Armenian community. In recognition of their service, they received honors and titles as “Hacı,” “</w:t>
      </w:r>
      <w:proofErr w:type="spellStart"/>
      <w:r w:rsidR="00AD57B9" w:rsidRPr="00834D69">
        <w:rPr>
          <w:rFonts w:asciiTheme="majorBidi" w:eastAsiaTheme="minorHAnsi" w:hAnsiTheme="majorBidi" w:cstheme="majorBidi"/>
          <w14:ligatures w14:val="standardContextual"/>
        </w:rPr>
        <w:t>Hoca</w:t>
      </w:r>
      <w:proofErr w:type="spellEnd"/>
      <w:r w:rsidR="00AD57B9" w:rsidRPr="00834D69">
        <w:rPr>
          <w:rFonts w:asciiTheme="majorBidi" w:eastAsiaTheme="minorHAnsi" w:hAnsiTheme="majorBidi" w:cstheme="majorBidi"/>
          <w14:ligatures w14:val="standardContextual"/>
        </w:rPr>
        <w:t>,” and “Çelebi,” and were known among Armenians as “</w:t>
      </w:r>
      <w:proofErr w:type="spellStart"/>
      <w:r w:rsidR="00AD57B9" w:rsidRPr="00834D69">
        <w:rPr>
          <w:rFonts w:asciiTheme="majorBidi" w:eastAsiaTheme="minorHAnsi" w:hAnsiTheme="majorBidi" w:cstheme="majorBidi"/>
          <w14:ligatures w14:val="standardContextual"/>
        </w:rPr>
        <w:t>Ishkhan</w:t>
      </w:r>
      <w:proofErr w:type="spellEnd"/>
      <w:r w:rsidR="00AD57B9" w:rsidRPr="00834D69">
        <w:rPr>
          <w:rFonts w:asciiTheme="majorBidi" w:eastAsiaTheme="minorHAnsi" w:hAnsiTheme="majorBidi" w:cstheme="majorBidi"/>
          <w14:ligatures w14:val="standardContextual"/>
        </w:rPr>
        <w:t xml:space="preserve">,” (Prince). </w:t>
      </w:r>
      <w:r w:rsidR="00AD57B9" w:rsidRPr="00834D69">
        <w:rPr>
          <w:rStyle w:val="FootnoteReference"/>
          <w:rFonts w:asciiTheme="majorBidi" w:eastAsiaTheme="minorHAnsi" w:hAnsiTheme="majorBidi" w:cstheme="majorBidi"/>
          <w14:ligatures w14:val="standardContextual"/>
        </w:rPr>
        <w:footnoteReference w:id="17"/>
      </w:r>
    </w:p>
    <w:p w14:paraId="1B80F0F0" w14:textId="21ACA30E" w:rsidR="00AD57B9" w:rsidRPr="00834D69" w:rsidRDefault="00AD57B9" w:rsidP="00C7717B">
      <w:pPr>
        <w:pStyle w:val="NormalWeb"/>
        <w:spacing w:line="480" w:lineRule="auto"/>
        <w:jc w:val="both"/>
        <w:rPr>
          <w:rFonts w:asciiTheme="majorBidi" w:hAnsiTheme="majorBidi" w:cstheme="majorBidi"/>
        </w:rPr>
      </w:pPr>
      <w:r w:rsidRPr="00834D69">
        <w:rPr>
          <w:rFonts w:asciiTheme="majorBidi" w:hAnsiTheme="majorBidi" w:cstheme="majorBidi"/>
        </w:rPr>
        <w:t xml:space="preserve">The career of Artin Amira Kazaz </w:t>
      </w:r>
      <w:r w:rsidR="001F7EBE" w:rsidRPr="00834D69">
        <w:rPr>
          <w:rFonts w:asciiTheme="majorBidi" w:hAnsiTheme="majorBidi" w:cstheme="majorBidi"/>
        </w:rPr>
        <w:t xml:space="preserve">highlights the convergence of financial authority and material control, showing how high-level monetary </w:t>
      </w:r>
      <w:r w:rsidR="005A7853" w:rsidRPr="00834D69">
        <w:rPr>
          <w:rFonts w:asciiTheme="majorBidi" w:hAnsiTheme="majorBidi" w:cstheme="majorBidi"/>
        </w:rPr>
        <w:t>policies like currency debasement translated into intensified labor demands in the forests of Bardizag.</w:t>
      </w:r>
      <w:r w:rsidRPr="00834D69">
        <w:rPr>
          <w:rFonts w:asciiTheme="majorBidi" w:hAnsiTheme="majorBidi" w:cstheme="majorBidi"/>
        </w:rPr>
        <w:t xml:space="preserve"> Born in 1771, Kazaz attended the patriarchal school in </w:t>
      </w:r>
      <w:proofErr w:type="spellStart"/>
      <w:r w:rsidRPr="00834D69">
        <w:rPr>
          <w:rFonts w:asciiTheme="majorBidi" w:hAnsiTheme="majorBidi" w:cstheme="majorBidi"/>
        </w:rPr>
        <w:t>Kumkapı</w:t>
      </w:r>
      <w:proofErr w:type="spellEnd"/>
      <w:r w:rsidRPr="00834D69">
        <w:rPr>
          <w:rFonts w:asciiTheme="majorBidi" w:hAnsiTheme="majorBidi" w:cstheme="majorBidi"/>
        </w:rPr>
        <w:t xml:space="preserve"> from the age of seven, learning Armenian, calligraphy, and arithmetic.</w:t>
      </w:r>
      <w:r w:rsidR="000F2AA5" w:rsidRPr="00834D69">
        <w:rPr>
          <w:rStyle w:val="FootnoteReference"/>
          <w:rFonts w:asciiTheme="majorBidi" w:hAnsiTheme="majorBidi" w:cstheme="majorBidi"/>
        </w:rPr>
        <w:footnoteReference w:id="18"/>
      </w:r>
      <w:r w:rsidRPr="00834D69">
        <w:rPr>
          <w:rFonts w:asciiTheme="majorBidi" w:hAnsiTheme="majorBidi" w:cstheme="majorBidi"/>
        </w:rPr>
        <w:t xml:space="preserve"> He later apprenticed with a silk merchant in the Grand Bazaar, earning the nickname “Kazaz” ; the silk merchant.</w:t>
      </w:r>
      <w:r w:rsidRPr="00834D69">
        <w:rPr>
          <w:rStyle w:val="FootnoteReference"/>
          <w:rFonts w:asciiTheme="majorBidi" w:hAnsiTheme="majorBidi" w:cstheme="majorBidi"/>
        </w:rPr>
        <w:footnoteReference w:id="19"/>
      </w:r>
      <w:r w:rsidRPr="00834D69">
        <w:rPr>
          <w:rFonts w:asciiTheme="majorBidi" w:hAnsiTheme="majorBidi" w:cstheme="majorBidi"/>
        </w:rPr>
        <w:t xml:space="preserve"> By the age of twenty-four he owned his own shop. In 1802, Ohannes Çelebi </w:t>
      </w:r>
      <w:proofErr w:type="spellStart"/>
      <w:r w:rsidRPr="00834D69">
        <w:rPr>
          <w:rFonts w:asciiTheme="majorBidi" w:hAnsiTheme="majorBidi" w:cstheme="majorBidi"/>
        </w:rPr>
        <w:lastRenderedPageBreak/>
        <w:t>Düzyan</w:t>
      </w:r>
      <w:proofErr w:type="spellEnd"/>
      <w:r w:rsidRPr="00834D69">
        <w:rPr>
          <w:rFonts w:asciiTheme="majorBidi" w:hAnsiTheme="majorBidi" w:cstheme="majorBidi"/>
        </w:rPr>
        <w:t>, then head of the Imperial Mint, appointed him to manage the silk concession, drawing Kazaz into the circles of leading financiers and palace officials.</w:t>
      </w:r>
      <w:r w:rsidRPr="00834D69">
        <w:rPr>
          <w:rStyle w:val="FootnoteReference"/>
          <w:rFonts w:asciiTheme="majorBidi" w:hAnsiTheme="majorBidi" w:cstheme="majorBidi"/>
        </w:rPr>
        <w:footnoteReference w:id="20"/>
      </w:r>
      <w:r w:rsidRPr="00834D69">
        <w:rPr>
          <w:rFonts w:asciiTheme="majorBidi" w:hAnsiTheme="majorBidi" w:cstheme="majorBidi"/>
        </w:rPr>
        <w:t xml:space="preserve"> His ascent was rapid. Following the outbreak of the Greek rebellion in 1821, the formerly privileged Greek community lost its standing and was progressively excluded from the imperial bureaucracy. As Greek influence declined, Armenians rose to a more favored position, and Kazaz Artin's close relationship with Sultan Mahmud II contributed directly to Armenians being granted the designation of “Loyal Subjects”. After returning from a period of exile, he was appointed to manage the Imperial Mint alongside Bogos Amira Bilezikçiyan, and by 1823 he held full responsibility for both the Imperial Mint and the Imperial Treasury. Appointed  chief of the imperial mint (</w:t>
      </w:r>
      <w:r w:rsidRPr="00834D69">
        <w:rPr>
          <w:rStyle w:val="Emphasis"/>
          <w:rFonts w:asciiTheme="majorBidi" w:hAnsiTheme="majorBidi" w:cstheme="majorBidi"/>
        </w:rPr>
        <w:t>ifrazcibasi</w:t>
      </w:r>
      <w:r w:rsidRPr="00834D69">
        <w:rPr>
          <w:rFonts w:asciiTheme="majorBidi" w:hAnsiTheme="majorBidi" w:cstheme="majorBidi"/>
        </w:rPr>
        <w:t>) in 1819 and serving simultaneously as </w:t>
      </w:r>
      <w:proofErr w:type="spellStart"/>
      <w:r w:rsidRPr="00834D69">
        <w:rPr>
          <w:rStyle w:val="Emphasis"/>
          <w:rFonts w:asciiTheme="majorBidi" w:hAnsiTheme="majorBidi" w:cstheme="majorBidi"/>
        </w:rPr>
        <w:t>sarraf</w:t>
      </w:r>
      <w:proofErr w:type="spellEnd"/>
      <w:r w:rsidRPr="00834D69">
        <w:rPr>
          <w:rFonts w:asciiTheme="majorBidi" w:hAnsiTheme="majorBidi" w:cstheme="majorBidi"/>
        </w:rPr>
        <w:t> of the Sultan's privy purse and imperial foundations, Kazaz was dismissed and reinstated multiple time</w:t>
      </w:r>
      <w:r w:rsidR="00130603" w:rsidRPr="00834D69">
        <w:rPr>
          <w:rFonts w:asciiTheme="majorBidi" w:hAnsiTheme="majorBidi" w:cstheme="majorBidi"/>
        </w:rPr>
        <w:t xml:space="preserve">s; </w:t>
      </w:r>
      <w:r w:rsidRPr="00834D69">
        <w:rPr>
          <w:rFonts w:asciiTheme="majorBidi" w:hAnsiTheme="majorBidi" w:cstheme="majorBidi"/>
        </w:rPr>
        <w:t>a pattern that itself reflects the structural dependence of the Ottoman state on financial expertise it could neither fully internalize nor dispense with.</w:t>
      </w:r>
    </w:p>
    <w:p w14:paraId="3CA7E381" w14:textId="3688B338" w:rsidR="00AD57B9" w:rsidRPr="00834D69" w:rsidRDefault="00AD57B9" w:rsidP="00AD57B9">
      <w:pPr>
        <w:pStyle w:val="NormalWeb"/>
        <w:spacing w:line="480" w:lineRule="auto"/>
        <w:jc w:val="both"/>
        <w:rPr>
          <w:rFonts w:asciiTheme="majorBidi" w:hAnsiTheme="majorBidi" w:cstheme="majorBidi"/>
        </w:rPr>
      </w:pPr>
      <w:r w:rsidRPr="00834D69">
        <w:rPr>
          <w:rFonts w:asciiTheme="majorBidi" w:hAnsiTheme="majorBidi" w:cstheme="majorBidi"/>
        </w:rPr>
        <w:t>His most consequential intervention came in the aftermath of the Ottoman–Russian War of 1828–1829. The reparations owed to Russia were divided into three installments.</w:t>
      </w:r>
      <w:r w:rsidR="000F2AA5" w:rsidRPr="00834D69">
        <w:rPr>
          <w:rStyle w:val="FootnoteReference"/>
          <w:rFonts w:asciiTheme="majorBidi" w:hAnsiTheme="majorBidi" w:cstheme="majorBidi"/>
        </w:rPr>
        <w:footnoteReference w:id="21"/>
      </w:r>
      <w:r w:rsidRPr="00834D69">
        <w:rPr>
          <w:rFonts w:asciiTheme="majorBidi" w:hAnsiTheme="majorBidi" w:cstheme="majorBidi"/>
        </w:rPr>
        <w:t xml:space="preserve"> </w:t>
      </w:r>
      <w:proofErr w:type="spellStart"/>
      <w:r w:rsidRPr="00834D69">
        <w:rPr>
          <w:rFonts w:asciiTheme="majorBidi" w:hAnsiTheme="majorBidi" w:cstheme="majorBidi"/>
        </w:rPr>
        <w:t>Damat</w:t>
      </w:r>
      <w:proofErr w:type="spellEnd"/>
      <w:r w:rsidRPr="00834D69">
        <w:rPr>
          <w:rFonts w:asciiTheme="majorBidi" w:hAnsiTheme="majorBidi" w:cstheme="majorBidi"/>
        </w:rPr>
        <w:t xml:space="preserve"> Halil Pasha was dispatched to Saint Petersburg with substantial gifts, and the tsar agreed to waive the first installment. When funds for the second installment could not be raised, Kazaz Artin responded by increasing the copper content of the coinage</w:t>
      </w:r>
      <w:r w:rsidR="000F2AA5" w:rsidRPr="00834D69">
        <w:rPr>
          <w:rFonts w:asciiTheme="majorBidi" w:hAnsiTheme="majorBidi" w:cstheme="majorBidi"/>
        </w:rPr>
        <w:t xml:space="preserve">, </w:t>
      </w:r>
      <w:r w:rsidRPr="00834D69">
        <w:rPr>
          <w:rFonts w:asciiTheme="majorBidi" w:hAnsiTheme="majorBidi" w:cstheme="majorBidi"/>
        </w:rPr>
        <w:t>effectively devaluing the currency and generating substantial revenue for the state</w:t>
      </w:r>
      <w:r w:rsidR="000F2AA5" w:rsidRPr="00834D69">
        <w:rPr>
          <w:rFonts w:asciiTheme="majorBidi" w:hAnsiTheme="majorBidi" w:cstheme="majorBidi"/>
        </w:rPr>
        <w:t xml:space="preserve">, </w:t>
      </w:r>
      <w:r w:rsidRPr="00834D69">
        <w:rPr>
          <w:rFonts w:asciiTheme="majorBidi" w:hAnsiTheme="majorBidi" w:cstheme="majorBidi"/>
        </w:rPr>
        <w:t>while simultaneously securing payment through loans negotiated with European bankers. In recognition of these services, Mahmud II awarded him the </w:t>
      </w:r>
      <w:r w:rsidRPr="00834D69">
        <w:rPr>
          <w:rStyle w:val="Emphasis"/>
          <w:rFonts w:asciiTheme="majorBidi" w:hAnsiTheme="majorBidi" w:cstheme="majorBidi"/>
        </w:rPr>
        <w:t>Order of the Imperial Portrait</w:t>
      </w:r>
      <w:r w:rsidRPr="00834D69">
        <w:rPr>
          <w:rFonts w:asciiTheme="majorBidi" w:hAnsiTheme="majorBidi" w:cstheme="majorBidi"/>
        </w:rPr>
        <w:t xml:space="preserve">, the empire's highest distinction, making him the only non-Muslim in Ottoman </w:t>
      </w:r>
      <w:r w:rsidRPr="00834D69">
        <w:rPr>
          <w:rFonts w:asciiTheme="majorBidi" w:hAnsiTheme="majorBidi" w:cstheme="majorBidi"/>
        </w:rPr>
        <w:lastRenderedPageBreak/>
        <w:t>history to receive this honor.</w:t>
      </w:r>
      <w:r w:rsidR="000F2AA5" w:rsidRPr="00834D69">
        <w:rPr>
          <w:rStyle w:val="FootnoteReference"/>
          <w:rFonts w:asciiTheme="majorBidi" w:hAnsiTheme="majorBidi" w:cstheme="majorBidi"/>
        </w:rPr>
        <w:footnoteReference w:id="22"/>
      </w:r>
      <w:r w:rsidRPr="00834D69">
        <w:rPr>
          <w:rFonts w:asciiTheme="majorBidi" w:hAnsiTheme="majorBidi" w:cstheme="majorBidi"/>
        </w:rPr>
        <w:t xml:space="preserve"> Rising through the ranks of the guild of moneychangers (</w:t>
      </w:r>
      <w:proofErr w:type="spellStart"/>
      <w:r w:rsidRPr="00834D69">
        <w:rPr>
          <w:rStyle w:val="Emphasis"/>
          <w:rFonts w:asciiTheme="majorBidi" w:hAnsiTheme="majorBidi" w:cstheme="majorBidi"/>
        </w:rPr>
        <w:t>sarraf</w:t>
      </w:r>
      <w:proofErr w:type="spellEnd"/>
      <w:r w:rsidRPr="00834D69">
        <w:rPr>
          <w:rFonts w:asciiTheme="majorBidi" w:hAnsiTheme="majorBidi" w:cstheme="majorBidi"/>
        </w:rPr>
        <w:t xml:space="preserve">), </w:t>
      </w:r>
      <w:r w:rsidR="000F2AA5" w:rsidRPr="00834D69">
        <w:rPr>
          <w:rFonts w:asciiTheme="majorBidi" w:hAnsiTheme="majorBidi" w:cstheme="majorBidi"/>
        </w:rPr>
        <w:t xml:space="preserve">I argue, </w:t>
      </w:r>
      <w:r w:rsidRPr="00834D69">
        <w:rPr>
          <w:rFonts w:asciiTheme="majorBidi" w:hAnsiTheme="majorBidi" w:cstheme="majorBidi"/>
        </w:rPr>
        <w:t xml:space="preserve">Kazaz </w:t>
      </w:r>
      <w:r w:rsidR="000F2AA5" w:rsidRPr="00834D69">
        <w:rPr>
          <w:rFonts w:asciiTheme="majorBidi" w:hAnsiTheme="majorBidi" w:cstheme="majorBidi"/>
        </w:rPr>
        <w:t>embodied</w:t>
      </w:r>
      <w:r w:rsidRPr="00834D69">
        <w:rPr>
          <w:rFonts w:asciiTheme="majorBidi" w:hAnsiTheme="majorBidi" w:cstheme="majorBidi"/>
        </w:rPr>
        <w:t xml:space="preserve"> the social function that Marx attributes to money's managers: the capacity to mediate between market exchange and political authority, between the commodity form of money and its character as an instrument of state power.</w:t>
      </w:r>
    </w:p>
    <w:p w14:paraId="0FCFAE2C" w14:textId="35D72814" w:rsidR="00AD57B9" w:rsidRPr="00834D69" w:rsidRDefault="00AD57B9" w:rsidP="00AD57B9">
      <w:pPr>
        <w:autoSpaceDE w:val="0"/>
        <w:autoSpaceDN w:val="0"/>
        <w:adjustRightInd w:val="0"/>
        <w:spacing w:line="480" w:lineRule="auto"/>
        <w:jc w:val="both"/>
        <w:rPr>
          <w:rFonts w:asciiTheme="majorBidi" w:hAnsiTheme="majorBidi" w:cstheme="majorBidi"/>
          <w:sz w:val="24"/>
          <w:szCs w:val="24"/>
          <w:shd w:val="clear" w:color="auto" w:fill="FFFFFF"/>
        </w:rPr>
      </w:pPr>
      <w:r w:rsidRPr="00834D69">
        <w:rPr>
          <w:rFonts w:asciiTheme="majorBidi" w:hAnsiTheme="majorBidi" w:cstheme="majorBidi"/>
          <w:sz w:val="24"/>
          <w:szCs w:val="24"/>
          <w:shd w:val="clear" w:color="auto" w:fill="FFFFFF"/>
        </w:rPr>
        <w:t xml:space="preserve">In Bardizag, this </w:t>
      </w:r>
      <w:r w:rsidR="000F2AA5" w:rsidRPr="00834D69">
        <w:rPr>
          <w:rFonts w:asciiTheme="majorBidi" w:hAnsiTheme="majorBidi" w:cstheme="majorBidi"/>
          <w:sz w:val="24"/>
          <w:szCs w:val="24"/>
          <w:shd w:val="clear" w:color="auto" w:fill="FFFFFF"/>
        </w:rPr>
        <w:t>m</w:t>
      </w:r>
      <w:r w:rsidR="00733EDE" w:rsidRPr="00834D69">
        <w:rPr>
          <w:rFonts w:asciiTheme="majorBidi" w:hAnsiTheme="majorBidi" w:cstheme="majorBidi"/>
          <w:sz w:val="24"/>
          <w:szCs w:val="24"/>
          <w:shd w:val="clear" w:color="auto" w:fill="FFFFFF"/>
        </w:rPr>
        <w:t>editating function took a concrete and consequential form</w:t>
      </w:r>
      <w:r w:rsidRPr="00834D69">
        <w:rPr>
          <w:rFonts w:asciiTheme="majorBidi" w:hAnsiTheme="majorBidi" w:cstheme="majorBidi"/>
          <w:sz w:val="24"/>
          <w:szCs w:val="24"/>
          <w:shd w:val="clear" w:color="auto" w:fill="FFFFFF"/>
        </w:rPr>
        <w:t>. By the late seventeenth century, charcoal production had been introduced through the collaboration of Ottoman provincial authorities and local Armenian leaders. Over time, however, this activity was transformed from an auxiliary practice into a specialized and increasingly obligatory form of labor.</w:t>
      </w:r>
      <w:r w:rsidR="00733EDE" w:rsidRPr="00834D69">
        <w:rPr>
          <w:rStyle w:val="FootnoteReference"/>
          <w:rFonts w:asciiTheme="majorBidi" w:hAnsiTheme="majorBidi" w:cstheme="majorBidi"/>
          <w:sz w:val="24"/>
          <w:szCs w:val="24"/>
          <w:shd w:val="clear" w:color="auto" w:fill="FFFFFF"/>
        </w:rPr>
        <w:footnoteReference w:id="23"/>
      </w:r>
      <w:r w:rsidRPr="00834D69">
        <w:rPr>
          <w:rFonts w:asciiTheme="majorBidi" w:hAnsiTheme="majorBidi" w:cstheme="majorBidi"/>
          <w:sz w:val="24"/>
          <w:szCs w:val="24"/>
          <w:shd w:val="clear" w:color="auto" w:fill="FFFFFF"/>
        </w:rPr>
        <w:t xml:space="preserve"> It was in the eighteenth and early nineteenth centuries, under the expanding coordination of the </w:t>
      </w:r>
      <w:proofErr w:type="spellStart"/>
      <w:r w:rsidRPr="00834D69">
        <w:rPr>
          <w:rFonts w:asciiTheme="majorBidi" w:hAnsiTheme="majorBidi" w:cstheme="majorBidi"/>
          <w:sz w:val="24"/>
          <w:szCs w:val="24"/>
          <w:shd w:val="clear" w:color="auto" w:fill="FFFFFF"/>
        </w:rPr>
        <w:t>amiras</w:t>
      </w:r>
      <w:proofErr w:type="spellEnd"/>
      <w:r w:rsidRPr="00834D69">
        <w:rPr>
          <w:rFonts w:asciiTheme="majorBidi" w:hAnsiTheme="majorBidi" w:cstheme="majorBidi"/>
          <w:sz w:val="24"/>
          <w:szCs w:val="24"/>
          <w:shd w:val="clear" w:color="auto" w:fill="FFFFFF"/>
        </w:rPr>
        <w:t>, that this transformation acquired a more systematic and durable character. Production was no longer oriented toward local consumption or flexible exchange, but toward the regularized provisioning of a central institution: the Imperial Mint.</w:t>
      </w:r>
    </w:p>
    <w:p w14:paraId="2F4341FA" w14:textId="05781329" w:rsidR="000A44B2" w:rsidRPr="00834D69" w:rsidRDefault="000A44B2" w:rsidP="00AD57B9">
      <w:pPr>
        <w:pStyle w:val="NormalWeb"/>
        <w:spacing w:line="480" w:lineRule="auto"/>
        <w:jc w:val="both"/>
        <w:rPr>
          <w:rFonts w:asciiTheme="majorBidi" w:hAnsiTheme="majorBidi" w:cstheme="majorBidi"/>
        </w:rPr>
      </w:pPr>
      <w:r w:rsidRPr="00834D69">
        <w:rPr>
          <w:rFonts w:asciiTheme="majorBidi" w:hAnsiTheme="majorBidi" w:cstheme="majorBidi"/>
        </w:rPr>
        <w:t xml:space="preserve">This reorganization involved several interrelated shifts. First, production was standardized through recurring cycles of timber extraction, carbonization, and transport. Second, it was centralized, with charcoal directed to a single state-controlled site of consumption. Third, and most significantly, it was administratively regulated: output quotas and prices were fixed, limiting producers’ ability to respond to ecological conditions or market changes. In this sense, what appeared as fiscal </w:t>
      </w:r>
      <w:r w:rsidRPr="00834D69">
        <w:rPr>
          <w:rFonts w:asciiTheme="majorBidi" w:hAnsiTheme="majorBidi" w:cstheme="majorBidi"/>
        </w:rPr>
        <w:lastRenderedPageBreak/>
        <w:t>privilege; tax exemption, was in fact a restructuring of obligation that bound local producers to a specific form of labor under externally imposed conditions.</w:t>
      </w:r>
    </w:p>
    <w:p w14:paraId="5F9448D8" w14:textId="6F703C55" w:rsidR="00AD57B9" w:rsidRPr="00834D69" w:rsidRDefault="00AD57B9" w:rsidP="00AD57B9">
      <w:pPr>
        <w:pStyle w:val="NormalWeb"/>
        <w:spacing w:line="480" w:lineRule="auto"/>
        <w:jc w:val="both"/>
        <w:rPr>
          <w:rFonts w:asciiTheme="majorBidi" w:hAnsiTheme="majorBidi" w:cstheme="majorBidi"/>
        </w:rPr>
      </w:pPr>
      <w:r w:rsidRPr="00834D69">
        <w:rPr>
          <w:rFonts w:asciiTheme="majorBidi" w:hAnsiTheme="majorBidi" w:cstheme="majorBidi"/>
        </w:rPr>
        <w:t xml:space="preserve">The role of the </w:t>
      </w:r>
      <w:proofErr w:type="spellStart"/>
      <w:r w:rsidRPr="00834D69">
        <w:rPr>
          <w:rFonts w:asciiTheme="majorBidi" w:hAnsiTheme="majorBidi" w:cstheme="majorBidi"/>
        </w:rPr>
        <w:t>amiras</w:t>
      </w:r>
      <w:proofErr w:type="spellEnd"/>
      <w:r w:rsidRPr="00834D69">
        <w:rPr>
          <w:rFonts w:asciiTheme="majorBidi" w:hAnsiTheme="majorBidi" w:cstheme="majorBidi"/>
        </w:rPr>
        <w:t xml:space="preserve"> was critical to this process. Operating from the imperial center, they coordinated the alignment between monetary policy and material supply. Their activities encompassed not only financial management but also the organization of logistical networks through which resources such as charcoal could be mobilized, transported, and delivered in accordance with the needs of the mint. The career of Artin Amira Kazaz illustrates this function with particular clarity. Rising from the guild of moneychangers to occupy leading positions within both the Imperial Mint and the treasury, Kazaz embodied the convergence of financial authority and control over material provisioning.</w:t>
      </w:r>
      <w:r w:rsidR="00733EDE" w:rsidRPr="00834D69">
        <w:rPr>
          <w:rFonts w:asciiTheme="majorBidi" w:hAnsiTheme="majorBidi" w:cstheme="majorBidi"/>
        </w:rPr>
        <w:t xml:space="preserve"> </w:t>
      </w:r>
    </w:p>
    <w:p w14:paraId="56BB7F07" w14:textId="4945E7BC" w:rsidR="00AD57B9" w:rsidRPr="00834D69" w:rsidRDefault="00AD57B9" w:rsidP="00AD57B9">
      <w:pPr>
        <w:pStyle w:val="NormalWeb"/>
        <w:spacing w:line="480" w:lineRule="auto"/>
        <w:jc w:val="both"/>
        <w:rPr>
          <w:rFonts w:asciiTheme="majorBidi" w:hAnsiTheme="majorBidi" w:cstheme="majorBidi"/>
        </w:rPr>
      </w:pPr>
      <w:r w:rsidRPr="00834D69">
        <w:rPr>
          <w:rFonts w:asciiTheme="majorBidi" w:hAnsiTheme="majorBidi" w:cstheme="majorBidi"/>
        </w:rPr>
        <w:t>While often treated in historiography as primarily monetary or fiscal measures, such policies had direct material implications.</w:t>
      </w:r>
      <w:r w:rsidR="00733EDE" w:rsidRPr="00834D69">
        <w:rPr>
          <w:rFonts w:asciiTheme="majorBidi" w:hAnsiTheme="majorBidi" w:cstheme="majorBidi"/>
        </w:rPr>
        <w:t xml:space="preserve"> </w:t>
      </w:r>
      <w:r w:rsidRPr="00834D69">
        <w:rPr>
          <w:rFonts w:asciiTheme="majorBidi" w:hAnsiTheme="majorBidi" w:cstheme="majorBidi"/>
        </w:rPr>
        <w:t xml:space="preserve">Through the coordinating mechanisms overseen by the </w:t>
      </w:r>
      <w:proofErr w:type="spellStart"/>
      <w:r w:rsidRPr="00834D69">
        <w:rPr>
          <w:rFonts w:asciiTheme="majorBidi" w:hAnsiTheme="majorBidi" w:cstheme="majorBidi"/>
        </w:rPr>
        <w:t>amiras</w:t>
      </w:r>
      <w:proofErr w:type="spellEnd"/>
      <w:r w:rsidRPr="00834D69">
        <w:rPr>
          <w:rFonts w:asciiTheme="majorBidi" w:hAnsiTheme="majorBidi" w:cstheme="majorBidi"/>
        </w:rPr>
        <w:t>, these demands were transmitted to regions such as Bardizag, where production was correspondingly intensified. The apparent abstraction of monetary policy thus rested on a concrete expansion of labor and resource extraction at the local level.</w:t>
      </w:r>
    </w:p>
    <w:p w14:paraId="42A401A2" w14:textId="0B284A74" w:rsidR="000A44B2" w:rsidRPr="00834D69" w:rsidRDefault="000A44B2" w:rsidP="00AD57B9">
      <w:pPr>
        <w:pStyle w:val="NormalWeb"/>
        <w:spacing w:line="480" w:lineRule="auto"/>
        <w:jc w:val="both"/>
        <w:rPr>
          <w:rFonts w:asciiTheme="majorBidi" w:hAnsiTheme="majorBidi" w:cstheme="majorBidi"/>
        </w:rPr>
      </w:pPr>
      <w:r w:rsidRPr="00834D69">
        <w:rPr>
          <w:rFonts w:asciiTheme="majorBidi" w:hAnsiTheme="majorBidi" w:cstheme="majorBidi"/>
        </w:rPr>
        <w:t xml:space="preserve">From this perspective, Bardizag’s integration into imperial monetary structures was neither incidental nor merely administrative. It constituted a process of spatial and social reorganization, through which a rural locality became a specialized zone of production within a broader system of accumulation. The </w:t>
      </w:r>
      <w:proofErr w:type="spellStart"/>
      <w:r w:rsidRPr="00834D69">
        <w:rPr>
          <w:rFonts w:asciiTheme="majorBidi" w:hAnsiTheme="majorBidi" w:cstheme="majorBidi"/>
        </w:rPr>
        <w:t>amiras</w:t>
      </w:r>
      <w:proofErr w:type="spellEnd"/>
      <w:r w:rsidRPr="00834D69">
        <w:rPr>
          <w:rFonts w:asciiTheme="majorBidi" w:hAnsiTheme="majorBidi" w:cstheme="majorBidi"/>
        </w:rPr>
        <w:t xml:space="preserve"> played a decisive role in this transformation, mediating between the coercive power of the state and the productive capacities of rural society. Their influence derived not simply from proximity to imperial authority, but from their ability to manage the relationship </w:t>
      </w:r>
      <w:r w:rsidRPr="00834D69">
        <w:rPr>
          <w:rFonts w:asciiTheme="majorBidi" w:hAnsiTheme="majorBidi" w:cstheme="majorBidi"/>
        </w:rPr>
        <w:lastRenderedPageBreak/>
        <w:t>between circulation and production</w:t>
      </w:r>
      <w:r w:rsidR="00733EDE" w:rsidRPr="00834D69">
        <w:rPr>
          <w:rFonts w:asciiTheme="majorBidi" w:hAnsiTheme="majorBidi" w:cstheme="majorBidi"/>
        </w:rPr>
        <w:t xml:space="preserve"> </w:t>
      </w:r>
      <w:r w:rsidRPr="00834D69">
        <w:rPr>
          <w:rFonts w:asciiTheme="majorBidi" w:hAnsiTheme="majorBidi" w:cstheme="majorBidi"/>
        </w:rPr>
        <w:t>linking the mint as a site of monetary abstraction to the forest as a site of material labor.</w:t>
      </w:r>
    </w:p>
    <w:p w14:paraId="0A09855B" w14:textId="6E3F5C04" w:rsidR="00AD57B9" w:rsidRPr="00834D69" w:rsidRDefault="00AD57B9" w:rsidP="00AD57B9">
      <w:pPr>
        <w:pStyle w:val="NormalWeb"/>
        <w:spacing w:line="480" w:lineRule="auto"/>
        <w:jc w:val="both"/>
        <w:rPr>
          <w:rFonts w:asciiTheme="majorBidi" w:hAnsiTheme="majorBidi" w:cstheme="majorBidi"/>
        </w:rPr>
      </w:pPr>
      <w:r w:rsidRPr="00834D69">
        <w:rPr>
          <w:rFonts w:asciiTheme="majorBidi" w:hAnsiTheme="majorBidi" w:cstheme="majorBidi"/>
        </w:rPr>
        <w:t xml:space="preserve">This reorganization entailed several interrelated shifts. First, production was standardized through the imposition of recurring cycles of timber extraction, controlled carbonization, and transport. Second, it was centralized, insofar as charcoal was directed toward a single, state-oriented site of consumption. Third, and most significantly, it was administratively regulated: both output quotas and prices were fixed, eliminating any possibility of negotiation or market participation by the producers themselves. Nineteenth-century debasement did not merely alter the metallic content of coinage; it increased the volume of production required at the mint, thereby intensifying demand for charcoal. Meeting this demand required the concentration of fuel production in a region capable of sustained output, and it was through the coordinating mechanisms of the </w:t>
      </w:r>
      <w:proofErr w:type="spellStart"/>
      <w:r w:rsidRPr="00834D69">
        <w:rPr>
          <w:rFonts w:asciiTheme="majorBidi" w:hAnsiTheme="majorBidi" w:cstheme="majorBidi"/>
        </w:rPr>
        <w:t>amiras</w:t>
      </w:r>
      <w:proofErr w:type="spellEnd"/>
      <w:r w:rsidRPr="00834D69">
        <w:rPr>
          <w:rFonts w:asciiTheme="majorBidi" w:hAnsiTheme="majorBidi" w:cstheme="majorBidi"/>
        </w:rPr>
        <w:t xml:space="preserve"> that Bardizag was constituted as that dedicated supply zone. The success of the debasements of 1828–3</w:t>
      </w:r>
      <w:r w:rsidR="00834D69">
        <w:rPr>
          <w:rFonts w:asciiTheme="majorBidi" w:hAnsiTheme="majorBidi" w:cstheme="majorBidi"/>
        </w:rPr>
        <w:t>1</w:t>
      </w:r>
      <w:r w:rsidRPr="00834D69">
        <w:rPr>
          <w:rFonts w:asciiTheme="majorBidi" w:hAnsiTheme="majorBidi" w:cstheme="majorBidi"/>
        </w:rPr>
        <w:t xml:space="preserve"> widely regarded by contemporaries as a stabilizing achievement — rested not simply on monetary policy but on the </w:t>
      </w:r>
      <w:proofErr w:type="spellStart"/>
      <w:r w:rsidRPr="00834D69">
        <w:rPr>
          <w:rFonts w:asciiTheme="majorBidi" w:hAnsiTheme="majorBidi" w:cstheme="majorBidi"/>
        </w:rPr>
        <w:t>amiras</w:t>
      </w:r>
      <w:proofErr w:type="spellEnd"/>
      <w:r w:rsidRPr="00834D69">
        <w:rPr>
          <w:rFonts w:asciiTheme="majorBidi" w:hAnsiTheme="majorBidi" w:cstheme="majorBidi"/>
        </w:rPr>
        <w:t>' capacity to hold together the tension between money as a commodity grounded in labor and money as an instrument of state authority: a tension made concrete in the act of fixing the price of a kilogram of charcoal.</w:t>
      </w:r>
    </w:p>
    <w:p w14:paraId="1AA35769" w14:textId="54406094" w:rsidR="000A44B2" w:rsidRPr="00834D69" w:rsidRDefault="000A44B2" w:rsidP="002A7F1C">
      <w:pPr>
        <w:pStyle w:val="NormalWeb"/>
        <w:spacing w:line="480" w:lineRule="auto"/>
        <w:jc w:val="both"/>
        <w:rPr>
          <w:rFonts w:asciiTheme="majorBidi" w:hAnsiTheme="majorBidi" w:cstheme="majorBidi"/>
        </w:rPr>
      </w:pPr>
      <w:r w:rsidRPr="00834D69">
        <w:rPr>
          <w:rFonts w:asciiTheme="majorBidi" w:hAnsiTheme="majorBidi" w:cstheme="majorBidi"/>
        </w:rPr>
        <w:t xml:space="preserve">The </w:t>
      </w:r>
      <w:proofErr w:type="spellStart"/>
      <w:r w:rsidRPr="00834D69">
        <w:rPr>
          <w:rFonts w:asciiTheme="majorBidi" w:hAnsiTheme="majorBidi" w:cstheme="majorBidi"/>
        </w:rPr>
        <w:t>amiras</w:t>
      </w:r>
      <w:proofErr w:type="spellEnd"/>
      <w:r w:rsidRPr="00834D69">
        <w:rPr>
          <w:rFonts w:asciiTheme="majorBidi" w:hAnsiTheme="majorBidi" w:cstheme="majorBidi"/>
        </w:rPr>
        <w:t xml:space="preserve"> can thus be understood as key agents in the historical realization of the money form. Occupying a structurally indispensable yet politically subordinate position, they mediated between state authority and material production—coordinating mining outputs, mobilizing credit, and organizing the supply chains that linked provincial extraction zones such as Bardizag to the imperial center. Their influence derived not simply from proximity to imperial authority, but from their ability to manage the relationship between circulation and production, linking the mint as a </w:t>
      </w:r>
      <w:r w:rsidRPr="00834D69">
        <w:rPr>
          <w:rFonts w:asciiTheme="majorBidi" w:hAnsiTheme="majorBidi" w:cstheme="majorBidi"/>
        </w:rPr>
        <w:lastRenderedPageBreak/>
        <w:t xml:space="preserve">site of monetary abstraction to the forest as a site of material labor. From the imperial center, they translated the abstract imperatives of monetary policy into concrete systems of rural extraction by regulating prices, enforcing quotas, and ensuring continuous delivery. In this configuration, the mint emerges as an institution that organized not only resources but social relations, with administrative and financial elites at the apex, </w:t>
      </w:r>
      <w:proofErr w:type="spellStart"/>
      <w:r w:rsidRPr="00834D69">
        <w:rPr>
          <w:rFonts w:asciiTheme="majorBidi" w:hAnsiTheme="majorBidi" w:cstheme="majorBidi"/>
        </w:rPr>
        <w:t>amiras</w:t>
      </w:r>
      <w:proofErr w:type="spellEnd"/>
      <w:r w:rsidRPr="00834D69">
        <w:rPr>
          <w:rFonts w:asciiTheme="majorBidi" w:hAnsiTheme="majorBidi" w:cstheme="majorBidi"/>
        </w:rPr>
        <w:t xml:space="preserve"> at the center, and coerced rural and mining labor at the base. The case of Bardizag makes this relationship visible: the stability of imperial currency depended not only on fiscal policy or metallic supply, but on the ongoing reorganization of local economies and ecologies in service of the mint.</w:t>
      </w:r>
    </w:p>
    <w:p w14:paraId="5F6BFF3B" w14:textId="6F9696B8" w:rsidR="00007204" w:rsidRPr="00834D69" w:rsidRDefault="002F5402" w:rsidP="00007204">
      <w:pPr>
        <w:pStyle w:val="NormalWeb"/>
        <w:spacing w:line="480" w:lineRule="auto"/>
        <w:jc w:val="both"/>
        <w:rPr>
          <w:rFonts w:asciiTheme="majorBidi" w:hAnsiTheme="majorBidi" w:cstheme="majorBidi"/>
          <w:shd w:val="clear" w:color="auto" w:fill="FFFFFF"/>
        </w:rPr>
      </w:pPr>
      <w:r w:rsidRPr="00834D69">
        <w:rPr>
          <w:rFonts w:asciiTheme="majorBidi" w:hAnsiTheme="majorBidi" w:cstheme="majorBidi"/>
          <w:shd w:val="clear" w:color="auto" w:fill="FFFFFF"/>
        </w:rPr>
        <w:t>When Kazaz Artin adjusted the alloy ratios of Ottoman coinage to meet war reparation obligations, the decision was recorded as a technical fiscal measure. But monetary policy of this kind was never</w:t>
      </w:r>
      <w:r w:rsidR="006E5BFB" w:rsidRPr="00834D69">
        <w:rPr>
          <w:rFonts w:asciiTheme="majorBidi" w:hAnsiTheme="majorBidi" w:cstheme="majorBidi"/>
          <w:shd w:val="clear" w:color="auto" w:fill="FFFFFF"/>
        </w:rPr>
        <w:t xml:space="preserve"> purely technical: it had a labor cost, and that cost was borne by specific people in specific places. A higher copper content required more smelted metal, more charcoal, more kilns, and more hours of human labor. </w:t>
      </w:r>
      <w:r w:rsidR="008818DD" w:rsidRPr="00834D69">
        <w:rPr>
          <w:rStyle w:val="apple-converted-space"/>
          <w:rFonts w:asciiTheme="majorBidi" w:hAnsiTheme="majorBidi" w:cstheme="majorBidi"/>
          <w:shd w:val="clear" w:color="auto" w:fill="FFFFFF"/>
        </w:rPr>
        <w:t xml:space="preserve"> </w:t>
      </w:r>
      <w:r w:rsidR="00007204" w:rsidRPr="00834D69">
        <w:rPr>
          <w:rFonts w:asciiTheme="majorBidi" w:hAnsiTheme="majorBidi" w:cstheme="majorBidi"/>
          <w:shd w:val="clear" w:color="auto" w:fill="FFFFFF"/>
        </w:rPr>
        <w:t>In Bardizag, this was not experienced as a shift in alloy composition but as a direct intensification of working conditions: time diverted from subsistence agriculture, nights spent tending fires, bodies subordinated to the demands of imperial finance. Workers who had no voice in the reparation negotiations, and no stake in the monetary system their labor sustained, absorbed the cost of decisions made far above them. The following section examines how this labor dynamics operated in practice</w:t>
      </w:r>
      <w:r w:rsidR="008818DD" w:rsidRPr="00834D69">
        <w:rPr>
          <w:rFonts w:asciiTheme="majorBidi" w:hAnsiTheme="majorBidi" w:cstheme="majorBidi"/>
          <w:shd w:val="clear" w:color="auto" w:fill="FFFFFF"/>
        </w:rPr>
        <w:t xml:space="preserve">; </w:t>
      </w:r>
      <w:r w:rsidR="00007204" w:rsidRPr="00834D69">
        <w:rPr>
          <w:rFonts w:asciiTheme="majorBidi" w:hAnsiTheme="majorBidi" w:cstheme="majorBidi"/>
          <w:shd w:val="clear" w:color="auto" w:fill="FFFFFF"/>
        </w:rPr>
        <w:t>who performed this work, under what conditions, and how the demands placed on charcoal producers shifted in response to monetary pressures beyond their control.</w:t>
      </w:r>
    </w:p>
    <w:p w14:paraId="1EDF974B" w14:textId="77777777" w:rsidR="00AC4067" w:rsidRPr="00834D69" w:rsidRDefault="00AC4067" w:rsidP="00007204">
      <w:pPr>
        <w:pStyle w:val="NormalWeb"/>
        <w:spacing w:line="480" w:lineRule="auto"/>
        <w:jc w:val="both"/>
        <w:rPr>
          <w:rFonts w:asciiTheme="majorBidi" w:hAnsiTheme="majorBidi" w:cstheme="majorBidi"/>
          <w:shd w:val="clear" w:color="auto" w:fill="FFFFFF"/>
        </w:rPr>
      </w:pPr>
    </w:p>
    <w:p w14:paraId="7D79FC39" w14:textId="77777777" w:rsidR="00AC4067" w:rsidRPr="00834D69" w:rsidRDefault="00AC4067" w:rsidP="00007204">
      <w:pPr>
        <w:pStyle w:val="NormalWeb"/>
        <w:spacing w:line="480" w:lineRule="auto"/>
        <w:jc w:val="both"/>
        <w:rPr>
          <w:rFonts w:asciiTheme="majorBidi" w:hAnsiTheme="majorBidi" w:cstheme="majorBidi"/>
          <w:shd w:val="clear" w:color="auto" w:fill="FFFFFF"/>
        </w:rPr>
      </w:pPr>
    </w:p>
    <w:p w14:paraId="4439ACC1" w14:textId="649FBEEA" w:rsidR="002A7F1C" w:rsidRPr="00834D69" w:rsidRDefault="00AD57B9" w:rsidP="00007204">
      <w:pPr>
        <w:pStyle w:val="NormalWeb"/>
        <w:spacing w:line="480" w:lineRule="auto"/>
        <w:jc w:val="both"/>
        <w:rPr>
          <w:rFonts w:asciiTheme="majorBidi" w:hAnsiTheme="majorBidi" w:cstheme="majorBidi"/>
          <w:b/>
          <w:bCs/>
          <w:shd w:val="clear" w:color="auto" w:fill="FFFFFF"/>
        </w:rPr>
      </w:pPr>
      <w:r w:rsidRPr="00834D69">
        <w:rPr>
          <w:rFonts w:asciiTheme="majorBidi" w:hAnsiTheme="majorBidi" w:cstheme="majorBidi"/>
          <w:b/>
          <w:bCs/>
          <w:shd w:val="clear" w:color="auto" w:fill="FFFFFF"/>
        </w:rPr>
        <w:lastRenderedPageBreak/>
        <w:t>The Labor of Money: Extraction vs. Subsistence</w:t>
      </w:r>
    </w:p>
    <w:p w14:paraId="2FFE7AC1" w14:textId="2434F3D8" w:rsidR="008818DD" w:rsidRPr="00834D69" w:rsidRDefault="008818DD" w:rsidP="002A7B3A">
      <w:pPr>
        <w:pStyle w:val="NormalWeb"/>
        <w:spacing w:line="480" w:lineRule="auto"/>
        <w:jc w:val="both"/>
        <w:rPr>
          <w:rFonts w:asciiTheme="majorBidi" w:hAnsiTheme="majorBidi" w:cstheme="majorBidi"/>
          <w:shd w:val="clear" w:color="auto" w:fill="FFFFFF"/>
        </w:rPr>
      </w:pPr>
      <w:r w:rsidRPr="00834D69">
        <w:rPr>
          <w:rFonts w:asciiTheme="majorBidi" w:hAnsiTheme="majorBidi" w:cstheme="majorBidi"/>
          <w:shd w:val="clear" w:color="auto" w:fill="FFFFFF"/>
        </w:rPr>
        <w:t xml:space="preserve">This section examines how imperial provisioning functioned at the local level through the case of Bardizag’s Armenian peasants. It argues what appeared in administrative terms as fiscal privilege and rational economic policy in fact concealed a system of indirect extraction grounded in coerced labor, ecological strain, and uneven burdens. By shifting perspective from imperial regulation to rural experience, the analysis </w:t>
      </w:r>
      <w:r w:rsidR="0002475D" w:rsidRPr="00834D69">
        <w:rPr>
          <w:rFonts w:asciiTheme="majorBidi" w:hAnsiTheme="majorBidi" w:cstheme="majorBidi"/>
          <w:shd w:val="clear" w:color="auto" w:fill="FFFFFF"/>
        </w:rPr>
        <w:t xml:space="preserve">reveals how provisioning depended not simply on monetary policy, but on the continuous mobilization of labor and natural resources under increasingly fragile conditions. </w:t>
      </w:r>
    </w:p>
    <w:p w14:paraId="1286A523" w14:textId="1724ED7C" w:rsidR="00106CF5" w:rsidRPr="00834D69" w:rsidRDefault="008818DD" w:rsidP="002A7B3A">
      <w:pPr>
        <w:pStyle w:val="NormalWeb"/>
        <w:spacing w:line="480" w:lineRule="auto"/>
        <w:jc w:val="both"/>
        <w:rPr>
          <w:rFonts w:asciiTheme="majorBidi" w:hAnsiTheme="majorBidi" w:cstheme="majorBidi"/>
          <w:shd w:val="clear" w:color="auto" w:fill="FFFFFF"/>
        </w:rPr>
      </w:pPr>
      <w:r w:rsidRPr="00834D69">
        <w:rPr>
          <w:rFonts w:asciiTheme="majorBidi" w:hAnsiTheme="majorBidi" w:cstheme="majorBidi"/>
          <w:shd w:val="clear" w:color="auto" w:fill="FFFFFF"/>
        </w:rPr>
        <w:t>At first glance, t</w:t>
      </w:r>
      <w:r w:rsidR="00106CF5" w:rsidRPr="00834D69">
        <w:rPr>
          <w:rFonts w:asciiTheme="majorBidi" w:hAnsiTheme="majorBidi" w:cstheme="majorBidi"/>
          <w:shd w:val="clear" w:color="auto" w:fill="FFFFFF"/>
        </w:rPr>
        <w:t xml:space="preserve">he relative exemption of the region's Armenian peasantry from certain standard tax burdens might appear, at first glance, to suggest a lighter form of subordination. In practice, </w:t>
      </w:r>
      <w:r w:rsidR="0002475D" w:rsidRPr="00834D69">
        <w:rPr>
          <w:rFonts w:asciiTheme="majorBidi" w:hAnsiTheme="majorBidi" w:cstheme="majorBidi"/>
          <w:shd w:val="clear" w:color="auto" w:fill="FFFFFF"/>
        </w:rPr>
        <w:t xml:space="preserve">however, </w:t>
      </w:r>
      <w:r w:rsidR="00FD38D6" w:rsidRPr="00834D69">
        <w:rPr>
          <w:rFonts w:asciiTheme="majorBidi" w:hAnsiTheme="majorBidi" w:cstheme="majorBidi"/>
          <w:shd w:val="clear" w:color="auto" w:fill="FFFFFF"/>
        </w:rPr>
        <w:t>the “fiscal privilege” of tax exemption (</w:t>
      </w:r>
      <w:proofErr w:type="spellStart"/>
      <w:r w:rsidR="00FD38D6" w:rsidRPr="00834D69">
        <w:rPr>
          <w:rFonts w:asciiTheme="majorBidi" w:hAnsiTheme="majorBidi" w:cstheme="majorBidi"/>
          <w:i/>
          <w:iCs/>
          <w:shd w:val="clear" w:color="auto" w:fill="FFFFFF"/>
        </w:rPr>
        <w:t>muafiyet</w:t>
      </w:r>
      <w:proofErr w:type="spellEnd"/>
      <w:r w:rsidR="00FD38D6" w:rsidRPr="00834D69">
        <w:rPr>
          <w:rFonts w:asciiTheme="majorBidi" w:hAnsiTheme="majorBidi" w:cstheme="majorBidi"/>
          <w:shd w:val="clear" w:color="auto" w:fill="FFFFFF"/>
        </w:rPr>
        <w:t xml:space="preserve">) functioned as a mechanism of indirect </w:t>
      </w:r>
      <w:r w:rsidR="002A7B3A" w:rsidRPr="00834D69">
        <w:rPr>
          <w:rFonts w:asciiTheme="majorBidi" w:hAnsiTheme="majorBidi" w:cstheme="majorBidi"/>
          <w:shd w:val="clear" w:color="auto" w:fill="FFFFFF"/>
        </w:rPr>
        <w:t>extraction</w:t>
      </w:r>
      <w:r w:rsidR="00FD38D6" w:rsidRPr="00834D69">
        <w:rPr>
          <w:rFonts w:asciiTheme="majorBidi" w:hAnsiTheme="majorBidi" w:cstheme="majorBidi"/>
          <w:shd w:val="clear" w:color="auto" w:fill="FFFFFF"/>
        </w:rPr>
        <w:t xml:space="preserve"> that </w:t>
      </w:r>
      <w:r w:rsidR="002A7B3A" w:rsidRPr="00834D69">
        <w:rPr>
          <w:rFonts w:asciiTheme="majorBidi" w:hAnsiTheme="majorBidi" w:cstheme="majorBidi"/>
          <w:shd w:val="clear" w:color="auto" w:fill="FFFFFF"/>
        </w:rPr>
        <w:t xml:space="preserve">reconfigured rural obligations into a specialized and grueling form of coerced labor. </w:t>
      </w:r>
      <w:r w:rsidR="00106CF5" w:rsidRPr="00834D69">
        <w:rPr>
          <w:rFonts w:asciiTheme="majorBidi" w:hAnsiTheme="majorBidi" w:cstheme="majorBidi"/>
          <w:shd w:val="clear" w:color="auto" w:fill="FFFFFF"/>
        </w:rPr>
        <w:t>Bardizag's peasants were, in a sense, released from one regime of extraction only to be bound more tightly to another</w:t>
      </w:r>
      <w:r w:rsidR="0002475D" w:rsidRPr="00834D69">
        <w:rPr>
          <w:rFonts w:asciiTheme="majorBidi" w:hAnsiTheme="majorBidi" w:cstheme="majorBidi"/>
          <w:shd w:val="clear" w:color="auto" w:fill="FFFFFF"/>
        </w:rPr>
        <w:t>;</w:t>
      </w:r>
      <w:r w:rsidR="00106CF5" w:rsidRPr="00834D69">
        <w:rPr>
          <w:rFonts w:asciiTheme="majorBidi" w:hAnsiTheme="majorBidi" w:cstheme="majorBidi"/>
          <w:shd w:val="clear" w:color="auto" w:fill="FFFFFF"/>
        </w:rPr>
        <w:t xml:space="preserve"> one whose demands were inscribed not in tax registers but in the rhythms of agricultural </w:t>
      </w:r>
      <w:r w:rsidR="0002475D" w:rsidRPr="00834D69">
        <w:rPr>
          <w:rFonts w:asciiTheme="majorBidi" w:hAnsiTheme="majorBidi" w:cstheme="majorBidi"/>
          <w:shd w:val="clear" w:color="auto" w:fill="FFFFFF"/>
        </w:rPr>
        <w:t>work, charcoal production, and transport</w:t>
      </w:r>
      <w:r w:rsidR="00106CF5" w:rsidRPr="00834D69">
        <w:rPr>
          <w:rFonts w:asciiTheme="majorBidi" w:hAnsiTheme="majorBidi" w:cstheme="majorBidi"/>
          <w:shd w:val="clear" w:color="auto" w:fill="FFFFFF"/>
        </w:rPr>
        <w:t xml:space="preserve">. </w:t>
      </w:r>
      <w:r w:rsidR="0002475D" w:rsidRPr="00834D69">
        <w:rPr>
          <w:rFonts w:asciiTheme="majorBidi" w:hAnsiTheme="majorBidi" w:cstheme="majorBidi"/>
          <w:shd w:val="clear" w:color="auto" w:fill="FFFFFF"/>
        </w:rPr>
        <w:t>T</w:t>
      </w:r>
      <w:r w:rsidR="00106CF5" w:rsidRPr="00834D69">
        <w:rPr>
          <w:rFonts w:asciiTheme="majorBidi" w:hAnsiTheme="majorBidi" w:cstheme="majorBidi"/>
          <w:shd w:val="clear" w:color="auto" w:fill="FFFFFF"/>
        </w:rPr>
        <w:t>he Bardizag case illuminates what a purely fiscal or monetary lens tends to obscure: that the stabilization of monetary systems depends, ultimately, on the organized exertion of human labor embedded in specific ecological conditions.</w:t>
      </w:r>
    </w:p>
    <w:p w14:paraId="1E5EAE18" w14:textId="7C148385" w:rsidR="00AD57B9" w:rsidRPr="00834D69" w:rsidRDefault="0002475D" w:rsidP="002F6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rPr>
          <w:rFonts w:asciiTheme="majorBidi" w:hAnsiTheme="majorBidi" w:cstheme="majorBidi"/>
          <w:color w:val="1F1F1F"/>
          <w:sz w:val="24"/>
          <w:szCs w:val="24"/>
        </w:rPr>
      </w:pPr>
      <w:r w:rsidRPr="00834D69">
        <w:rPr>
          <w:rFonts w:asciiTheme="majorBidi" w:hAnsiTheme="majorBidi" w:cstheme="majorBidi"/>
          <w:sz w:val="24"/>
          <w:szCs w:val="24"/>
          <w:lang w:val="en-US"/>
        </w:rPr>
        <w:t xml:space="preserve">This restructuring operated through the system of conditional exemption, which functioned as a central mechanism of indirect extraction. </w:t>
      </w:r>
      <w:r w:rsidRPr="00834D69">
        <w:rPr>
          <w:rStyle w:val="apple-converted-space"/>
          <w:rFonts w:asciiTheme="majorBidi" w:hAnsiTheme="majorBidi" w:cstheme="majorBidi"/>
          <w:color w:val="000000"/>
          <w:sz w:val="24"/>
          <w:szCs w:val="24"/>
          <w:shd w:val="clear" w:color="auto" w:fill="FFFFFF"/>
        </w:rPr>
        <w:t> </w:t>
      </w:r>
      <w:r w:rsidRPr="00834D69">
        <w:rPr>
          <w:rFonts w:asciiTheme="majorBidi" w:hAnsiTheme="majorBidi" w:cstheme="majorBidi"/>
          <w:color w:val="000000"/>
          <w:sz w:val="24"/>
          <w:szCs w:val="24"/>
          <w:shd w:val="clear" w:color="auto" w:fill="FFFFFF"/>
        </w:rPr>
        <w:t xml:space="preserve">Rather than imposing direct taxation, the state relieved certain communities of fiscal dues in exchange for specific productive services. </w:t>
      </w:r>
      <w:r w:rsidR="00AD57B9" w:rsidRPr="00834D69">
        <w:rPr>
          <w:rFonts w:asciiTheme="majorBidi" w:hAnsiTheme="majorBidi" w:cstheme="majorBidi"/>
          <w:sz w:val="24"/>
          <w:szCs w:val="24"/>
          <w:lang w:val="en-US"/>
        </w:rPr>
        <w:t xml:space="preserve">In Bardizag, Armenian peasants were incorporated into imperial provisioning systems through regimes of compelled labor formalized as tax exemptions. These exemptions, known as </w:t>
      </w:r>
      <w:proofErr w:type="spellStart"/>
      <w:r w:rsidR="00AD57B9" w:rsidRPr="00834D69">
        <w:rPr>
          <w:rFonts w:asciiTheme="majorBidi" w:hAnsiTheme="majorBidi" w:cstheme="majorBidi"/>
          <w:i/>
          <w:iCs/>
          <w:sz w:val="24"/>
          <w:szCs w:val="24"/>
          <w:lang w:val="en-US"/>
        </w:rPr>
        <w:t>muafiyet</w:t>
      </w:r>
      <w:proofErr w:type="spellEnd"/>
      <w:r w:rsidR="00AD57B9" w:rsidRPr="00834D69">
        <w:rPr>
          <w:rFonts w:asciiTheme="majorBidi" w:hAnsiTheme="majorBidi" w:cstheme="majorBidi"/>
          <w:sz w:val="24"/>
          <w:szCs w:val="24"/>
          <w:lang w:val="en-US"/>
        </w:rPr>
        <w:t xml:space="preserve">, did not </w:t>
      </w:r>
      <w:r w:rsidR="00AD57B9" w:rsidRPr="00834D69">
        <w:rPr>
          <w:rFonts w:asciiTheme="majorBidi" w:hAnsiTheme="majorBidi" w:cstheme="majorBidi"/>
          <w:sz w:val="24"/>
          <w:szCs w:val="24"/>
          <w:lang w:val="en-US"/>
        </w:rPr>
        <w:lastRenderedPageBreak/>
        <w:t>relieve obligation but restructured it, binding households to the production and transport of charcoal. Through timber cutting, kiln work, and supply chains feeding the mint, peasant labor became the hidden energy base of monetary circulation.</w:t>
      </w:r>
      <w:r w:rsidR="00634E60" w:rsidRPr="00834D69">
        <w:rPr>
          <w:rStyle w:val="FootnoteReference"/>
          <w:rFonts w:asciiTheme="majorBidi" w:hAnsiTheme="majorBidi" w:cstheme="majorBidi"/>
          <w:sz w:val="24"/>
          <w:szCs w:val="24"/>
          <w:lang w:val="en-US"/>
        </w:rPr>
        <w:footnoteReference w:id="24"/>
      </w:r>
      <w:r w:rsidR="00AD57B9" w:rsidRPr="00834D69">
        <w:rPr>
          <w:rFonts w:asciiTheme="majorBidi" w:hAnsiTheme="majorBidi" w:cstheme="majorBidi"/>
          <w:sz w:val="24"/>
          <w:szCs w:val="24"/>
          <w:lang w:val="en-US"/>
        </w:rPr>
        <w:t xml:space="preserve"> </w:t>
      </w:r>
      <w:r w:rsidR="002F6508" w:rsidRPr="00834D69">
        <w:rPr>
          <w:rFonts w:asciiTheme="majorBidi" w:hAnsiTheme="majorBidi" w:cstheme="majorBidi"/>
          <w:sz w:val="24"/>
          <w:szCs w:val="24"/>
        </w:rPr>
        <w:t>The charcoal needed by the Imperial Mint was usually made from pine and oak, and sometimes from fir and alder. The mint required 20,000 units of charcoal annually.  Sources indicate that a "unit" refers to a sack of charcoal, but the exact weight it corresponds to is not specified.</w:t>
      </w:r>
    </w:p>
    <w:p w14:paraId="4AFAB9E4" w14:textId="39DF4AA4" w:rsidR="00AD57B9" w:rsidRPr="00834D69" w:rsidRDefault="00702995" w:rsidP="00AD57B9">
      <w:pPr>
        <w:pStyle w:val="NormalWeb"/>
        <w:spacing w:before="280" w:after="280" w:line="480" w:lineRule="auto"/>
        <w:jc w:val="both"/>
        <w:rPr>
          <w:rFonts w:asciiTheme="majorBidi" w:hAnsiTheme="majorBidi" w:cstheme="majorBidi"/>
        </w:rPr>
      </w:pPr>
      <w:r w:rsidRPr="00834D69">
        <w:rPr>
          <w:rFonts w:asciiTheme="majorBidi" w:hAnsiTheme="majorBidi" w:cstheme="majorBidi"/>
        </w:rPr>
        <w:t>The stability of the Ottoman provisioning system rested on the assumption of “rural elasticity”, yet the overlapping demands of charcoal production and the agricultural calendar often pushed peasant households to their breaking point.</w:t>
      </w:r>
      <w:r w:rsidR="00AD57B9" w:rsidRPr="00834D69">
        <w:rPr>
          <w:rFonts w:asciiTheme="majorBidi" w:hAnsiTheme="majorBidi" w:cstheme="majorBidi"/>
        </w:rPr>
        <w:t xml:space="preserve"> As a result, peasant households faced competing claims on their labor, forced to divert time away from subsistence production </w:t>
      </w:r>
      <w:r w:rsidRPr="00834D69">
        <w:rPr>
          <w:rFonts w:asciiTheme="majorBidi" w:hAnsiTheme="majorBidi" w:cstheme="majorBidi"/>
        </w:rPr>
        <w:t>to</w:t>
      </w:r>
      <w:r w:rsidR="00AD57B9" w:rsidRPr="00834D69">
        <w:rPr>
          <w:rFonts w:asciiTheme="majorBidi" w:hAnsiTheme="majorBidi" w:cstheme="majorBidi"/>
        </w:rPr>
        <w:t xml:space="preserve"> meet state requirements. What appeared administratively as a fixed obligation translated in practice into fluctuating and often intensifying pressures on rural labor, particularly in moments of heightened demand. </w:t>
      </w:r>
      <w:r w:rsidR="00AD57B9" w:rsidRPr="00834D69">
        <w:rPr>
          <w:rStyle w:val="Strong"/>
          <w:rFonts w:asciiTheme="majorBidi" w:eastAsiaTheme="majorEastAsia" w:hAnsiTheme="majorBidi" w:cstheme="majorBidi"/>
          <w:b w:val="0"/>
          <w:bCs w:val="0"/>
        </w:rPr>
        <w:t>At the local level, these policies also translated into intense pressures on time and labor.</w:t>
      </w:r>
      <w:r w:rsidR="00AD57B9" w:rsidRPr="00834D69">
        <w:rPr>
          <w:rFonts w:asciiTheme="majorBidi" w:hAnsiTheme="majorBidi" w:cstheme="majorBidi"/>
        </w:rPr>
        <w:t> The burden of charcoal production was not solely economic but also temporal, intersecting directly with the agricultural calendar. Obligations frequently coincided with peak periods of cultivation and harvest, forcing Armenian peasant households to navigate competing demands on their labor. Time that would otherwise have been devoted to subsistence production was instead redirected toward meeting state requirements.</w:t>
      </w:r>
    </w:p>
    <w:p w14:paraId="47A16E34" w14:textId="464ABFC4" w:rsidR="00AD57B9" w:rsidRPr="00834D69" w:rsidRDefault="00AD57B9" w:rsidP="00752963">
      <w:pPr>
        <w:pStyle w:val="NormalWeb"/>
        <w:spacing w:line="480" w:lineRule="auto"/>
        <w:jc w:val="both"/>
        <w:rPr>
          <w:rFonts w:asciiTheme="majorBidi" w:hAnsiTheme="majorBidi" w:cstheme="majorBidi"/>
        </w:rPr>
      </w:pPr>
      <w:r w:rsidRPr="00834D69">
        <w:rPr>
          <w:rFonts w:asciiTheme="majorBidi" w:hAnsiTheme="majorBidi" w:cstheme="majorBidi"/>
        </w:rPr>
        <w:t xml:space="preserve">In this light, the petition does more than document local grievance; it exposes the limits of an extractive system predicated on the continuous conversion of forest resources and peasant labor </w:t>
      </w:r>
      <w:r w:rsidRPr="00834D69">
        <w:rPr>
          <w:rFonts w:asciiTheme="majorBidi" w:hAnsiTheme="majorBidi" w:cstheme="majorBidi"/>
        </w:rPr>
        <w:lastRenderedPageBreak/>
        <w:t xml:space="preserve">into energy for the imperial center. The state’s capacity to maintain stable supply—and, by extension, the functioning of institutions dependent on that supply—rested on the expectation that rural communities could absorb escalating demands without structural breakdown. The voices from </w:t>
      </w:r>
      <w:proofErr w:type="spellStart"/>
      <w:r w:rsidRPr="00834D69">
        <w:rPr>
          <w:rFonts w:asciiTheme="majorBidi" w:hAnsiTheme="majorBidi" w:cstheme="majorBidi"/>
        </w:rPr>
        <w:t>Bahçecik</w:t>
      </w:r>
      <w:proofErr w:type="spellEnd"/>
      <w:r w:rsidRPr="00834D69">
        <w:rPr>
          <w:rFonts w:asciiTheme="majorBidi" w:hAnsiTheme="majorBidi" w:cstheme="majorBidi"/>
        </w:rPr>
        <w:t xml:space="preserve"> and </w:t>
      </w:r>
      <w:proofErr w:type="spellStart"/>
      <w:r w:rsidRPr="00834D69">
        <w:rPr>
          <w:rFonts w:asciiTheme="majorBidi" w:hAnsiTheme="majorBidi" w:cstheme="majorBidi"/>
        </w:rPr>
        <w:t>Yuvacık</w:t>
      </w:r>
      <w:proofErr w:type="spellEnd"/>
      <w:r w:rsidRPr="00834D69">
        <w:rPr>
          <w:rFonts w:asciiTheme="majorBidi" w:hAnsiTheme="majorBidi" w:cstheme="majorBidi"/>
        </w:rPr>
        <w:t xml:space="preserve"> suggest that by the mid-nineteenth century, this expectation was no longer sustainable. petition exposes a structural tension within the provisioning framework. While state policy treated charcoal supply as a stable and regulated component of imperial economy, rural producers experienced it as an increasingly rigid and burdensome service. Charcoal embodied accumulated labor: the cutting of timber, the controlled burning of wood, and the costly transport of fuel to urban centers. Each delivery thus represented not merely a commodity, but the materialization of peasant labor time redirected toward sustaining imperial institutions in Istanbul. </w:t>
      </w:r>
    </w:p>
    <w:p w14:paraId="74E2059F" w14:textId="4AC6C39A" w:rsidR="00752963" w:rsidRPr="00834D69" w:rsidRDefault="007C2070" w:rsidP="00752963">
      <w:pPr>
        <w:pStyle w:val="NormalWeb"/>
        <w:spacing w:line="480" w:lineRule="auto"/>
        <w:jc w:val="both"/>
        <w:rPr>
          <w:rFonts w:asciiTheme="majorBidi" w:hAnsiTheme="majorBidi" w:cstheme="majorBidi"/>
        </w:rPr>
      </w:pPr>
      <w:r w:rsidRPr="00834D69">
        <w:rPr>
          <w:rFonts w:asciiTheme="majorBidi" w:hAnsiTheme="majorBidi" w:cstheme="majorBidi"/>
        </w:rPr>
        <w:t>Read alongside fiscal regulations, the petition reveals the asymmetry embedded in state-centered accounts of economic governance. Administrative records register compliance, delivery quotas, and price schedules; they rarely capture labor exhaustion, ecological degradation, or subsistence strain. The 18</w:t>
      </w:r>
      <w:r w:rsidR="00546F1D" w:rsidRPr="00834D69">
        <w:rPr>
          <w:rFonts w:asciiTheme="majorBidi" w:hAnsiTheme="majorBidi" w:cstheme="majorBidi"/>
        </w:rPr>
        <w:t>31</w:t>
      </w:r>
      <w:r w:rsidRPr="00834D69">
        <w:rPr>
          <w:rFonts w:asciiTheme="majorBidi" w:hAnsiTheme="majorBidi" w:cstheme="majorBidi"/>
        </w:rPr>
        <w:t xml:space="preserve"> petition, by contrast, foregrounds precisely these dimensions, making visible </w:t>
      </w:r>
      <w:proofErr w:type="spellStart"/>
      <w:r w:rsidRPr="00834D69">
        <w:rPr>
          <w:rFonts w:asciiTheme="majorBidi" w:hAnsiTheme="majorBidi" w:cstheme="majorBidi"/>
        </w:rPr>
        <w:t>the</w:t>
      </w:r>
      <w:proofErr w:type="spellEnd"/>
      <w:r w:rsidRPr="00834D69">
        <w:rPr>
          <w:rFonts w:asciiTheme="majorBidi" w:hAnsiTheme="majorBidi" w:cstheme="majorBidi"/>
        </w:rPr>
        <w:t xml:space="preserve"> lived consequences of imperial policy. It demonstrates that the sustainability of provisioning systems depended on assumptions about rural elasticity—assumptions that peasants themselves explicitly contested.</w:t>
      </w:r>
    </w:p>
    <w:p w14:paraId="61008D0E" w14:textId="52D1C4C8" w:rsidR="007E6708" w:rsidRPr="00834D69" w:rsidRDefault="007E6708" w:rsidP="007E6708">
      <w:pPr>
        <w:pStyle w:val="NormalWeb"/>
        <w:spacing w:line="480" w:lineRule="auto"/>
        <w:rPr>
          <w:rFonts w:asciiTheme="majorBidi" w:hAnsiTheme="majorBidi" w:cstheme="majorBidi"/>
        </w:rPr>
      </w:pPr>
      <w:r w:rsidRPr="00834D69">
        <w:rPr>
          <w:rStyle w:val="Strong"/>
          <w:rFonts w:asciiTheme="majorBidi" w:eastAsiaTheme="majorEastAsia" w:hAnsiTheme="majorBidi" w:cstheme="majorBidi"/>
          <w:b w:val="0"/>
          <w:bCs w:val="0"/>
        </w:rPr>
        <w:t>These tensions are clearly articulated in a petition from 1831.</w:t>
      </w:r>
      <w:r w:rsidRPr="00834D69">
        <w:rPr>
          <w:rFonts w:asciiTheme="majorBidi" w:hAnsiTheme="majorBidi" w:cstheme="majorBidi"/>
        </w:rPr>
        <w:t xml:space="preserve"> identifying themselves as “poor subjects,” the Armenian petitioners from </w:t>
      </w:r>
      <w:proofErr w:type="spellStart"/>
      <w:r w:rsidR="007912A9" w:rsidRPr="00834D69">
        <w:rPr>
          <w:rFonts w:asciiTheme="majorBidi" w:hAnsiTheme="majorBidi" w:cstheme="majorBidi"/>
        </w:rPr>
        <w:t>Bahçecik</w:t>
      </w:r>
      <w:proofErr w:type="spellEnd"/>
      <w:r w:rsidR="007912A9" w:rsidRPr="00834D69">
        <w:rPr>
          <w:rFonts w:asciiTheme="majorBidi" w:hAnsiTheme="majorBidi" w:cstheme="majorBidi"/>
        </w:rPr>
        <w:t xml:space="preserve"> </w:t>
      </w:r>
      <w:r w:rsidRPr="00834D69">
        <w:rPr>
          <w:rFonts w:asciiTheme="majorBidi" w:hAnsiTheme="majorBidi" w:cstheme="majorBidi"/>
        </w:rPr>
        <w:t xml:space="preserve">and </w:t>
      </w:r>
      <w:proofErr w:type="spellStart"/>
      <w:r w:rsidRPr="00834D69">
        <w:rPr>
          <w:rFonts w:asciiTheme="majorBidi" w:hAnsiTheme="majorBidi" w:cstheme="majorBidi"/>
        </w:rPr>
        <w:t>Yuvacık</w:t>
      </w:r>
      <w:proofErr w:type="spellEnd"/>
      <w:r w:rsidRPr="00834D69">
        <w:rPr>
          <w:rFonts w:asciiTheme="majorBidi" w:hAnsiTheme="majorBidi" w:cstheme="majorBidi"/>
        </w:rPr>
        <w:t xml:space="preserve"> invoked their long-standing exemption from all taxes except the </w:t>
      </w:r>
      <w:r w:rsidRPr="00834D69">
        <w:rPr>
          <w:rFonts w:asciiTheme="majorBidi" w:hAnsiTheme="majorBidi" w:cstheme="majorBidi"/>
          <w:i/>
          <w:iCs/>
        </w:rPr>
        <w:t>cizye</w:t>
      </w:r>
      <w:r w:rsidRPr="00834D69">
        <w:rPr>
          <w:rFonts w:asciiTheme="majorBidi" w:hAnsiTheme="majorBidi" w:cstheme="majorBidi"/>
        </w:rPr>
        <w:t>. In practice, however, this nominal privilege imposed a disproportionate burden on Armenian shoulders: they were required to supply charcoal for the Imperial Mint while simultaneously being compelled to provision the </w:t>
      </w:r>
      <w:r w:rsidRPr="00834D69">
        <w:rPr>
          <w:rFonts w:asciiTheme="majorBidi" w:hAnsiTheme="majorBidi" w:cstheme="majorBidi"/>
          <w:i/>
          <w:iCs/>
        </w:rPr>
        <w:t>Humbarahane</w:t>
      </w:r>
      <w:r w:rsidRPr="00834D69">
        <w:rPr>
          <w:rFonts w:asciiTheme="majorBidi" w:hAnsiTheme="majorBidi" w:cstheme="majorBidi"/>
        </w:rPr>
        <w:t xml:space="preserve"> within the </w:t>
      </w:r>
      <w:r w:rsidRPr="00834D69">
        <w:rPr>
          <w:rFonts w:asciiTheme="majorBidi" w:hAnsiTheme="majorBidi" w:cstheme="majorBidi"/>
        </w:rPr>
        <w:lastRenderedPageBreak/>
        <w:t xml:space="preserve">same period. They argued that they lacked both the financial means and the labor capacity to meet this obligation—limitations they stressed were already known to the authorities. While their tone remained deferential, the petition capture labor exhaustion in the region. </w:t>
      </w:r>
    </w:p>
    <w:p w14:paraId="7CCD6266" w14:textId="463F3C03" w:rsidR="007E6708" w:rsidRPr="00834D69" w:rsidRDefault="007E6708" w:rsidP="00702995">
      <w:pPr>
        <w:pStyle w:val="NormalWeb"/>
        <w:spacing w:before="280" w:after="280" w:line="480" w:lineRule="auto"/>
        <w:jc w:val="both"/>
        <w:rPr>
          <w:rFonts w:asciiTheme="majorBidi" w:hAnsiTheme="majorBidi" w:cstheme="majorBidi"/>
        </w:rPr>
      </w:pPr>
      <w:r w:rsidRPr="00834D69">
        <w:rPr>
          <w:rStyle w:val="Strong"/>
          <w:rFonts w:asciiTheme="majorBidi" w:eastAsiaTheme="majorEastAsia" w:hAnsiTheme="majorBidi" w:cstheme="majorBidi"/>
          <w:b w:val="0"/>
          <w:bCs w:val="0"/>
        </w:rPr>
        <w:t>Read in context, the petition reveals a fundamental contradiction.</w:t>
      </w:r>
      <w:r w:rsidRPr="00834D69">
        <w:rPr>
          <w:rFonts w:asciiTheme="majorBidi" w:hAnsiTheme="majorBidi" w:cstheme="majorBidi"/>
        </w:rPr>
        <w:t> What the state framed as a stable and regulated supply, rural producers experienced as rigid and increasingly burdensome. Each delivery of charcoal embodied not just fuel, but the accumulated labor of cutting, burning, and transport. Yet fixed quotas and prices failed to adjust to changing conditions such as forest depletion, rising costs, and monetary instability. As a result, what appeared as administrative order at the center translated into deepening impoverishment in the villages. This document foregrounds those lived realities, revealing that the sustainability of imperial provisioning depended on assumptions about the elasticity of rural labor and resources—assumptions that peasants themselves directly challenged.</w:t>
      </w:r>
    </w:p>
    <w:p w14:paraId="256AFDCA" w14:textId="592C379A" w:rsidR="00F00F9E" w:rsidRPr="00834D69" w:rsidRDefault="00702995" w:rsidP="00752963">
      <w:pPr>
        <w:pStyle w:val="NormalWeb"/>
        <w:spacing w:line="480" w:lineRule="auto"/>
        <w:jc w:val="both"/>
        <w:rPr>
          <w:rFonts w:asciiTheme="majorBidi" w:hAnsiTheme="majorBidi" w:cstheme="majorBidi"/>
        </w:rPr>
      </w:pPr>
      <w:r w:rsidRPr="00834D69">
        <w:rPr>
          <w:rFonts w:asciiTheme="majorBidi" w:hAnsiTheme="majorBidi" w:cstheme="majorBidi"/>
        </w:rPr>
        <w:t>A</w:t>
      </w:r>
      <w:r w:rsidR="00752963" w:rsidRPr="00834D69">
        <w:rPr>
          <w:rFonts w:asciiTheme="majorBidi" w:hAnsiTheme="majorBidi" w:cstheme="majorBidi"/>
        </w:rPr>
        <w:t xml:space="preserve"> reproduction crisis</w:t>
      </w:r>
      <w:r w:rsidRPr="00834D69">
        <w:rPr>
          <w:rFonts w:asciiTheme="majorBidi" w:hAnsiTheme="majorBidi" w:cstheme="majorBidi"/>
        </w:rPr>
        <w:t xml:space="preserve"> emerged when the state’s escalating demand for surplus extraction began to </w:t>
      </w:r>
      <w:r w:rsidR="008E7A76" w:rsidRPr="00834D69">
        <w:rPr>
          <w:rFonts w:asciiTheme="majorBidi" w:hAnsiTheme="majorBidi" w:cstheme="majorBidi"/>
        </w:rPr>
        <w:t xml:space="preserve">undermine the very material and social foundations required for rural life to sustain itself. </w:t>
      </w:r>
      <w:r w:rsidR="00752963" w:rsidRPr="00834D69">
        <w:rPr>
          <w:rFonts w:asciiTheme="majorBidi" w:hAnsiTheme="majorBidi" w:cstheme="majorBidi"/>
        </w:rPr>
        <w:t xml:space="preserve">Yet when surplus extraction undermined the material basis of rural life, its limits became visible. The peasants’ appeal made explicit what administrative records concealed: the sustainability of imperial sovereignty depended on finite labor and finite forests. Although Armenian peasants in Bardizag benefited from certain fiscal privileges, including tax exemptions associated with charcoal production, these arrangements did not necessarily produce equitable outcomes. Archival petitions from villagers indicate that such privileges were frequently undermined by local intermediaries and regional elites. Moreover, the production quotas imposed on village households </w:t>
      </w:r>
      <w:r w:rsidR="00752963" w:rsidRPr="00834D69">
        <w:rPr>
          <w:rFonts w:asciiTheme="majorBidi" w:hAnsiTheme="majorBidi" w:cstheme="majorBidi"/>
        </w:rPr>
        <w:lastRenderedPageBreak/>
        <w:t xml:space="preserve">often exceeded their economic and time management capacity, placing considerable strain on both labor and local resources. </w:t>
      </w:r>
    </w:p>
    <w:p w14:paraId="1DFE95D5" w14:textId="305AC602" w:rsidR="00752963" w:rsidRPr="00834D69" w:rsidRDefault="00752963" w:rsidP="00752963">
      <w:pPr>
        <w:pStyle w:val="NormalWeb"/>
        <w:spacing w:line="480" w:lineRule="auto"/>
        <w:jc w:val="both"/>
        <w:rPr>
          <w:rFonts w:asciiTheme="majorBidi" w:hAnsiTheme="majorBidi" w:cstheme="majorBidi"/>
        </w:rPr>
      </w:pPr>
      <w:r w:rsidRPr="00834D69">
        <w:rPr>
          <w:rStyle w:val="Strong"/>
          <w:rFonts w:asciiTheme="majorBidi" w:hAnsiTheme="majorBidi" w:cstheme="majorBidi"/>
          <w:b w:val="0"/>
          <w:bCs w:val="0"/>
        </w:rPr>
        <w:t>From this perspective, Bardizag complicates the harmonious image of</w:t>
      </w:r>
      <w:r w:rsidRPr="00834D69">
        <w:rPr>
          <w:rStyle w:val="apple-converted-space"/>
          <w:rFonts w:asciiTheme="majorBidi" w:hAnsiTheme="majorBidi" w:cstheme="majorBidi"/>
        </w:rPr>
        <w:t> </w:t>
      </w:r>
      <w:proofErr w:type="spellStart"/>
      <w:r w:rsidRPr="00834D69">
        <w:rPr>
          <w:rStyle w:val="il"/>
          <w:rFonts w:asciiTheme="majorBidi" w:hAnsiTheme="majorBidi" w:cstheme="majorBidi"/>
        </w:rPr>
        <w:t>provisionism</w:t>
      </w:r>
      <w:proofErr w:type="spellEnd"/>
      <w:r w:rsidRPr="00834D69">
        <w:rPr>
          <w:rStyle w:val="apple-converted-space"/>
          <w:rFonts w:asciiTheme="majorBidi" w:hAnsiTheme="majorBidi" w:cstheme="majorBidi"/>
        </w:rPr>
        <w:t> </w:t>
      </w:r>
      <w:r w:rsidRPr="00834D69">
        <w:rPr>
          <w:rStyle w:val="Strong"/>
          <w:rFonts w:asciiTheme="majorBidi" w:hAnsiTheme="majorBidi" w:cstheme="majorBidi"/>
          <w:b w:val="0"/>
          <w:bCs w:val="0"/>
        </w:rPr>
        <w:t>often implied in the historiography. Rather than operating solely as a stabilizing mechanism designed to protect consumers and maintain economic balance, provisioning policies could also generate forms of extraction that placed disproportionate burdens on rural producers.</w:t>
      </w:r>
      <w:r w:rsidRPr="00834D69">
        <w:rPr>
          <w:rFonts w:asciiTheme="majorBidi" w:hAnsiTheme="majorBidi" w:cstheme="majorBidi"/>
        </w:rPr>
        <w:t> The charcoal production regime demonstrates how imperial provisioning depended not only on administrative regulation but also on the mobilization of village labor and environmental resources.</w:t>
      </w:r>
    </w:p>
    <w:p w14:paraId="3C9DA9B5" w14:textId="449B810F" w:rsidR="00F00F9E" w:rsidRPr="00834D69" w:rsidRDefault="00F00F9E" w:rsidP="00F00F9E">
      <w:pPr>
        <w:spacing w:after="160" w:line="480" w:lineRule="auto"/>
        <w:ind w:firstLine="720"/>
        <w:jc w:val="both"/>
        <w:rPr>
          <w:rFonts w:asciiTheme="majorBidi" w:hAnsiTheme="majorBidi" w:cstheme="majorBidi"/>
          <w:sz w:val="24"/>
          <w:szCs w:val="24"/>
        </w:rPr>
      </w:pPr>
      <w:r w:rsidRPr="00834D69">
        <w:rPr>
          <w:rFonts w:asciiTheme="majorBidi" w:eastAsia="Times New Roman" w:hAnsiTheme="majorBidi" w:cstheme="majorBidi"/>
          <w:sz w:val="24"/>
          <w:szCs w:val="24"/>
        </w:rPr>
        <w:t xml:space="preserve">Ottoman historiography has long interpreted imperial economic governance through the concept of </w:t>
      </w:r>
      <w:proofErr w:type="spellStart"/>
      <w:r w:rsidRPr="00834D69">
        <w:rPr>
          <w:rFonts w:asciiTheme="majorBidi" w:eastAsia="Times New Roman" w:hAnsiTheme="majorBidi" w:cstheme="majorBidi"/>
          <w:sz w:val="24"/>
          <w:szCs w:val="24"/>
        </w:rPr>
        <w:t>provisionism</w:t>
      </w:r>
      <w:proofErr w:type="spellEnd"/>
      <w:r w:rsidRPr="00834D69">
        <w:rPr>
          <w:rFonts w:asciiTheme="majorBidi" w:eastAsia="Times New Roman" w:hAnsiTheme="majorBidi" w:cstheme="majorBidi"/>
          <w:sz w:val="24"/>
          <w:szCs w:val="24"/>
        </w:rPr>
        <w:t xml:space="preserve">. As defined by Mehmet Genç, </w:t>
      </w:r>
      <w:proofErr w:type="spellStart"/>
      <w:r w:rsidRPr="00834D69">
        <w:rPr>
          <w:rFonts w:asciiTheme="majorBidi" w:eastAsia="Times New Roman" w:hAnsiTheme="majorBidi" w:cstheme="majorBidi"/>
          <w:sz w:val="24"/>
          <w:szCs w:val="24"/>
        </w:rPr>
        <w:t>provisionism</w:t>
      </w:r>
      <w:proofErr w:type="spellEnd"/>
      <w:r w:rsidRPr="00834D69">
        <w:rPr>
          <w:rFonts w:asciiTheme="majorBidi" w:eastAsia="Times New Roman" w:hAnsiTheme="majorBidi" w:cstheme="majorBidi"/>
          <w:sz w:val="24"/>
          <w:szCs w:val="24"/>
        </w:rPr>
        <w:t xml:space="preserve"> sought to ensure the steady availability of essential goods for urban consumers and state institutions by maintaining abundance, acceptable quality, and affordable prices. In practice, the state rarely attempted to control production directly; rather, it intervened selectively when the supply of strategic commodities appeared threatened.</w:t>
      </w:r>
      <w:r w:rsidR="007912A9" w:rsidRPr="00834D69">
        <w:rPr>
          <w:rStyle w:val="FootnoteReference"/>
          <w:rFonts w:asciiTheme="majorBidi" w:eastAsia="Times New Roman" w:hAnsiTheme="majorBidi" w:cstheme="majorBidi"/>
          <w:sz w:val="24"/>
          <w:szCs w:val="24"/>
        </w:rPr>
        <w:footnoteReference w:id="25"/>
      </w:r>
      <w:r w:rsidRPr="00834D69">
        <w:rPr>
          <w:rFonts w:asciiTheme="majorBidi" w:eastAsia="Times New Roman" w:hAnsiTheme="majorBidi" w:cstheme="majorBidi"/>
          <w:sz w:val="24"/>
          <w:szCs w:val="24"/>
        </w:rPr>
        <w:t xml:space="preserve"> Within this paradigm, rural obligations to supply strategic goods such as charcoal appear as rational mechanisms designed to stabilize markets and prevent scarcity</w:t>
      </w:r>
      <w:r w:rsidR="000A44B2" w:rsidRPr="00834D69">
        <w:rPr>
          <w:rFonts w:asciiTheme="majorBidi" w:eastAsia="Times New Roman" w:hAnsiTheme="majorBidi" w:cstheme="majorBidi"/>
          <w:sz w:val="24"/>
          <w:szCs w:val="24"/>
        </w:rPr>
        <w:t xml:space="preserve">; </w:t>
      </w:r>
      <w:r w:rsidRPr="00834D69">
        <w:rPr>
          <w:rFonts w:asciiTheme="majorBidi" w:eastAsia="Times New Roman" w:hAnsiTheme="majorBidi" w:cstheme="majorBidi"/>
          <w:sz w:val="24"/>
          <w:szCs w:val="24"/>
        </w:rPr>
        <w:t>instruments of economic balance viewed from the vantage point of imperial administration.</w:t>
      </w:r>
    </w:p>
    <w:p w14:paraId="7FDDE647" w14:textId="77777777" w:rsidR="00113C82" w:rsidRPr="00834D69" w:rsidRDefault="00F00F9E" w:rsidP="00113C82">
      <w:pPr>
        <w:spacing w:after="160" w:line="480" w:lineRule="auto"/>
        <w:ind w:firstLine="720"/>
        <w:jc w:val="both"/>
        <w:rPr>
          <w:rFonts w:asciiTheme="majorBidi" w:eastAsia="Times New Roman" w:hAnsiTheme="majorBidi" w:cstheme="majorBidi"/>
          <w:sz w:val="24"/>
          <w:szCs w:val="24"/>
        </w:rPr>
      </w:pPr>
      <w:r w:rsidRPr="00834D69">
        <w:rPr>
          <w:rFonts w:asciiTheme="majorBidi" w:eastAsia="Times New Roman" w:hAnsiTheme="majorBidi" w:cstheme="majorBidi"/>
          <w:sz w:val="24"/>
          <w:szCs w:val="24"/>
        </w:rPr>
        <w:t xml:space="preserve">The experience of Bardizag reveals the limits of this framework when viewed from the perspective of rural producers. </w:t>
      </w:r>
      <w:proofErr w:type="spellStart"/>
      <w:r w:rsidRPr="00834D69">
        <w:rPr>
          <w:rFonts w:asciiTheme="majorBidi" w:eastAsia="Times New Roman" w:hAnsiTheme="majorBidi" w:cstheme="majorBidi"/>
          <w:sz w:val="24"/>
          <w:szCs w:val="24"/>
        </w:rPr>
        <w:t>Provisionism</w:t>
      </w:r>
      <w:proofErr w:type="spellEnd"/>
      <w:r w:rsidRPr="00834D69">
        <w:rPr>
          <w:rFonts w:asciiTheme="majorBidi" w:eastAsia="Times New Roman" w:hAnsiTheme="majorBidi" w:cstheme="majorBidi"/>
          <w:sz w:val="24"/>
          <w:szCs w:val="24"/>
        </w:rPr>
        <w:t xml:space="preserve">, as an analytical model, assumes a degree of flexibility in its constituent elements: of resources, of labor, of rural society. It presumes that </w:t>
      </w:r>
      <w:r w:rsidRPr="00834D69">
        <w:rPr>
          <w:rFonts w:asciiTheme="majorBidi" w:eastAsia="Times New Roman" w:hAnsiTheme="majorBidi" w:cstheme="majorBidi"/>
          <w:sz w:val="24"/>
          <w:szCs w:val="24"/>
        </w:rPr>
        <w:lastRenderedPageBreak/>
        <w:t xml:space="preserve">administratively fixed obligations can be maintained without regard to ecological depletion, demographic change, or shifts in production costs. It treats rural producers as a stable reservoir of supply whose capacity to respond to imperial demands can be taken for granted. What the Bardizag evidence demonstrates is that these assumptions did not hold — that the practical operation of </w:t>
      </w:r>
      <w:proofErr w:type="spellStart"/>
      <w:r w:rsidRPr="00834D69">
        <w:rPr>
          <w:rFonts w:asciiTheme="majorBidi" w:eastAsia="Times New Roman" w:hAnsiTheme="majorBidi" w:cstheme="majorBidi"/>
          <w:sz w:val="24"/>
          <w:szCs w:val="24"/>
        </w:rPr>
        <w:t>provisionism</w:t>
      </w:r>
      <w:proofErr w:type="spellEnd"/>
      <w:r w:rsidRPr="00834D69">
        <w:rPr>
          <w:rFonts w:asciiTheme="majorBidi" w:eastAsia="Times New Roman" w:hAnsiTheme="majorBidi" w:cstheme="majorBidi"/>
          <w:sz w:val="24"/>
          <w:szCs w:val="24"/>
        </w:rPr>
        <w:t xml:space="preserve"> could generate forms of extraction that were coercive, ecologically destructive, and socially destabilizing in ways invisible from the administrative center.</w:t>
      </w:r>
    </w:p>
    <w:p w14:paraId="7DC58F61" w14:textId="2329F1BB" w:rsidR="00473E32" w:rsidRPr="00834D69" w:rsidRDefault="00F40193" w:rsidP="005A2571">
      <w:pPr>
        <w:spacing w:after="160" w:line="480" w:lineRule="auto"/>
        <w:jc w:val="both"/>
        <w:rPr>
          <w:rFonts w:asciiTheme="majorBidi" w:hAnsiTheme="majorBidi" w:cstheme="majorBidi"/>
          <w:sz w:val="24"/>
          <w:szCs w:val="24"/>
        </w:rPr>
      </w:pPr>
      <w:r w:rsidRPr="00834D69">
        <w:rPr>
          <w:rFonts w:asciiTheme="majorBidi" w:hAnsiTheme="majorBidi" w:cstheme="majorBidi"/>
          <w:sz w:val="24"/>
          <w:szCs w:val="24"/>
          <w:shd w:val="clear" w:color="auto" w:fill="FFFFFF"/>
        </w:rPr>
        <w:t xml:space="preserve">The state’s categorization of local disputes </w:t>
      </w:r>
      <w:r w:rsidR="00473E32" w:rsidRPr="00834D69">
        <w:rPr>
          <w:rFonts w:asciiTheme="majorBidi" w:hAnsiTheme="majorBidi" w:cstheme="majorBidi"/>
          <w:sz w:val="24"/>
          <w:szCs w:val="24"/>
          <w:shd w:val="clear" w:color="auto" w:fill="FFFFFF"/>
        </w:rPr>
        <w:t>is</w:t>
      </w:r>
      <w:r w:rsidRPr="00834D69">
        <w:rPr>
          <w:rFonts w:asciiTheme="majorBidi" w:hAnsiTheme="majorBidi" w:cstheme="majorBidi"/>
          <w:sz w:val="24"/>
          <w:szCs w:val="24"/>
          <w:shd w:val="clear" w:color="auto" w:fill="FFFFFF"/>
        </w:rPr>
        <w:t xml:space="preserve"> disruption</w:t>
      </w:r>
      <w:r w:rsidR="00473E32" w:rsidRPr="00834D69">
        <w:rPr>
          <w:rFonts w:asciiTheme="majorBidi" w:hAnsiTheme="majorBidi" w:cstheme="majorBidi"/>
          <w:sz w:val="24"/>
          <w:szCs w:val="24"/>
          <w:shd w:val="clear" w:color="auto" w:fill="FFFFFF"/>
        </w:rPr>
        <w:t xml:space="preserve"> </w:t>
      </w:r>
      <w:r w:rsidR="00473E32" w:rsidRPr="00834D69">
        <w:rPr>
          <w:rFonts w:asciiTheme="majorBidi" w:hAnsiTheme="majorBidi" w:cstheme="majorBidi"/>
          <w:sz w:val="24"/>
          <w:szCs w:val="24"/>
        </w:rPr>
        <w:t>(</w:t>
      </w:r>
      <w:r w:rsidR="00473E32" w:rsidRPr="00834D69">
        <w:rPr>
          <w:rFonts w:asciiTheme="majorBidi" w:hAnsiTheme="majorBidi" w:cstheme="majorBidi"/>
          <w:i/>
          <w:iCs/>
          <w:sz w:val="24"/>
          <w:szCs w:val="24"/>
        </w:rPr>
        <w:t>fesad</w:t>
      </w:r>
      <w:r w:rsidR="00473E32" w:rsidRPr="00834D69">
        <w:rPr>
          <w:rFonts w:asciiTheme="majorBidi" w:hAnsiTheme="majorBidi" w:cstheme="majorBidi"/>
          <w:sz w:val="24"/>
          <w:szCs w:val="24"/>
        </w:rPr>
        <w:t>)</w:t>
      </w:r>
      <w:r w:rsidR="00473E32" w:rsidRPr="00834D69">
        <w:rPr>
          <w:rFonts w:asciiTheme="majorBidi" w:hAnsiTheme="majorBidi" w:cstheme="majorBidi"/>
          <w:sz w:val="24"/>
          <w:szCs w:val="24"/>
          <w:shd w:val="clear" w:color="auto" w:fill="FFFFFF"/>
        </w:rPr>
        <w:t xml:space="preserve">, </w:t>
      </w:r>
      <w:r w:rsidRPr="00834D69">
        <w:rPr>
          <w:rFonts w:asciiTheme="majorBidi" w:hAnsiTheme="majorBidi" w:cstheme="majorBidi"/>
          <w:sz w:val="24"/>
          <w:szCs w:val="24"/>
          <w:shd w:val="clear" w:color="auto" w:fill="FFFFFF"/>
        </w:rPr>
        <w:t>rev</w:t>
      </w:r>
      <w:r w:rsidR="00473E32" w:rsidRPr="00834D69">
        <w:rPr>
          <w:rFonts w:asciiTheme="majorBidi" w:hAnsiTheme="majorBidi" w:cstheme="majorBidi"/>
          <w:sz w:val="24"/>
          <w:szCs w:val="24"/>
          <w:shd w:val="clear" w:color="auto" w:fill="FFFFFF"/>
        </w:rPr>
        <w:t>eals that the Ottoman administration viewed any threat to charcoal production as a serious challenge to empire’s fiscal and institutional stability (</w:t>
      </w:r>
      <w:r w:rsidR="00473E32" w:rsidRPr="00834D69">
        <w:rPr>
          <w:rFonts w:asciiTheme="majorBidi" w:hAnsiTheme="majorBidi" w:cstheme="majorBidi"/>
          <w:sz w:val="24"/>
          <w:szCs w:val="24"/>
          <w:u w:val="single"/>
          <w:shd w:val="clear" w:color="auto" w:fill="FFFFFF"/>
        </w:rPr>
        <w:t>elaborate more about the incident; more details</w:t>
      </w:r>
      <w:r w:rsidR="00473E32" w:rsidRPr="00834D69">
        <w:rPr>
          <w:rFonts w:asciiTheme="majorBidi" w:hAnsiTheme="majorBidi" w:cstheme="majorBidi"/>
          <w:sz w:val="24"/>
          <w:szCs w:val="24"/>
          <w:shd w:val="clear" w:color="auto" w:fill="FFFFFF"/>
        </w:rPr>
        <w:t>)</w:t>
      </w:r>
      <w:r w:rsidR="00752963" w:rsidRPr="00834D69">
        <w:rPr>
          <w:rFonts w:asciiTheme="majorBidi" w:hAnsiTheme="majorBidi" w:cstheme="majorBidi"/>
          <w:sz w:val="24"/>
          <w:szCs w:val="24"/>
          <w:shd w:val="clear" w:color="auto" w:fill="FFFFFF"/>
        </w:rPr>
        <w:t>. This disruption was particularly significant because the coal was not merely a commodity but an essential resource for state operations, including the production of coinage and the execution of imperial decrees. The failure to deliver coal on time threatened the smooth functioning of the </w:t>
      </w:r>
      <w:r w:rsidR="00782673" w:rsidRPr="00834D69">
        <w:rPr>
          <w:rFonts w:asciiTheme="majorBidi" w:hAnsiTheme="majorBidi" w:cstheme="majorBidi"/>
          <w:sz w:val="24"/>
          <w:szCs w:val="24"/>
          <w:shd w:val="clear" w:color="auto" w:fill="FFFFFF"/>
        </w:rPr>
        <w:t>mint</w:t>
      </w:r>
      <w:r w:rsidR="00752963" w:rsidRPr="00834D69">
        <w:rPr>
          <w:rFonts w:asciiTheme="majorBidi" w:hAnsiTheme="majorBidi" w:cstheme="majorBidi"/>
          <w:sz w:val="24"/>
          <w:szCs w:val="24"/>
          <w:shd w:val="clear" w:color="auto" w:fill="FFFFFF"/>
        </w:rPr>
        <w:t>, highlighting how local disturbances could propagate into broader administrative and fiscal complications.</w:t>
      </w:r>
    </w:p>
    <w:p w14:paraId="570137E4" w14:textId="02A2E10B" w:rsidR="0038646A" w:rsidRPr="00834D69" w:rsidRDefault="00D34CE2" w:rsidP="005A2571">
      <w:pPr>
        <w:pStyle w:val="NormalWeb"/>
        <w:spacing w:line="480" w:lineRule="auto"/>
        <w:jc w:val="both"/>
        <w:rPr>
          <w:rFonts w:asciiTheme="majorBidi" w:hAnsiTheme="majorBidi" w:cstheme="majorBidi"/>
        </w:rPr>
      </w:pPr>
      <w:r w:rsidRPr="00834D69">
        <w:rPr>
          <w:rFonts w:asciiTheme="majorBidi" w:hAnsiTheme="majorBidi" w:cstheme="majorBidi"/>
        </w:rPr>
        <w:t xml:space="preserve">The exile of a </w:t>
      </w:r>
      <w:r w:rsidR="00752963" w:rsidRPr="00834D69">
        <w:rPr>
          <w:rFonts w:asciiTheme="majorBidi" w:hAnsiTheme="majorBidi" w:cstheme="majorBidi"/>
        </w:rPr>
        <w:t xml:space="preserve">Bardizag villager, Papas </w:t>
      </w:r>
      <w:proofErr w:type="spellStart"/>
      <w:r w:rsidR="00752963" w:rsidRPr="00834D69">
        <w:rPr>
          <w:rFonts w:asciiTheme="majorBidi" w:hAnsiTheme="majorBidi" w:cstheme="majorBidi"/>
        </w:rPr>
        <w:t>Ayraham</w:t>
      </w:r>
      <w:proofErr w:type="spellEnd"/>
      <w:r w:rsidR="00752963" w:rsidRPr="00834D69">
        <w:rPr>
          <w:rFonts w:asciiTheme="majorBidi" w:hAnsiTheme="majorBidi" w:cstheme="majorBidi"/>
        </w:rPr>
        <w:t xml:space="preserve">, </w:t>
      </w:r>
      <w:r w:rsidRPr="00834D69">
        <w:rPr>
          <w:rFonts w:asciiTheme="majorBidi" w:hAnsiTheme="majorBidi" w:cstheme="majorBidi"/>
        </w:rPr>
        <w:t>underscores the state’s reliance on a combination of surveillance and coercion to align provincial resource management with imperial needs</w:t>
      </w:r>
      <w:r w:rsidR="00752963" w:rsidRPr="00834D69">
        <w:rPr>
          <w:rFonts w:asciiTheme="majorBidi" w:hAnsiTheme="majorBidi" w:cstheme="majorBidi"/>
        </w:rPr>
        <w:t>.</w:t>
      </w:r>
      <w:r w:rsidR="00473E32" w:rsidRPr="00834D69">
        <w:rPr>
          <w:rStyle w:val="FootnoteReference"/>
          <w:rFonts w:asciiTheme="majorBidi" w:hAnsiTheme="majorBidi" w:cstheme="majorBidi"/>
        </w:rPr>
        <w:footnoteReference w:id="26"/>
      </w:r>
      <w:r w:rsidR="00752963" w:rsidRPr="00834D69">
        <w:rPr>
          <w:rFonts w:asciiTheme="majorBidi" w:hAnsiTheme="majorBidi" w:cstheme="majorBidi"/>
        </w:rPr>
        <w:t xml:space="preserve"> Ottoman officials conducted a thorough inquiry, confirming that he not only orchestrated the immediate disturbance but was also implicated in other destabilizing activities within the village. His actions were classified under the category of disruption</w:t>
      </w:r>
      <w:r w:rsidR="00473E32" w:rsidRPr="00834D69">
        <w:rPr>
          <w:rFonts w:asciiTheme="majorBidi" w:hAnsiTheme="majorBidi" w:cstheme="majorBidi"/>
        </w:rPr>
        <w:t xml:space="preserve"> </w:t>
      </w:r>
      <w:r w:rsidR="00752963" w:rsidRPr="00834D69">
        <w:rPr>
          <w:rFonts w:asciiTheme="majorBidi" w:hAnsiTheme="majorBidi" w:cstheme="majorBidi"/>
        </w:rPr>
        <w:t xml:space="preserve">which necessitated formal disciplinary measures.  By categorizing the behavior in this way, the Ottoman administration signaled that disturbances in local resource management were not minor infractions but serious threats to state authority and institutional function. The response combined punitive and preventive measures. </w:t>
      </w:r>
      <w:r w:rsidR="00752963" w:rsidRPr="00834D69">
        <w:rPr>
          <w:rFonts w:asciiTheme="majorBidi" w:hAnsiTheme="majorBidi" w:cstheme="majorBidi"/>
        </w:rPr>
        <w:lastRenderedPageBreak/>
        <w:t xml:space="preserve">Papas </w:t>
      </w:r>
      <w:proofErr w:type="spellStart"/>
      <w:r w:rsidR="00752963" w:rsidRPr="00834D69">
        <w:rPr>
          <w:rFonts w:asciiTheme="majorBidi" w:hAnsiTheme="majorBidi" w:cstheme="majorBidi"/>
        </w:rPr>
        <w:t>Ayraham</w:t>
      </w:r>
      <w:proofErr w:type="spellEnd"/>
      <w:r w:rsidR="00752963" w:rsidRPr="00834D69">
        <w:rPr>
          <w:rFonts w:asciiTheme="majorBidi" w:hAnsiTheme="majorBidi" w:cstheme="majorBidi"/>
        </w:rPr>
        <w:t xml:space="preserve"> and his family were permanently exiled to the </w:t>
      </w:r>
      <w:proofErr w:type="spellStart"/>
      <w:r w:rsidR="00752963" w:rsidRPr="00834D69">
        <w:rPr>
          <w:rFonts w:asciiTheme="majorBidi" w:hAnsiTheme="majorBidi" w:cstheme="majorBidi"/>
        </w:rPr>
        <w:t>Merzivan</w:t>
      </w:r>
      <w:proofErr w:type="spellEnd"/>
      <w:r w:rsidR="00752963" w:rsidRPr="00834D69">
        <w:rPr>
          <w:rFonts w:asciiTheme="majorBidi" w:hAnsiTheme="majorBidi" w:cstheme="majorBidi"/>
        </w:rPr>
        <w:t xml:space="preserve"> district under the supervision of the appointed official (</w:t>
      </w:r>
      <w:proofErr w:type="spellStart"/>
      <w:r w:rsidR="00752963" w:rsidRPr="00834D69">
        <w:rPr>
          <w:rFonts w:asciiTheme="majorBidi" w:hAnsiTheme="majorBidi" w:cstheme="majorBidi"/>
          <w:i/>
          <w:iCs/>
        </w:rPr>
        <w:t>kavvas</w:t>
      </w:r>
      <w:proofErr w:type="spellEnd"/>
      <w:r w:rsidR="00752963" w:rsidRPr="00834D69">
        <w:rPr>
          <w:rFonts w:asciiTheme="majorBidi" w:hAnsiTheme="majorBidi" w:cstheme="majorBidi"/>
          <w:i/>
          <w:iCs/>
        </w:rPr>
        <w:t xml:space="preserve"> </w:t>
      </w:r>
      <w:proofErr w:type="spellStart"/>
      <w:r w:rsidR="00752963" w:rsidRPr="00834D69">
        <w:rPr>
          <w:rFonts w:asciiTheme="majorBidi" w:hAnsiTheme="majorBidi" w:cstheme="majorBidi"/>
          <w:i/>
          <w:iCs/>
        </w:rPr>
        <w:t>mubasir</w:t>
      </w:r>
      <w:proofErr w:type="spellEnd"/>
      <w:r w:rsidR="00752963" w:rsidRPr="00834D69">
        <w:rPr>
          <w:rFonts w:asciiTheme="majorBidi" w:hAnsiTheme="majorBidi" w:cstheme="majorBidi"/>
        </w:rPr>
        <w:t xml:space="preserve">), ensuring that the disruption would not recur and that the coal supply system could be stabilized. The involvement of senior scholars and administrative officials in approving and formalizing the decision through an imperial decree demonstrates the integration of legal, religious, and bureaucratic authority in Ottoman governance. This case underscores the empire`s approach to maintaining order in rural resource management: local actors were held accountable for actions that jeopardized state operations, while interventions aimed to restore administrative efficiency, secure fiscal interests, and provide a public example to deter future misconduct. Overall, this incident reveals how the Ottoman administrative apparatus functioned to align rural production with imperial and fiscal and institutional needs, balancing enforcement, punishment, and oversight to mitigate the risks posed by local disputes. It highlights the empire`s reliance on both formal legal mechanism and social hierarchies to ensure smooth operation of critical state infrastructure, reflecting a governance model that combined coercion, surveillance and structural accountability. </w:t>
      </w:r>
    </w:p>
    <w:p w14:paraId="5F63BF92" w14:textId="0163E15B" w:rsidR="00B029F3" w:rsidRPr="00834D69" w:rsidRDefault="00FD69AF" w:rsidP="00B029F3">
      <w:pPr>
        <w:spacing w:line="480" w:lineRule="auto"/>
        <w:jc w:val="both"/>
        <w:rPr>
          <w:rFonts w:asciiTheme="majorBidi" w:hAnsiTheme="majorBidi" w:cstheme="majorBidi"/>
          <w:sz w:val="24"/>
          <w:szCs w:val="24"/>
        </w:rPr>
      </w:pPr>
      <w:r w:rsidRPr="00834D69">
        <w:rPr>
          <w:rFonts w:asciiTheme="majorBidi" w:hAnsiTheme="majorBidi" w:cstheme="majorBidi"/>
          <w:b/>
          <w:bCs/>
          <w:sz w:val="24"/>
          <w:szCs w:val="24"/>
        </w:rPr>
        <w:t>Conclusion</w:t>
      </w:r>
      <w:r w:rsidRPr="00834D69">
        <w:rPr>
          <w:rFonts w:asciiTheme="majorBidi" w:hAnsiTheme="majorBidi" w:cstheme="majorBidi"/>
          <w:sz w:val="24"/>
          <w:szCs w:val="24"/>
        </w:rPr>
        <w:t xml:space="preserve">: </w:t>
      </w:r>
      <w:r w:rsidR="00073B05" w:rsidRPr="00834D69">
        <w:rPr>
          <w:rFonts w:asciiTheme="majorBidi" w:hAnsiTheme="majorBidi" w:cstheme="majorBidi"/>
          <w:sz w:val="24"/>
          <w:szCs w:val="24"/>
        </w:rPr>
        <w:t xml:space="preserve">This chapter explores the extractive labor regimes and ecological foundations of the Ottoman monetary system through the case of charcoal production in Bardizag. </w:t>
      </w:r>
      <w:r w:rsidR="00B029F3" w:rsidRPr="00834D69">
        <w:rPr>
          <w:rFonts w:asciiTheme="majorBidi" w:hAnsiTheme="majorBidi" w:cstheme="majorBidi"/>
          <w:sz w:val="24"/>
          <w:szCs w:val="24"/>
        </w:rPr>
        <w:t xml:space="preserve">The relationship between monetary policy and environmental extraction becomes particularly visible in periods of fiscal crisis. As </w:t>
      </w:r>
      <w:proofErr w:type="spellStart"/>
      <w:r w:rsidR="00B029F3" w:rsidRPr="00834D69">
        <w:rPr>
          <w:rFonts w:asciiTheme="majorBidi" w:hAnsiTheme="majorBidi" w:cstheme="majorBidi"/>
          <w:sz w:val="24"/>
          <w:szCs w:val="24"/>
        </w:rPr>
        <w:t>Şevket</w:t>
      </w:r>
      <w:proofErr w:type="spellEnd"/>
      <w:r w:rsidR="00B029F3" w:rsidRPr="00834D69">
        <w:rPr>
          <w:rFonts w:asciiTheme="majorBidi" w:hAnsiTheme="majorBidi" w:cstheme="majorBidi"/>
          <w:sz w:val="24"/>
          <w:szCs w:val="24"/>
        </w:rPr>
        <w:t xml:space="preserve"> Pamuk has shown, episodes of debasement in the Ottoman Empire were closely linked to the financial pressures generated by warfare and mounting state expenditures. Debasement required the minting of larger quantities of charcoal. </w:t>
      </w:r>
      <w:r w:rsidR="00B029F3" w:rsidRPr="00834D69">
        <w:rPr>
          <w:rFonts w:asciiTheme="majorBidi" w:hAnsiTheme="majorBidi" w:cstheme="majorBidi"/>
          <w:sz w:val="24"/>
          <w:szCs w:val="24"/>
          <w:shd w:val="clear" w:color="auto" w:fill="FFFFFF"/>
        </w:rPr>
        <w:t xml:space="preserve">As mint activity intensified, demand for charcoal rose accordingly, transforming forested landscapes into critical energy reserves for the imperial monetary system. </w:t>
      </w:r>
    </w:p>
    <w:p w14:paraId="14B4A070" w14:textId="6ABD5EE9" w:rsidR="0011684F" w:rsidRPr="00834D69" w:rsidRDefault="0011684F" w:rsidP="0011684F">
      <w:pPr>
        <w:autoSpaceDE w:val="0"/>
        <w:autoSpaceDN w:val="0"/>
        <w:adjustRightInd w:val="0"/>
        <w:spacing w:line="480" w:lineRule="auto"/>
        <w:jc w:val="both"/>
        <w:rPr>
          <w:rFonts w:asciiTheme="majorBidi" w:eastAsiaTheme="minorHAnsi" w:hAnsiTheme="majorBidi" w:cstheme="majorBidi"/>
          <w:sz w:val="24"/>
          <w:szCs w:val="24"/>
          <w14:ligatures w14:val="standardContextual"/>
        </w:rPr>
      </w:pPr>
      <w:r w:rsidRPr="00834D69">
        <w:rPr>
          <w:rFonts w:asciiTheme="majorBidi" w:eastAsiaTheme="minorHAnsi" w:hAnsiTheme="majorBidi" w:cstheme="majorBidi"/>
          <w:sz w:val="24"/>
          <w:szCs w:val="24"/>
          <w14:ligatures w14:val="standardContextual"/>
        </w:rPr>
        <w:lastRenderedPageBreak/>
        <w:t xml:space="preserve">The Ottoman case illustrates a specific variation on this dynamic. In regions supplying the Imperial Mint, forests were subject to strict state regulation rather than open market exploitation. Pine forests in the South Marmara region, including Bardizag, were placed under direct imperial supervision. Unauthorized cutting, gazing and smuggling were prohibited, while several intermediaries were granted privileges to control transportation and supply to the mint. In this sense, the Ottoman system functioned as a state-controlled extractive empire: it sought to monopolize access to energy resources, regulate accumulation rates with the help of </w:t>
      </w:r>
      <w:r w:rsidRPr="00834D69">
        <w:rPr>
          <w:rFonts w:asciiTheme="majorBidi" w:eastAsiaTheme="minorHAnsi" w:hAnsiTheme="majorBidi" w:cstheme="majorBidi"/>
          <w:i/>
          <w:iCs/>
          <w:sz w:val="24"/>
          <w:szCs w:val="24"/>
          <w14:ligatures w14:val="standardContextual"/>
        </w:rPr>
        <w:t>Amira</w:t>
      </w:r>
      <w:r w:rsidRPr="00834D69">
        <w:rPr>
          <w:rFonts w:asciiTheme="majorBidi" w:eastAsiaTheme="minorHAnsi" w:hAnsiTheme="majorBidi" w:cstheme="majorBidi"/>
          <w:sz w:val="24"/>
          <w:szCs w:val="24"/>
          <w14:ligatures w14:val="standardContextual"/>
        </w:rPr>
        <w:t xml:space="preserve">s and prevent third parties from profiting independently, rather than opening forests to unrestricted commercial exploitation. By integrating new forest zones into the infrastructure of minting, the state ensured that energy flows remained under its control, linking ecological management directly to monetary stability. </w:t>
      </w:r>
    </w:p>
    <w:p w14:paraId="00000015" w14:textId="639961D7" w:rsidR="000F4963" w:rsidRPr="00834D69" w:rsidRDefault="00D34CE2" w:rsidP="000A44B2">
      <w:pPr>
        <w:pStyle w:val="NormalWeb"/>
        <w:spacing w:line="480" w:lineRule="auto"/>
        <w:jc w:val="both"/>
        <w:rPr>
          <w:rFonts w:asciiTheme="majorBidi" w:hAnsiTheme="majorBidi" w:cstheme="majorBidi"/>
        </w:rPr>
      </w:pPr>
      <w:r w:rsidRPr="00834D69">
        <w:rPr>
          <w:rFonts w:asciiTheme="majorBidi" w:hAnsiTheme="majorBidi" w:cstheme="majorBidi"/>
        </w:rPr>
        <w:t>Ultimately</w:t>
      </w:r>
      <w:r w:rsidR="00752963" w:rsidRPr="00834D69">
        <w:rPr>
          <w:rFonts w:asciiTheme="majorBidi" w:hAnsiTheme="majorBidi" w:cstheme="majorBidi"/>
        </w:rPr>
        <w:t xml:space="preserve">, the mint </w:t>
      </w:r>
      <w:r w:rsidR="007F553E" w:rsidRPr="00834D69">
        <w:rPr>
          <w:rFonts w:asciiTheme="majorBidi" w:hAnsiTheme="majorBidi" w:cstheme="majorBidi"/>
        </w:rPr>
        <w:t>functioned</w:t>
      </w:r>
      <w:r w:rsidR="00752963" w:rsidRPr="00834D69">
        <w:rPr>
          <w:rFonts w:asciiTheme="majorBidi" w:hAnsiTheme="majorBidi" w:cstheme="majorBidi"/>
        </w:rPr>
        <w:t xml:space="preserve"> as a nodal institution </w:t>
      </w:r>
      <w:r w:rsidR="007F553E" w:rsidRPr="00834D69">
        <w:rPr>
          <w:rFonts w:asciiTheme="majorBidi" w:hAnsiTheme="majorBidi" w:cstheme="majorBidi"/>
        </w:rPr>
        <w:t>that unified “surface and subsoil, forest and furnace” into a single, hierarchical regime of extraction</w:t>
      </w:r>
      <w:r w:rsidR="00752963" w:rsidRPr="00834D69">
        <w:rPr>
          <w:rFonts w:asciiTheme="majorBidi" w:hAnsiTheme="majorBidi" w:cstheme="majorBidi"/>
        </w:rPr>
        <w:t xml:space="preserve">. The miner in </w:t>
      </w:r>
      <w:proofErr w:type="spellStart"/>
      <w:r w:rsidR="00752963" w:rsidRPr="00834D69">
        <w:rPr>
          <w:rFonts w:asciiTheme="majorBidi" w:hAnsiTheme="majorBidi" w:cstheme="majorBidi"/>
        </w:rPr>
        <w:t>Keban</w:t>
      </w:r>
      <w:proofErr w:type="spellEnd"/>
      <w:r w:rsidR="00752963" w:rsidRPr="00834D69">
        <w:rPr>
          <w:rFonts w:asciiTheme="majorBidi" w:hAnsiTheme="majorBidi" w:cstheme="majorBidi"/>
        </w:rPr>
        <w:t xml:space="preserve">, the charcoal producer in Bardizag, and the </w:t>
      </w:r>
      <w:r w:rsidR="00F8534D" w:rsidRPr="00834D69">
        <w:rPr>
          <w:rFonts w:asciiTheme="majorBidi" w:hAnsiTheme="majorBidi" w:cstheme="majorBidi"/>
        </w:rPr>
        <w:t>mint worker</w:t>
      </w:r>
      <w:r w:rsidR="00752963" w:rsidRPr="00834D69">
        <w:rPr>
          <w:rFonts w:asciiTheme="majorBidi" w:hAnsiTheme="majorBidi" w:cstheme="majorBidi"/>
        </w:rPr>
        <w:t xml:space="preserve"> in Istanbul are linked not through the abstract equivalence of market exchange, but through a chain of dependency structured by the imperative to produce money. </w:t>
      </w:r>
      <w:r w:rsidR="00752963" w:rsidRPr="00834D69">
        <w:rPr>
          <w:rFonts w:asciiTheme="majorBidi" w:hAnsiTheme="majorBidi" w:cstheme="majorBidi"/>
          <w:shd w:val="clear" w:color="auto" w:fill="FFFFFF"/>
        </w:rPr>
        <w:t xml:space="preserve">The Ottoman mint thus appears as an institution that unified surface and subsoil, forest and furnace, within a single regime of extraction that organized both the production and realization of value. </w:t>
      </w:r>
      <w:r w:rsidR="007F553E" w:rsidRPr="00834D69">
        <w:rPr>
          <w:rFonts w:asciiTheme="majorBidi" w:hAnsiTheme="majorBidi" w:cstheme="majorBidi"/>
          <w:shd w:val="clear" w:color="auto" w:fill="FFFFFF"/>
        </w:rPr>
        <w:t xml:space="preserve">The Ottoman </w:t>
      </w:r>
      <w:r w:rsidR="00752963" w:rsidRPr="00834D69">
        <w:rPr>
          <w:rFonts w:asciiTheme="majorBidi" w:hAnsiTheme="majorBidi" w:cstheme="majorBidi"/>
          <w:shd w:val="clear" w:color="auto" w:fill="FFFFFF"/>
        </w:rPr>
        <w:t>coins</w:t>
      </w:r>
      <w:r w:rsidR="007F553E" w:rsidRPr="00834D69">
        <w:rPr>
          <w:rFonts w:asciiTheme="majorBidi" w:hAnsiTheme="majorBidi" w:cstheme="majorBidi"/>
          <w:shd w:val="clear" w:color="auto" w:fill="FFFFFF"/>
        </w:rPr>
        <w:t>, therefore, was not just a symbol of value but a material condensation of the congealed labor of miners, charcoal producers, and artisans, all subordinated to the imperatives of centralized monetary production</w:t>
      </w:r>
      <w:r w:rsidR="00752963" w:rsidRPr="00834D69">
        <w:rPr>
          <w:rFonts w:asciiTheme="majorBidi" w:hAnsiTheme="majorBidi" w:cstheme="majorBidi"/>
          <w:shd w:val="clear" w:color="auto" w:fill="FFFFFF"/>
        </w:rPr>
        <w:t>. To trace the movement of silver from the mines of Anatolia to the furnaces of Istanbul is therefore to map a system in which money does not stand apart from social relations, but emerges directly from their organization: a material condensation of labor, power, and hierarchy within an imperial political economy.</w:t>
      </w:r>
    </w:p>
    <w:sectPr w:rsidR="000F4963" w:rsidRPr="00834D69">
      <w:footerReference w:type="even"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5D86" w14:textId="77777777" w:rsidR="000F39D4" w:rsidRDefault="000F39D4" w:rsidP="00632F46">
      <w:pPr>
        <w:spacing w:line="240" w:lineRule="auto"/>
      </w:pPr>
      <w:r>
        <w:separator/>
      </w:r>
    </w:p>
  </w:endnote>
  <w:endnote w:type="continuationSeparator" w:id="0">
    <w:p w14:paraId="2D8538FA" w14:textId="77777777" w:rsidR="000F39D4" w:rsidRDefault="000F39D4" w:rsidP="00632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04D1445-79D8-A14D-8FEB-9B9D17AF6762}"/>
    <w:embedBold r:id="rId2" w:fontKey="{D46C7804-4A90-7341-9584-C06350938A93}"/>
    <w:embedItalic r:id="rId3" w:fontKey="{634C4B70-8E81-A54F-8CCD-73182A133D08}"/>
    <w:embedBoldItalic r:id="rId4" w:fontKey="{601840FA-29F2-AE43-BB11-D3901D1C1B36}"/>
  </w:font>
  <w:font w:name="Times New Roman">
    <w:panose1 w:val="02020603050405020304"/>
    <w:charset w:val="01"/>
    <w:family w:val="roman"/>
    <w:pitch w:val="variable"/>
    <w:sig w:usb0="E0002EFF" w:usb1="C000785B" w:usb2="00000009" w:usb3="00000000" w:csb0="000001FF" w:csb1="00000000"/>
    <w:embedRegular r:id="rId5" w:fontKey="{D0F1F4A7-ABFA-D24F-9FC0-E8788B1751EE}"/>
    <w:embedBold r:id="rId6" w:fontKey="{1A791489-4676-9845-A957-70E4B6EC0615}"/>
    <w:embedItalic r:id="rId7" w:fontKey="{DB5BD489-E62D-1546-9120-62C18B09DCAE}"/>
    <w:embedBoldItalic r:id="rId8" w:fontKey="{9A5F6FCA-70F6-AC48-984E-F6A1995F9DDB}"/>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embedRegular r:id="rId10" w:fontKey="{E7AA6DC4-4DAD-3D45-BFAF-6D108C9671AD}"/>
    <w:embedBold r:id="rId11" w:fontKey="{D4BFA8E1-87C8-D849-82AA-6C7296913CC6}"/>
    <w:embedItalic r:id="rId12" w:fontKey="{375CE506-3865-5B49-BB49-5C799979D2B4}"/>
  </w:font>
  <w:font w:name="Rasa">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4" w:fontKey="{6381079C-973A-BF48-8A9B-897EAE45FA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100531"/>
      <w:docPartObj>
        <w:docPartGallery w:val="Page Numbers (Bottom of Page)"/>
        <w:docPartUnique/>
      </w:docPartObj>
    </w:sdtPr>
    <w:sdtContent>
      <w:p w14:paraId="714696C0" w14:textId="241635C5" w:rsidR="00632F46" w:rsidRDefault="00632F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49CCE6" w14:textId="77777777" w:rsidR="00632F46" w:rsidRDefault="00632F46" w:rsidP="00632F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317545"/>
      <w:docPartObj>
        <w:docPartGallery w:val="Page Numbers (Bottom of Page)"/>
        <w:docPartUnique/>
      </w:docPartObj>
    </w:sdtPr>
    <w:sdtContent>
      <w:p w14:paraId="1DCFF365" w14:textId="6B665C18" w:rsidR="00632F46" w:rsidRDefault="00632F46">
        <w:pPr>
          <w:pStyle w:val="Footer"/>
          <w:framePr w:wrap="none" w:vAnchor="text" w:hAnchor="margin" w:xAlign="right" w:y="1"/>
          <w:rPr>
            <w:rStyle w:val="PageNumber"/>
          </w:rPr>
        </w:pPr>
        <w:r w:rsidRPr="008B4CA1">
          <w:rPr>
            <w:rStyle w:val="PageNumber"/>
            <w:rFonts w:asciiTheme="majorBidi" w:hAnsiTheme="majorBidi" w:cstheme="majorBidi"/>
            <w:sz w:val="24"/>
            <w:szCs w:val="24"/>
          </w:rPr>
          <w:fldChar w:fldCharType="begin"/>
        </w:r>
        <w:r w:rsidRPr="008B4CA1">
          <w:rPr>
            <w:rStyle w:val="PageNumber"/>
            <w:rFonts w:asciiTheme="majorBidi" w:hAnsiTheme="majorBidi" w:cstheme="majorBidi"/>
            <w:sz w:val="24"/>
            <w:szCs w:val="24"/>
          </w:rPr>
          <w:instrText xml:space="preserve"> PAGE </w:instrText>
        </w:r>
        <w:r w:rsidRPr="008B4CA1">
          <w:rPr>
            <w:rStyle w:val="PageNumber"/>
            <w:rFonts w:asciiTheme="majorBidi" w:hAnsiTheme="majorBidi" w:cstheme="majorBidi"/>
            <w:sz w:val="24"/>
            <w:szCs w:val="24"/>
          </w:rPr>
          <w:fldChar w:fldCharType="separate"/>
        </w:r>
        <w:r w:rsidRPr="008B4CA1">
          <w:rPr>
            <w:rStyle w:val="PageNumber"/>
            <w:rFonts w:asciiTheme="majorBidi" w:hAnsiTheme="majorBidi" w:cstheme="majorBidi"/>
            <w:noProof/>
            <w:sz w:val="24"/>
            <w:szCs w:val="24"/>
          </w:rPr>
          <w:t>1</w:t>
        </w:r>
        <w:r w:rsidRPr="008B4CA1">
          <w:rPr>
            <w:rStyle w:val="PageNumber"/>
            <w:rFonts w:asciiTheme="majorBidi" w:hAnsiTheme="majorBidi" w:cstheme="majorBidi"/>
            <w:sz w:val="24"/>
            <w:szCs w:val="24"/>
          </w:rPr>
          <w:fldChar w:fldCharType="end"/>
        </w:r>
      </w:p>
    </w:sdtContent>
  </w:sdt>
  <w:p w14:paraId="4E549474" w14:textId="77777777" w:rsidR="00632F46" w:rsidRDefault="00632F46" w:rsidP="00632F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F806E" w14:textId="77777777" w:rsidR="000F39D4" w:rsidRDefault="000F39D4" w:rsidP="00632F46">
      <w:pPr>
        <w:spacing w:line="240" w:lineRule="auto"/>
      </w:pPr>
      <w:r>
        <w:separator/>
      </w:r>
    </w:p>
  </w:footnote>
  <w:footnote w:type="continuationSeparator" w:id="0">
    <w:p w14:paraId="376BA185" w14:textId="77777777" w:rsidR="000F39D4" w:rsidRDefault="000F39D4" w:rsidP="00632F46">
      <w:pPr>
        <w:spacing w:line="240" w:lineRule="auto"/>
      </w:pPr>
      <w:r>
        <w:continuationSeparator/>
      </w:r>
    </w:p>
  </w:footnote>
  <w:footnote w:id="1">
    <w:p w14:paraId="1270010A" w14:textId="70676A3C" w:rsidR="000D72A9" w:rsidRPr="00986F28" w:rsidRDefault="000D72A9" w:rsidP="000D72A9">
      <w:pPr>
        <w:pStyle w:val="FootnoteText"/>
        <w:rPr>
          <w:rFonts w:asciiTheme="majorBidi" w:hAnsiTheme="majorBidi" w:cstheme="majorBidi"/>
        </w:rPr>
      </w:pPr>
      <w:r w:rsidRPr="00986F28">
        <w:rPr>
          <w:rStyle w:val="FootnoteReference"/>
          <w:rFonts w:asciiTheme="majorBidi" w:hAnsiTheme="majorBidi" w:cstheme="majorBidi"/>
        </w:rPr>
        <w:footnoteRef/>
      </w:r>
      <w:r w:rsidRPr="00986F28">
        <w:rPr>
          <w:rFonts w:asciiTheme="majorBidi" w:hAnsiTheme="majorBidi" w:cstheme="majorBidi"/>
        </w:rPr>
        <w:t xml:space="preserve"> BOA.C.DRB.00054.0.2662.001. </w:t>
      </w:r>
      <w:r w:rsidR="00317E1D">
        <w:rPr>
          <w:rFonts w:asciiTheme="majorBidi" w:hAnsiTheme="majorBidi" w:cstheme="majorBidi"/>
        </w:rPr>
        <w:t>(Date).</w:t>
      </w:r>
    </w:p>
  </w:footnote>
  <w:footnote w:id="2">
    <w:p w14:paraId="1684D909" w14:textId="405AB39C" w:rsidR="00402EA4" w:rsidRPr="00986F28" w:rsidRDefault="00402EA4">
      <w:pPr>
        <w:pStyle w:val="FootnoteText"/>
        <w:rPr>
          <w:rFonts w:asciiTheme="majorBidi" w:hAnsiTheme="majorBidi" w:cstheme="majorBidi"/>
        </w:rPr>
      </w:pPr>
      <w:r w:rsidRPr="00986F28">
        <w:rPr>
          <w:rStyle w:val="FootnoteReference"/>
          <w:rFonts w:asciiTheme="majorBidi" w:hAnsiTheme="majorBidi" w:cstheme="majorBidi"/>
          <w:color w:val="000000" w:themeColor="text1"/>
        </w:rPr>
        <w:footnoteRef/>
      </w:r>
      <w:r w:rsidRPr="00986F28">
        <w:rPr>
          <w:rFonts w:asciiTheme="majorBidi" w:hAnsiTheme="majorBidi" w:cstheme="majorBidi"/>
          <w:color w:val="000000" w:themeColor="text1"/>
        </w:rPr>
        <w:t xml:space="preserve"> </w:t>
      </w:r>
      <w:r w:rsidR="003A1E00" w:rsidRPr="00986F28">
        <w:rPr>
          <w:rFonts w:asciiTheme="majorBidi" w:hAnsiTheme="majorBidi" w:cstheme="majorBidi"/>
          <w:color w:val="000000" w:themeColor="text1"/>
          <w:shd w:val="clear" w:color="auto" w:fill="FFFFFF"/>
        </w:rPr>
        <w:t xml:space="preserve">Christine Desan, </w:t>
      </w:r>
      <w:r w:rsidR="003A1E00" w:rsidRPr="00986F28">
        <w:rPr>
          <w:rFonts w:asciiTheme="majorBidi" w:hAnsiTheme="majorBidi" w:cstheme="majorBidi"/>
          <w:i/>
          <w:iCs/>
          <w:color w:val="000000" w:themeColor="text1"/>
        </w:rPr>
        <w:t>Making Money : Coin, Currency, and the Coming of Capitalism</w:t>
      </w:r>
      <w:r w:rsidR="003A1E00" w:rsidRPr="00986F28">
        <w:rPr>
          <w:rFonts w:asciiTheme="majorBidi" w:hAnsiTheme="majorBidi" w:cstheme="majorBidi"/>
          <w:color w:val="000000" w:themeColor="text1"/>
          <w:shd w:val="clear" w:color="auto" w:fill="FFFFFF"/>
        </w:rPr>
        <w:t xml:space="preserve">. First edition. Oxford, United Kingdom: Oxford University Press, 2015. David Graeber, </w:t>
      </w:r>
      <w:r w:rsidR="003A1E00" w:rsidRPr="00986F28">
        <w:rPr>
          <w:rFonts w:asciiTheme="majorBidi" w:hAnsiTheme="majorBidi" w:cstheme="majorBidi"/>
          <w:i/>
          <w:iCs/>
          <w:color w:val="000000" w:themeColor="text1"/>
        </w:rPr>
        <w:t>Debt : The First 5,000 Years</w:t>
      </w:r>
      <w:r w:rsidR="003A1E00" w:rsidRPr="00986F28">
        <w:rPr>
          <w:rFonts w:asciiTheme="majorBidi" w:hAnsiTheme="majorBidi" w:cstheme="majorBidi"/>
          <w:color w:val="000000" w:themeColor="text1"/>
          <w:shd w:val="clear" w:color="auto" w:fill="FFFFFF"/>
        </w:rPr>
        <w:t>. Brooklyn, N.Y.: Melville House, 2012.</w:t>
      </w:r>
    </w:p>
  </w:footnote>
  <w:footnote w:id="3">
    <w:p w14:paraId="2EEFFFBB" w14:textId="284C8AE1" w:rsidR="00D36A1B" w:rsidRPr="00986F28" w:rsidRDefault="00D36A1B">
      <w:pPr>
        <w:pStyle w:val="FootnoteText"/>
        <w:rPr>
          <w:rFonts w:asciiTheme="majorBidi" w:hAnsiTheme="majorBidi" w:cstheme="majorBidi"/>
        </w:rPr>
      </w:pPr>
      <w:r w:rsidRPr="00986F28">
        <w:rPr>
          <w:rStyle w:val="FootnoteReference"/>
          <w:rFonts w:asciiTheme="majorBidi" w:hAnsiTheme="majorBidi" w:cstheme="majorBidi"/>
        </w:rPr>
        <w:footnoteRef/>
      </w:r>
      <w:r w:rsidRPr="00986F28">
        <w:rPr>
          <w:rFonts w:asciiTheme="majorBidi" w:hAnsiTheme="majorBidi" w:cstheme="majorBidi"/>
        </w:rPr>
        <w:t xml:space="preserve"> </w:t>
      </w:r>
      <w:r w:rsidR="00317E1D">
        <w:rPr>
          <w:rFonts w:asciiTheme="majorBidi" w:hAnsiTheme="majorBidi" w:cstheme="majorBidi"/>
        </w:rPr>
        <w:t xml:space="preserve">For instance, see: </w:t>
      </w:r>
      <w:r w:rsidRPr="00986F28">
        <w:rPr>
          <w:rFonts w:asciiTheme="majorBidi" w:hAnsiTheme="majorBidi" w:cstheme="majorBidi"/>
        </w:rPr>
        <w:t xml:space="preserve">Philip Rossner, “Peasants, Wars and Evil Coins: Towards a Monetary Turn in Explaining the Revolution of 1525,” </w:t>
      </w:r>
      <w:r w:rsidRPr="00986F28">
        <w:rPr>
          <w:rFonts w:asciiTheme="majorBidi" w:hAnsiTheme="majorBidi" w:cstheme="majorBidi"/>
          <w:i/>
          <w:iCs/>
        </w:rPr>
        <w:t>German History</w:t>
      </w:r>
      <w:r w:rsidRPr="00986F28">
        <w:rPr>
          <w:rFonts w:asciiTheme="majorBidi" w:hAnsiTheme="majorBidi" w:cstheme="majorBidi"/>
        </w:rPr>
        <w:t xml:space="preserve">, Vol.43, No.1, p.3. Friedrich Engels, </w:t>
      </w:r>
      <w:r w:rsidRPr="00986F28">
        <w:rPr>
          <w:rFonts w:asciiTheme="majorBidi" w:hAnsiTheme="majorBidi" w:cstheme="majorBidi"/>
          <w:i/>
          <w:iCs/>
        </w:rPr>
        <w:t>The Peasant War in Germany</w:t>
      </w:r>
      <w:r w:rsidRPr="00986F28">
        <w:rPr>
          <w:rFonts w:asciiTheme="majorBidi" w:hAnsiTheme="majorBidi" w:cstheme="majorBidi"/>
        </w:rPr>
        <w:t>. European Politics Books, 2000.</w:t>
      </w:r>
    </w:p>
  </w:footnote>
  <w:footnote w:id="4">
    <w:p w14:paraId="6D5BE43F" w14:textId="44555A4F" w:rsidR="00DC389A" w:rsidRPr="00DC389A" w:rsidRDefault="00FB24F5" w:rsidP="00DC389A">
      <w:pPr>
        <w:pStyle w:val="FootnoteText"/>
        <w:rPr>
          <w:i/>
          <w:iCs/>
        </w:rPr>
      </w:pPr>
      <w:r>
        <w:rPr>
          <w:rStyle w:val="FootnoteReference"/>
        </w:rPr>
        <w:footnoteRef/>
      </w:r>
      <w:r>
        <w:t xml:space="preserve"> </w:t>
      </w:r>
      <w:r w:rsidR="00DC389A" w:rsidRPr="00DC389A">
        <w:t xml:space="preserve">Nilay </w:t>
      </w:r>
      <w:proofErr w:type="spellStart"/>
      <w:r w:rsidR="00DC389A" w:rsidRPr="003F1D25">
        <w:rPr>
          <w:rFonts w:asciiTheme="majorBidi" w:hAnsiTheme="majorBidi" w:cstheme="majorBidi"/>
          <w:color w:val="000000"/>
          <w:shd w:val="clear" w:color="auto" w:fill="FFFFFF"/>
        </w:rPr>
        <w:t>Özok</w:t>
      </w:r>
      <w:proofErr w:type="spellEnd"/>
      <w:r w:rsidR="00DC389A" w:rsidRPr="003F1D25">
        <w:rPr>
          <w:rFonts w:asciiTheme="majorBidi" w:hAnsiTheme="majorBidi" w:cstheme="majorBidi"/>
          <w:color w:val="000000"/>
          <w:shd w:val="clear" w:color="auto" w:fill="FFFFFF"/>
        </w:rPr>
        <w:t>-Gündoğan</w:t>
      </w:r>
      <w:r w:rsidR="00DC389A" w:rsidRPr="00DC389A">
        <w:t xml:space="preserve">, “Extractive Colonialism and State Making in Early Modern Kurdistan,” </w:t>
      </w:r>
      <w:r w:rsidR="00DC389A" w:rsidRPr="00DC389A">
        <w:rPr>
          <w:i/>
          <w:iCs/>
        </w:rPr>
        <w:t>South Atlantic</w:t>
      </w:r>
    </w:p>
    <w:p w14:paraId="6BB0665F" w14:textId="79502E16" w:rsidR="00FB24F5" w:rsidRDefault="00DC389A" w:rsidP="00DC389A">
      <w:pPr>
        <w:pStyle w:val="FootnoteText"/>
      </w:pPr>
      <w:r w:rsidRPr="00DC389A">
        <w:rPr>
          <w:i/>
          <w:iCs/>
        </w:rPr>
        <w:t>Quarterly</w:t>
      </w:r>
      <w:r w:rsidRPr="00DC389A">
        <w:t>, Vol.123, Issue 4, p.666.</w:t>
      </w:r>
    </w:p>
  </w:footnote>
  <w:footnote w:id="5">
    <w:p w14:paraId="71539F79" w14:textId="4CBFF5A2" w:rsidR="005A2571" w:rsidRPr="005A2571" w:rsidRDefault="005A2571" w:rsidP="005A2571">
      <w:pPr>
        <w:pStyle w:val="FootnoteText"/>
        <w:rPr>
          <w:rFonts w:asciiTheme="majorBidi" w:hAnsiTheme="majorBidi" w:cstheme="majorBidi"/>
        </w:rPr>
      </w:pPr>
      <w:r>
        <w:rPr>
          <w:rStyle w:val="FootnoteReference"/>
        </w:rPr>
        <w:footnoteRef/>
      </w:r>
      <w:r>
        <w:t xml:space="preserve"> </w:t>
      </w:r>
      <w:r w:rsidRPr="00986F28">
        <w:rPr>
          <w:rFonts w:asciiTheme="majorBidi" w:hAnsiTheme="majorBidi" w:cstheme="majorBidi"/>
        </w:rPr>
        <w:t>Halil Sahillioglu, “The Role of International Monetary and Metal Movements in Ottoman Monetary History 1300-1750,” Studies in Ottoman Economic and Social History, IRCICA, Istanbul, (1999), p.47.</w:t>
      </w:r>
    </w:p>
  </w:footnote>
  <w:footnote w:id="6">
    <w:p w14:paraId="35152AD2" w14:textId="4A3DAB1F" w:rsidR="002A7F1C" w:rsidRDefault="002A7F1C">
      <w:pPr>
        <w:pStyle w:val="FootnoteText"/>
      </w:pPr>
      <w:r>
        <w:rPr>
          <w:rStyle w:val="FootnoteReference"/>
        </w:rPr>
        <w:footnoteRef/>
      </w:r>
      <w:r>
        <w:t xml:space="preserve"> </w:t>
      </w:r>
      <w:r w:rsidRPr="002F123B">
        <w:rPr>
          <w:rFonts w:asciiTheme="majorBidi" w:hAnsiTheme="majorBidi" w:cstheme="majorBidi"/>
          <w:color w:val="000000"/>
          <w:shd w:val="clear" w:color="auto" w:fill="FFFFFF"/>
        </w:rPr>
        <w:t xml:space="preserve">Jason W. Moore, </w:t>
      </w:r>
      <w:r w:rsidR="00FC5EB0">
        <w:rPr>
          <w:rFonts w:asciiTheme="majorBidi" w:hAnsiTheme="majorBidi" w:cstheme="majorBidi"/>
          <w:color w:val="000000"/>
          <w:shd w:val="clear" w:color="auto" w:fill="FFFFFF"/>
        </w:rPr>
        <w:t xml:space="preserve">“ Sugar and the Expansion of the Early Modern World-Economy: Commodity Frontiers, Ecological Transformation, and Industrialization,” </w:t>
      </w:r>
      <w:r w:rsidR="00FC5EB0" w:rsidRPr="00FC5EB0">
        <w:rPr>
          <w:rFonts w:asciiTheme="majorBidi" w:hAnsiTheme="majorBidi" w:cstheme="majorBidi"/>
          <w:i/>
          <w:iCs/>
          <w:color w:val="000000"/>
          <w:shd w:val="clear" w:color="auto" w:fill="FFFFFF"/>
        </w:rPr>
        <w:t>Review (Fernand Braudel Center)</w:t>
      </w:r>
      <w:r w:rsidR="00FC5EB0">
        <w:rPr>
          <w:rFonts w:asciiTheme="majorBidi" w:hAnsiTheme="majorBidi" w:cstheme="majorBidi"/>
          <w:color w:val="000000"/>
          <w:shd w:val="clear" w:color="auto" w:fill="FFFFFF"/>
        </w:rPr>
        <w:t xml:space="preserve">, Vol.23, No.3 (2000), </w:t>
      </w:r>
      <w:r w:rsidRPr="002F123B">
        <w:rPr>
          <w:rFonts w:asciiTheme="majorBidi" w:hAnsiTheme="majorBidi" w:cstheme="majorBidi"/>
          <w:color w:val="000000"/>
          <w:shd w:val="clear" w:color="auto" w:fill="FFFFFF"/>
        </w:rPr>
        <w:t>p.411</w:t>
      </w:r>
    </w:p>
  </w:footnote>
  <w:footnote w:id="7">
    <w:p w14:paraId="223C942C" w14:textId="3CF29B48" w:rsidR="00130603" w:rsidRDefault="00130603">
      <w:pPr>
        <w:pStyle w:val="FootnoteText"/>
      </w:pPr>
      <w:r>
        <w:rPr>
          <w:rStyle w:val="FootnoteReference"/>
        </w:rPr>
        <w:footnoteRef/>
      </w:r>
      <w:r>
        <w:t xml:space="preserve"> </w:t>
      </w:r>
      <w:r w:rsidRPr="00F0198B">
        <w:rPr>
          <w:rFonts w:asciiTheme="majorBidi" w:hAnsiTheme="majorBidi" w:cstheme="majorBidi"/>
        </w:rPr>
        <w:t>Berk</w:t>
      </w:r>
      <w:r w:rsidRPr="00F0198B">
        <w:rPr>
          <w:rFonts w:asciiTheme="majorBidi" w:eastAsia="Rasa" w:hAnsiTheme="majorBidi" w:cstheme="majorBidi"/>
        </w:rPr>
        <w:t xml:space="preserve"> Koc, “Locals and Migrants in the late Ottoman Empire: A Study of State-Society and Intercommunal Relations in the Izmit District, 1877-1914,” Unpublished Dissertation, </w:t>
      </w:r>
      <w:proofErr w:type="spellStart"/>
      <w:r w:rsidRPr="00F0198B">
        <w:rPr>
          <w:rFonts w:asciiTheme="majorBidi" w:eastAsia="Rasa" w:hAnsiTheme="majorBidi" w:cstheme="majorBidi"/>
        </w:rPr>
        <w:t>Bogazici</w:t>
      </w:r>
      <w:proofErr w:type="spellEnd"/>
      <w:r w:rsidRPr="00F0198B">
        <w:rPr>
          <w:rFonts w:asciiTheme="majorBidi" w:eastAsia="Rasa" w:hAnsiTheme="majorBidi" w:cstheme="majorBidi"/>
        </w:rPr>
        <w:t xml:space="preserve"> University, p.195.</w:t>
      </w:r>
    </w:p>
  </w:footnote>
  <w:footnote w:id="8">
    <w:p w14:paraId="33F294AC" w14:textId="5AC814C8" w:rsidR="00B142E5" w:rsidRPr="002A6CDB" w:rsidRDefault="00B142E5" w:rsidP="002A6CDB">
      <w:pPr>
        <w:jc w:val="both"/>
        <w:rPr>
          <w:rFonts w:asciiTheme="majorBidi" w:hAnsiTheme="majorBidi" w:cstheme="majorBidi"/>
        </w:rPr>
      </w:pPr>
      <w:r>
        <w:rPr>
          <w:rStyle w:val="FootnoteReference"/>
        </w:rPr>
        <w:footnoteRef/>
      </w:r>
      <w:r>
        <w:t xml:space="preserve"> </w:t>
      </w:r>
      <w:r w:rsidR="002A6CDB" w:rsidRPr="00F0198B">
        <w:rPr>
          <w:rFonts w:asciiTheme="majorBidi" w:hAnsiTheme="majorBidi" w:cstheme="majorBidi"/>
        </w:rPr>
        <w:t>Resul Narin, “</w:t>
      </w:r>
      <w:proofErr w:type="spellStart"/>
      <w:r w:rsidR="002A6CDB" w:rsidRPr="00F0198B">
        <w:rPr>
          <w:rFonts w:asciiTheme="majorBidi" w:hAnsiTheme="majorBidi" w:cstheme="majorBidi"/>
        </w:rPr>
        <w:t>Osmanlidan</w:t>
      </w:r>
      <w:proofErr w:type="spellEnd"/>
      <w:r w:rsidR="002A6CDB" w:rsidRPr="00F0198B">
        <w:rPr>
          <w:rFonts w:asciiTheme="majorBidi" w:hAnsiTheme="majorBidi" w:cstheme="majorBidi"/>
        </w:rPr>
        <w:t xml:space="preserve"> </w:t>
      </w:r>
      <w:proofErr w:type="spellStart"/>
      <w:r w:rsidR="002A6CDB" w:rsidRPr="00F0198B">
        <w:rPr>
          <w:rFonts w:asciiTheme="majorBidi" w:hAnsiTheme="majorBidi" w:cstheme="majorBidi"/>
        </w:rPr>
        <w:t>Cumhuriyet</w:t>
      </w:r>
      <w:r w:rsidR="002A6CDB">
        <w:rPr>
          <w:rFonts w:asciiTheme="majorBidi" w:hAnsiTheme="majorBidi" w:cstheme="majorBidi"/>
        </w:rPr>
        <w:t>e</w:t>
      </w:r>
      <w:proofErr w:type="spellEnd"/>
      <w:r w:rsidR="002A6CDB">
        <w:rPr>
          <w:rFonts w:asciiTheme="majorBidi" w:hAnsiTheme="majorBidi" w:cstheme="majorBidi"/>
        </w:rPr>
        <w:t xml:space="preserve"> </w:t>
      </w:r>
      <w:proofErr w:type="spellStart"/>
      <w:r w:rsidR="002A6CDB">
        <w:rPr>
          <w:rFonts w:asciiTheme="majorBidi" w:hAnsiTheme="majorBidi" w:cstheme="majorBidi"/>
        </w:rPr>
        <w:t>A</w:t>
      </w:r>
      <w:r w:rsidR="002A6CDB" w:rsidRPr="00F0198B">
        <w:rPr>
          <w:rFonts w:asciiTheme="majorBidi" w:hAnsiTheme="majorBidi" w:cstheme="majorBidi"/>
        </w:rPr>
        <w:t>gac</w:t>
      </w:r>
      <w:proofErr w:type="spellEnd"/>
      <w:r w:rsidR="002A6CDB" w:rsidRPr="00F0198B">
        <w:rPr>
          <w:rFonts w:asciiTheme="majorBidi" w:hAnsiTheme="majorBidi" w:cstheme="majorBidi"/>
        </w:rPr>
        <w:t xml:space="preserve"> </w:t>
      </w:r>
      <w:proofErr w:type="spellStart"/>
      <w:r w:rsidR="002A6CDB">
        <w:rPr>
          <w:rFonts w:asciiTheme="majorBidi" w:hAnsiTheme="majorBidi" w:cstheme="majorBidi"/>
        </w:rPr>
        <w:t>D</w:t>
      </w:r>
      <w:r w:rsidR="002A6CDB" w:rsidRPr="00F0198B">
        <w:rPr>
          <w:rFonts w:asciiTheme="majorBidi" w:hAnsiTheme="majorBidi" w:cstheme="majorBidi"/>
        </w:rPr>
        <w:t>enizi</w:t>
      </w:r>
      <w:proofErr w:type="spellEnd"/>
      <w:r w:rsidR="002A6CDB" w:rsidRPr="00F0198B">
        <w:rPr>
          <w:rFonts w:asciiTheme="majorBidi" w:hAnsiTheme="majorBidi" w:cstheme="majorBidi"/>
        </w:rPr>
        <w:t xml:space="preserve"> Kocaeli,” p.97</w:t>
      </w:r>
      <w:r w:rsidR="002A6CDB">
        <w:rPr>
          <w:rFonts w:asciiTheme="majorBidi" w:hAnsiTheme="majorBidi" w:cstheme="majorBidi"/>
        </w:rPr>
        <w:t>1-5</w:t>
      </w:r>
      <w:r w:rsidR="002A6CDB" w:rsidRPr="00F0198B">
        <w:rPr>
          <w:rFonts w:asciiTheme="majorBidi" w:hAnsiTheme="majorBidi" w:cstheme="majorBidi"/>
        </w:rPr>
        <w:t xml:space="preserve">. </w:t>
      </w:r>
      <w:r w:rsidR="004D3281" w:rsidRPr="004A371E">
        <w:rPr>
          <w:rFonts w:asciiTheme="majorBidi" w:hAnsiTheme="majorBidi" w:cstheme="majorBidi"/>
          <w:color w:val="222222"/>
          <w:sz w:val="20"/>
          <w:szCs w:val="20"/>
        </w:rPr>
        <w:t>Selçuk Dursun, “Forest and the State: History of Forestry and Forest in the Ottoman Empire,”</w:t>
      </w:r>
      <w:r w:rsidR="004D3281" w:rsidRPr="004A371E">
        <w:rPr>
          <w:rFonts w:asciiTheme="majorBidi" w:hAnsiTheme="majorBidi" w:cstheme="majorBidi"/>
          <w:color w:val="000000"/>
          <w:sz w:val="20"/>
          <w:szCs w:val="20"/>
        </w:rPr>
        <w:t xml:space="preserve"> (Unpublished Dissertation, </w:t>
      </w:r>
      <w:proofErr w:type="spellStart"/>
      <w:r w:rsidR="004D3281" w:rsidRPr="004A371E">
        <w:rPr>
          <w:rFonts w:asciiTheme="majorBidi" w:hAnsiTheme="majorBidi" w:cstheme="majorBidi"/>
          <w:color w:val="000000"/>
          <w:sz w:val="20"/>
          <w:szCs w:val="20"/>
        </w:rPr>
        <w:t>Sabanci</w:t>
      </w:r>
      <w:proofErr w:type="spellEnd"/>
      <w:r w:rsidR="004D3281" w:rsidRPr="004A371E">
        <w:rPr>
          <w:rFonts w:asciiTheme="majorBidi" w:hAnsiTheme="majorBidi" w:cstheme="majorBidi"/>
          <w:color w:val="000000"/>
          <w:sz w:val="20"/>
          <w:szCs w:val="20"/>
        </w:rPr>
        <w:t xml:space="preserve"> University, 2007), p.126-128</w:t>
      </w:r>
      <w:r w:rsidR="004D3281">
        <w:rPr>
          <w:rFonts w:asciiTheme="majorBidi" w:hAnsiTheme="majorBidi" w:cstheme="majorBidi"/>
          <w:color w:val="000000"/>
          <w:sz w:val="20"/>
          <w:szCs w:val="20"/>
        </w:rPr>
        <w:t>.</w:t>
      </w:r>
    </w:p>
  </w:footnote>
  <w:footnote w:id="9">
    <w:p w14:paraId="05C6301F" w14:textId="6E2DE5C7" w:rsidR="00335421" w:rsidRPr="00791636" w:rsidRDefault="00335421" w:rsidP="00335421">
      <w:pPr>
        <w:pStyle w:val="FootnoteText"/>
      </w:pPr>
      <w:r>
        <w:rPr>
          <w:rStyle w:val="FootnoteReference"/>
        </w:rPr>
        <w:footnoteRef/>
      </w:r>
      <w:r>
        <w:t xml:space="preserve"> </w:t>
      </w:r>
      <w:r w:rsidR="00791636">
        <w:t xml:space="preserve">Umit Ekin, “ </w:t>
      </w:r>
      <w:proofErr w:type="spellStart"/>
      <w:r w:rsidR="00791636">
        <w:t>Evliya</w:t>
      </w:r>
      <w:proofErr w:type="spellEnd"/>
      <w:r w:rsidR="00791636">
        <w:t xml:space="preserve"> Celebi </w:t>
      </w:r>
      <w:proofErr w:type="spellStart"/>
      <w:r w:rsidR="00791636">
        <w:t>Seyahatnamesi’nde</w:t>
      </w:r>
      <w:proofErr w:type="spellEnd"/>
      <w:r w:rsidR="00791636">
        <w:t xml:space="preserve"> Kocaeli,” Madde no:445, </w:t>
      </w:r>
      <w:r w:rsidR="00791636" w:rsidRPr="00791636">
        <w:rPr>
          <w:i/>
          <w:iCs/>
        </w:rPr>
        <w:t xml:space="preserve">Kocaeli </w:t>
      </w:r>
      <w:proofErr w:type="spellStart"/>
      <w:r w:rsidR="00791636" w:rsidRPr="00791636">
        <w:rPr>
          <w:i/>
          <w:iCs/>
        </w:rPr>
        <w:t>Ansiklopedisi</w:t>
      </w:r>
      <w:proofErr w:type="spellEnd"/>
      <w:r w:rsidR="00791636" w:rsidRPr="00791636">
        <w:rPr>
          <w:i/>
          <w:iCs/>
        </w:rPr>
        <w:t xml:space="preserve">. </w:t>
      </w:r>
      <w:hyperlink r:id="rId1" w:history="1">
        <w:r w:rsidR="00791636" w:rsidRPr="00AC6372">
          <w:rPr>
            <w:rStyle w:val="Hyperlink"/>
          </w:rPr>
          <w:t>https://kocaeliansiklopedisi.com/Default/MaddeDetay/445</w:t>
        </w:r>
      </w:hyperlink>
      <w:r w:rsidR="00791636">
        <w:t xml:space="preserve"> (Accessed Date,)</w:t>
      </w:r>
    </w:p>
  </w:footnote>
  <w:footnote w:id="10">
    <w:p w14:paraId="1F30BBB4" w14:textId="77777777" w:rsidR="00335421" w:rsidRPr="009E24E3" w:rsidRDefault="00335421" w:rsidP="00335421">
      <w:pPr>
        <w:pStyle w:val="FootnoteText"/>
      </w:pPr>
      <w:r>
        <w:rPr>
          <w:rStyle w:val="FootnoteReference"/>
        </w:rPr>
        <w:footnoteRef/>
      </w:r>
      <w:r>
        <w:t xml:space="preserve"> Idris Bostan</w:t>
      </w:r>
      <w:r w:rsidRPr="009E24E3">
        <w:rPr>
          <w:i/>
          <w:iCs/>
        </w:rPr>
        <w:t xml:space="preserve">, Osmanli </w:t>
      </w:r>
      <w:proofErr w:type="spellStart"/>
      <w:r w:rsidRPr="009E24E3">
        <w:rPr>
          <w:i/>
          <w:iCs/>
        </w:rPr>
        <w:t>Bahriye</w:t>
      </w:r>
      <w:proofErr w:type="spellEnd"/>
      <w:r w:rsidRPr="009E24E3">
        <w:rPr>
          <w:i/>
          <w:iCs/>
        </w:rPr>
        <w:t xml:space="preserve"> </w:t>
      </w:r>
      <w:proofErr w:type="spellStart"/>
      <w:r w:rsidRPr="009E24E3">
        <w:rPr>
          <w:i/>
          <w:iCs/>
        </w:rPr>
        <w:t>Teskilati</w:t>
      </w:r>
      <w:proofErr w:type="spellEnd"/>
      <w:r w:rsidRPr="009E24E3">
        <w:rPr>
          <w:i/>
          <w:iCs/>
        </w:rPr>
        <w:t xml:space="preserve">: XVII. </w:t>
      </w:r>
      <w:proofErr w:type="spellStart"/>
      <w:r w:rsidRPr="009E24E3">
        <w:rPr>
          <w:i/>
          <w:iCs/>
        </w:rPr>
        <w:t>Yuzyilda</w:t>
      </w:r>
      <w:proofErr w:type="spellEnd"/>
      <w:r w:rsidRPr="009E24E3">
        <w:rPr>
          <w:i/>
          <w:iCs/>
        </w:rPr>
        <w:t xml:space="preserve"> </w:t>
      </w:r>
      <w:proofErr w:type="spellStart"/>
      <w:r w:rsidRPr="009E24E3">
        <w:rPr>
          <w:i/>
          <w:iCs/>
        </w:rPr>
        <w:t>Tersane-i</w:t>
      </w:r>
      <w:proofErr w:type="spellEnd"/>
      <w:r w:rsidRPr="009E24E3">
        <w:rPr>
          <w:i/>
          <w:iCs/>
        </w:rPr>
        <w:t xml:space="preserve"> Amire.</w:t>
      </w:r>
      <w:r>
        <w:rPr>
          <w:i/>
          <w:iCs/>
        </w:rPr>
        <w:t xml:space="preserve"> </w:t>
      </w:r>
      <w:r>
        <w:t xml:space="preserve">(Ankara: Turk Tarih Kurumu Basim Evi, 1992). </w:t>
      </w:r>
    </w:p>
  </w:footnote>
  <w:footnote w:id="11">
    <w:p w14:paraId="430A28D0" w14:textId="2D357970" w:rsidR="004C39AA" w:rsidRDefault="004C39AA">
      <w:pPr>
        <w:pStyle w:val="FootnoteText"/>
      </w:pPr>
      <w:r>
        <w:rPr>
          <w:rStyle w:val="FootnoteReference"/>
        </w:rPr>
        <w:footnoteRef/>
      </w:r>
      <w:r>
        <w:t xml:space="preserve"> </w:t>
      </w:r>
      <w:r w:rsidRPr="004C39AA">
        <w:rPr>
          <w:rFonts w:asciiTheme="majorBidi" w:hAnsiTheme="majorBidi" w:cstheme="majorBidi"/>
          <w:color w:val="000000" w:themeColor="text1"/>
        </w:rPr>
        <w:t xml:space="preserve">Onur Inal, </w:t>
      </w:r>
      <w:r w:rsidR="00946C39">
        <w:rPr>
          <w:rFonts w:asciiTheme="majorBidi" w:hAnsiTheme="majorBidi" w:cstheme="majorBidi"/>
          <w:color w:val="000000" w:themeColor="text1"/>
        </w:rPr>
        <w:t>“</w:t>
      </w:r>
      <w:r w:rsidRPr="004C39AA">
        <w:rPr>
          <w:rFonts w:asciiTheme="majorBidi" w:hAnsiTheme="majorBidi" w:cstheme="majorBidi"/>
          <w:color w:val="000000" w:themeColor="text1"/>
        </w:rPr>
        <w:t>Environmental History as an Emerging Field in Ottoman Studies: An Historiographical Overview,</w:t>
      </w:r>
      <w:r w:rsidR="00946C39">
        <w:rPr>
          <w:rFonts w:asciiTheme="majorBidi" w:hAnsiTheme="majorBidi" w:cstheme="majorBidi"/>
          <w:color w:val="000000" w:themeColor="text1"/>
        </w:rPr>
        <w:t xml:space="preserve">” </w:t>
      </w:r>
      <w:r w:rsidRPr="004C39AA">
        <w:rPr>
          <w:rFonts w:asciiTheme="majorBidi" w:hAnsiTheme="majorBidi" w:cstheme="majorBidi"/>
          <w:color w:val="000000" w:themeColor="text1"/>
        </w:rPr>
        <w:t xml:space="preserve">p.22, </w:t>
      </w:r>
      <w:r w:rsidRPr="004C39AA">
        <w:rPr>
          <w:rFonts w:asciiTheme="majorBidi" w:hAnsiTheme="majorBidi" w:cstheme="majorBidi"/>
          <w:color w:val="000000"/>
          <w:shd w:val="clear" w:color="auto" w:fill="FFFFFF"/>
        </w:rPr>
        <w:t>Önder</w:t>
      </w:r>
      <w:r w:rsidRPr="004C39AA">
        <w:rPr>
          <w:rStyle w:val="apple-converted-space"/>
          <w:rFonts w:asciiTheme="majorBidi" w:hAnsiTheme="majorBidi" w:cstheme="majorBidi"/>
          <w:color w:val="000000"/>
          <w:shd w:val="clear" w:color="auto" w:fill="FFFFFF"/>
        </w:rPr>
        <w:t> </w:t>
      </w:r>
      <w:r w:rsidRPr="004C39AA">
        <w:rPr>
          <w:rFonts w:asciiTheme="majorBidi" w:eastAsiaTheme="minorHAnsi" w:hAnsiTheme="majorBidi" w:cstheme="majorBidi"/>
          <w14:ligatures w14:val="standardContextual"/>
        </w:rPr>
        <w:t xml:space="preserve"> Eren </w:t>
      </w:r>
      <w:r w:rsidRPr="004C39AA">
        <w:rPr>
          <w:rFonts w:asciiTheme="majorBidi" w:hAnsiTheme="majorBidi" w:cstheme="majorBidi"/>
          <w:color w:val="000000"/>
          <w:shd w:val="clear" w:color="auto" w:fill="FFFFFF"/>
        </w:rPr>
        <w:t xml:space="preserve">Akgül, “Bati </w:t>
      </w:r>
      <w:proofErr w:type="spellStart"/>
      <w:r w:rsidRPr="004C39AA">
        <w:rPr>
          <w:rFonts w:asciiTheme="majorBidi" w:hAnsiTheme="majorBidi" w:cstheme="majorBidi"/>
          <w:color w:val="000000"/>
          <w:shd w:val="clear" w:color="auto" w:fill="FFFFFF"/>
        </w:rPr>
        <w:t>Anadolu’da</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Keresteciler</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Koyluler</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ve</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Musterekler</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Koskoca</w:t>
      </w:r>
      <w:proofErr w:type="spellEnd"/>
      <w:r w:rsidRPr="004C39AA">
        <w:rPr>
          <w:rFonts w:asciiTheme="majorBidi" w:hAnsiTheme="majorBidi" w:cstheme="majorBidi"/>
          <w:color w:val="000000"/>
          <w:shd w:val="clear" w:color="auto" w:fill="FFFFFF"/>
        </w:rPr>
        <w:t xml:space="preserve"> Bir </w:t>
      </w:r>
      <w:proofErr w:type="spellStart"/>
      <w:r w:rsidRPr="004C39AA">
        <w:rPr>
          <w:rFonts w:asciiTheme="majorBidi" w:hAnsiTheme="majorBidi" w:cstheme="majorBidi"/>
          <w:color w:val="000000"/>
          <w:shd w:val="clear" w:color="auto" w:fill="FFFFFF"/>
        </w:rPr>
        <w:t>Ormanin</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Tahribi</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ve</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color w:val="000000"/>
          <w:shd w:val="clear" w:color="auto" w:fill="FFFFFF"/>
        </w:rPr>
        <w:t>Imhasi</w:t>
      </w:r>
      <w:proofErr w:type="spellEnd"/>
      <w:r w:rsidRPr="004C39AA">
        <w:rPr>
          <w:rFonts w:asciiTheme="majorBidi" w:hAnsiTheme="majorBidi" w:cstheme="majorBidi"/>
          <w:color w:val="000000"/>
          <w:shd w:val="clear" w:color="auto" w:fill="FFFFFF"/>
        </w:rPr>
        <w:t xml:space="preserve">,”, </w:t>
      </w:r>
      <w:proofErr w:type="spellStart"/>
      <w:r w:rsidRPr="004C39AA">
        <w:rPr>
          <w:rFonts w:asciiTheme="majorBidi" w:hAnsiTheme="majorBidi" w:cstheme="majorBidi"/>
          <w:i/>
          <w:iCs/>
          <w:color w:val="000000"/>
          <w:shd w:val="clear" w:color="auto" w:fill="FFFFFF"/>
        </w:rPr>
        <w:t>Toplumsal</w:t>
      </w:r>
      <w:proofErr w:type="spellEnd"/>
      <w:r w:rsidRPr="004C39AA">
        <w:rPr>
          <w:rFonts w:asciiTheme="majorBidi" w:hAnsiTheme="majorBidi" w:cstheme="majorBidi"/>
          <w:i/>
          <w:iCs/>
          <w:color w:val="000000"/>
          <w:shd w:val="clear" w:color="auto" w:fill="FFFFFF"/>
        </w:rPr>
        <w:t xml:space="preserve"> Tarih</w:t>
      </w:r>
      <w:r w:rsidRPr="004C39AA">
        <w:rPr>
          <w:rFonts w:asciiTheme="majorBidi" w:hAnsiTheme="majorBidi" w:cstheme="majorBidi"/>
          <w:color w:val="000000"/>
          <w:shd w:val="clear" w:color="auto" w:fill="FFFFFF"/>
        </w:rPr>
        <w:t xml:space="preserve">, p.50-57. </w:t>
      </w:r>
      <w:r w:rsidRPr="004C39AA">
        <w:rPr>
          <w:rStyle w:val="mw-page-title-main"/>
          <w:rFonts w:asciiTheme="majorBidi" w:hAnsiTheme="majorBidi" w:cstheme="majorBidi"/>
          <w:lang w:val="en"/>
        </w:rPr>
        <w:t>Başak</w:t>
      </w:r>
      <w:r w:rsidRPr="004C39AA">
        <w:rPr>
          <w:rStyle w:val="mw-page-title-main"/>
          <w:rFonts w:asciiTheme="majorBidi" w:hAnsiTheme="majorBidi" w:cstheme="majorBidi"/>
        </w:rPr>
        <w:t xml:space="preserve"> A</w:t>
      </w:r>
      <w:r w:rsidRPr="004C39AA">
        <w:rPr>
          <w:rFonts w:asciiTheme="majorBidi" w:hAnsiTheme="majorBidi" w:cstheme="majorBidi"/>
          <w:color w:val="000000"/>
          <w:shd w:val="clear" w:color="auto" w:fill="FFFFFF"/>
        </w:rPr>
        <w:t>kgül Kovankaya, “ Negotiating nature: ecology, politics, and nomadism in the forests of Mediterranean Anatolia, 1870-1920,” (Unpublished dissertation, Leiden University, 2019), p.58.</w:t>
      </w:r>
    </w:p>
  </w:footnote>
  <w:footnote w:id="12">
    <w:p w14:paraId="5F62AE34" w14:textId="77777777" w:rsidR="00A54F61" w:rsidRPr="009A66C8" w:rsidRDefault="00A54F61" w:rsidP="00A54F61">
      <w:pPr>
        <w:pStyle w:val="FootnoteText"/>
        <w:rPr>
          <w:rFonts w:asciiTheme="majorBidi" w:hAnsiTheme="majorBidi" w:cstheme="majorBidi"/>
          <w:color w:val="000000" w:themeColor="text1"/>
        </w:rPr>
      </w:pPr>
      <w:r>
        <w:rPr>
          <w:rStyle w:val="FootnoteReference"/>
        </w:rPr>
        <w:footnoteRef/>
      </w:r>
      <w:r>
        <w:t xml:space="preserve"> </w:t>
      </w:r>
      <w:r w:rsidRPr="009A66C8">
        <w:rPr>
          <w:rFonts w:asciiTheme="majorBidi" w:hAnsiTheme="majorBidi" w:cstheme="majorBidi"/>
          <w:color w:val="000000" w:themeColor="text1"/>
          <w:shd w:val="clear" w:color="auto" w:fill="FFFFFF"/>
        </w:rPr>
        <w:t>Süleyman Pekin and Murat Bayram.</w:t>
      </w:r>
      <w:r w:rsidRPr="009A66C8">
        <w:rPr>
          <w:rStyle w:val="apple-converted-space"/>
          <w:rFonts w:asciiTheme="majorBidi" w:hAnsiTheme="majorBidi" w:cstheme="majorBidi"/>
          <w:color w:val="000000" w:themeColor="text1"/>
          <w:shd w:val="clear" w:color="auto" w:fill="FFFFFF"/>
        </w:rPr>
        <w:t> </w:t>
      </w:r>
      <w:proofErr w:type="spellStart"/>
      <w:r w:rsidRPr="009A66C8">
        <w:rPr>
          <w:rFonts w:asciiTheme="majorBidi" w:hAnsiTheme="majorBidi" w:cstheme="majorBidi"/>
          <w:i/>
          <w:iCs/>
          <w:color w:val="000000" w:themeColor="text1"/>
        </w:rPr>
        <w:t>Bahçecik</w:t>
      </w:r>
      <w:proofErr w:type="spellEnd"/>
      <w:r w:rsidRPr="009A66C8">
        <w:rPr>
          <w:rFonts w:asciiTheme="majorBidi" w:hAnsiTheme="majorBidi" w:cstheme="majorBidi"/>
          <w:i/>
          <w:iCs/>
          <w:color w:val="000000" w:themeColor="text1"/>
        </w:rPr>
        <w:t xml:space="preserve"> </w:t>
      </w:r>
      <w:proofErr w:type="spellStart"/>
      <w:r w:rsidRPr="009A66C8">
        <w:rPr>
          <w:rFonts w:asciiTheme="majorBidi" w:hAnsiTheme="majorBidi" w:cstheme="majorBidi"/>
          <w:i/>
          <w:iCs/>
          <w:color w:val="000000" w:themeColor="text1"/>
        </w:rPr>
        <w:t>Tarihi</w:t>
      </w:r>
      <w:proofErr w:type="spellEnd"/>
      <w:r w:rsidRPr="009A66C8">
        <w:rPr>
          <w:rFonts w:asciiTheme="majorBidi" w:hAnsiTheme="majorBidi" w:cstheme="majorBidi"/>
          <w:color w:val="000000" w:themeColor="text1"/>
          <w:shd w:val="clear" w:color="auto" w:fill="FFFFFF"/>
        </w:rPr>
        <w:t xml:space="preserve">. (Ankara: </w:t>
      </w:r>
      <w:proofErr w:type="spellStart"/>
      <w:r w:rsidRPr="009A66C8">
        <w:rPr>
          <w:rFonts w:asciiTheme="majorBidi" w:hAnsiTheme="majorBidi" w:cstheme="majorBidi"/>
          <w:color w:val="000000" w:themeColor="text1"/>
          <w:shd w:val="clear" w:color="auto" w:fill="FFFFFF"/>
        </w:rPr>
        <w:t>Berikan</w:t>
      </w:r>
      <w:proofErr w:type="spellEnd"/>
      <w:r w:rsidRPr="009A66C8">
        <w:rPr>
          <w:rFonts w:asciiTheme="majorBidi" w:hAnsiTheme="majorBidi" w:cstheme="majorBidi"/>
          <w:color w:val="000000" w:themeColor="text1"/>
          <w:shd w:val="clear" w:color="auto" w:fill="FFFFFF"/>
        </w:rPr>
        <w:t xml:space="preserve"> </w:t>
      </w:r>
      <w:proofErr w:type="spellStart"/>
      <w:r w:rsidRPr="009A66C8">
        <w:rPr>
          <w:rFonts w:asciiTheme="majorBidi" w:hAnsiTheme="majorBidi" w:cstheme="majorBidi"/>
          <w:color w:val="000000" w:themeColor="text1"/>
          <w:shd w:val="clear" w:color="auto" w:fill="FFFFFF"/>
        </w:rPr>
        <w:t>yayıncılık</w:t>
      </w:r>
      <w:proofErr w:type="spellEnd"/>
      <w:r w:rsidRPr="009A66C8">
        <w:rPr>
          <w:rFonts w:asciiTheme="majorBidi" w:hAnsiTheme="majorBidi" w:cstheme="majorBidi"/>
          <w:color w:val="000000" w:themeColor="text1"/>
          <w:shd w:val="clear" w:color="auto" w:fill="FFFFFF"/>
        </w:rPr>
        <w:t>, 2011), p.</w:t>
      </w:r>
      <w:r>
        <w:rPr>
          <w:rFonts w:asciiTheme="majorBidi" w:hAnsiTheme="majorBidi" w:cstheme="majorBidi"/>
          <w:color w:val="000000" w:themeColor="text1"/>
          <w:shd w:val="clear" w:color="auto" w:fill="FFFFFF"/>
        </w:rPr>
        <w:t>56.</w:t>
      </w:r>
    </w:p>
  </w:footnote>
  <w:footnote w:id="13">
    <w:p w14:paraId="1D3FCE46" w14:textId="77777777" w:rsidR="00542501" w:rsidRPr="00542501" w:rsidRDefault="00542501" w:rsidP="00542501">
      <w:pPr>
        <w:pStyle w:val="NormalWeb"/>
        <w:spacing w:before="0" w:beforeAutospacing="0" w:after="240" w:afterAutospacing="0"/>
        <w:rPr>
          <w:color w:val="000000"/>
          <w:sz w:val="20"/>
          <w:szCs w:val="20"/>
        </w:rPr>
      </w:pPr>
      <w:r w:rsidRPr="00542501">
        <w:rPr>
          <w:rStyle w:val="FootnoteReference"/>
          <w:sz w:val="20"/>
          <w:szCs w:val="20"/>
        </w:rPr>
        <w:footnoteRef/>
      </w:r>
      <w:r w:rsidRPr="00542501">
        <w:rPr>
          <w:sz w:val="20"/>
          <w:szCs w:val="20"/>
        </w:rPr>
        <w:t xml:space="preserve"> </w:t>
      </w:r>
      <w:r w:rsidRPr="00542501">
        <w:rPr>
          <w:color w:val="000000"/>
          <w:sz w:val="20"/>
          <w:szCs w:val="20"/>
        </w:rPr>
        <w:t>BOA: C.DRB. 12/2/1190, BOA: C.DRB. 09/B/1204, BOA: C.ML. 29/L/1240</w:t>
      </w:r>
    </w:p>
    <w:p w14:paraId="33D915BE" w14:textId="77777777" w:rsidR="00542501" w:rsidRPr="00542501" w:rsidRDefault="00542501" w:rsidP="00542501">
      <w:pPr>
        <w:spacing w:after="240" w:line="240" w:lineRule="auto"/>
        <w:rPr>
          <w:rFonts w:ascii="Times New Roman" w:eastAsia="Times New Roman" w:hAnsi="Times New Roman" w:cs="Times New Roman"/>
          <w:sz w:val="24"/>
          <w:szCs w:val="24"/>
          <w:lang w:val="en-US"/>
        </w:rPr>
      </w:pPr>
    </w:p>
    <w:p w14:paraId="2A23EA59" w14:textId="77777777" w:rsidR="00542501" w:rsidRPr="00542501" w:rsidRDefault="00542501" w:rsidP="00542501">
      <w:pPr>
        <w:spacing w:line="240" w:lineRule="auto"/>
        <w:rPr>
          <w:rFonts w:ascii="Times New Roman" w:eastAsia="Times New Roman" w:hAnsi="Times New Roman" w:cs="Times New Roman"/>
          <w:sz w:val="24"/>
          <w:szCs w:val="24"/>
          <w:lang w:val="en-US"/>
        </w:rPr>
      </w:pPr>
    </w:p>
    <w:p w14:paraId="22D5C7BD" w14:textId="3EE22762" w:rsidR="00542501" w:rsidRDefault="00542501">
      <w:pPr>
        <w:pStyle w:val="FootnoteText"/>
      </w:pPr>
    </w:p>
  </w:footnote>
  <w:footnote w:id="14">
    <w:p w14:paraId="6C984E5A" w14:textId="423CB88B" w:rsidR="00006249" w:rsidRDefault="00006249" w:rsidP="00006249">
      <w:pPr>
        <w:pStyle w:val="FootnoteText"/>
      </w:pPr>
      <w:r>
        <w:rPr>
          <w:rStyle w:val="FootnoteReference"/>
        </w:rPr>
        <w:footnoteRef/>
      </w:r>
      <w:r>
        <w:t xml:space="preserve"> Nurullah Demir, </w:t>
      </w:r>
      <w:r w:rsidRPr="00006249">
        <w:rPr>
          <w:i/>
          <w:iCs/>
        </w:rPr>
        <w:t xml:space="preserve">219 </w:t>
      </w:r>
      <w:proofErr w:type="spellStart"/>
      <w:r w:rsidRPr="00006249">
        <w:rPr>
          <w:i/>
          <w:iCs/>
        </w:rPr>
        <w:t>Nolu</w:t>
      </w:r>
      <w:proofErr w:type="spellEnd"/>
      <w:r w:rsidRPr="00006249">
        <w:rPr>
          <w:i/>
          <w:iCs/>
        </w:rPr>
        <w:t xml:space="preserve"> </w:t>
      </w:r>
      <w:proofErr w:type="spellStart"/>
      <w:r w:rsidRPr="00006249">
        <w:rPr>
          <w:i/>
          <w:iCs/>
        </w:rPr>
        <w:t>Muhimme</w:t>
      </w:r>
      <w:proofErr w:type="spellEnd"/>
      <w:r w:rsidRPr="00006249">
        <w:rPr>
          <w:i/>
          <w:iCs/>
        </w:rPr>
        <w:t xml:space="preserve"> </w:t>
      </w:r>
      <w:proofErr w:type="spellStart"/>
      <w:r w:rsidRPr="00006249">
        <w:rPr>
          <w:i/>
          <w:iCs/>
        </w:rPr>
        <w:t>Defterinin</w:t>
      </w:r>
      <w:proofErr w:type="spellEnd"/>
      <w:r w:rsidRPr="00006249">
        <w:rPr>
          <w:i/>
          <w:iCs/>
        </w:rPr>
        <w:t xml:space="preserve"> </w:t>
      </w:r>
      <w:proofErr w:type="spellStart"/>
      <w:r w:rsidRPr="00006249">
        <w:rPr>
          <w:i/>
          <w:iCs/>
        </w:rPr>
        <w:t>Transkripsiyon</w:t>
      </w:r>
      <w:proofErr w:type="spellEnd"/>
      <w:r w:rsidRPr="00006249">
        <w:rPr>
          <w:i/>
          <w:iCs/>
        </w:rPr>
        <w:t xml:space="preserve"> </w:t>
      </w:r>
      <w:proofErr w:type="spellStart"/>
      <w:r w:rsidRPr="00006249">
        <w:rPr>
          <w:i/>
          <w:iCs/>
        </w:rPr>
        <w:t>ve</w:t>
      </w:r>
      <w:proofErr w:type="spellEnd"/>
      <w:r w:rsidRPr="00006249">
        <w:rPr>
          <w:i/>
          <w:iCs/>
        </w:rPr>
        <w:t xml:space="preserve"> </w:t>
      </w:r>
      <w:proofErr w:type="spellStart"/>
      <w:r w:rsidRPr="00006249">
        <w:rPr>
          <w:i/>
          <w:iCs/>
        </w:rPr>
        <w:t>Degerlendirilmesi</w:t>
      </w:r>
      <w:proofErr w:type="spellEnd"/>
      <w:r w:rsidRPr="00006249">
        <w:rPr>
          <w:i/>
          <w:iCs/>
        </w:rPr>
        <w:t>.</w:t>
      </w:r>
      <w:r>
        <w:t xml:space="preserve"> (Ed.) </w:t>
      </w:r>
      <w:proofErr w:type="spellStart"/>
      <w:r>
        <w:t>Dr.Kazim</w:t>
      </w:r>
      <w:proofErr w:type="spellEnd"/>
      <w:r>
        <w:t xml:space="preserve"> Kartal, </w:t>
      </w:r>
      <w:r w:rsidR="00D5351A">
        <w:t xml:space="preserve">Serpil Sevim Kartal, (Ankara: </w:t>
      </w:r>
      <w:proofErr w:type="spellStart"/>
      <w:r w:rsidR="00D5351A">
        <w:t>Iksad</w:t>
      </w:r>
      <w:proofErr w:type="spellEnd"/>
      <w:r w:rsidR="00D5351A">
        <w:t xml:space="preserve"> Yayinevi, 2019), p.188. </w:t>
      </w:r>
    </w:p>
  </w:footnote>
  <w:footnote w:id="15">
    <w:p w14:paraId="01F2AF7F" w14:textId="30651DBD" w:rsidR="00AD57B9" w:rsidRPr="002A6CDB" w:rsidRDefault="00AD57B9" w:rsidP="002A6CDB">
      <w:pPr>
        <w:widowControl w:val="0"/>
        <w:spacing w:before="240" w:after="240" w:line="240" w:lineRule="auto"/>
        <w:jc w:val="both"/>
        <w:rPr>
          <w:rFonts w:asciiTheme="majorBidi" w:hAnsiTheme="majorBidi" w:cstheme="majorBidi"/>
        </w:rPr>
      </w:pPr>
      <w:r>
        <w:rPr>
          <w:rStyle w:val="FootnoteReference"/>
        </w:rPr>
        <w:footnoteRef/>
      </w:r>
      <w:r>
        <w:t xml:space="preserve"> </w:t>
      </w:r>
      <w:r w:rsidRPr="002A6CDB">
        <w:rPr>
          <w:rFonts w:asciiTheme="majorBidi" w:hAnsiTheme="majorBidi" w:cstheme="majorBidi"/>
          <w:color w:val="000000" w:themeColor="text1"/>
          <w:sz w:val="20"/>
          <w:szCs w:val="20"/>
          <w:shd w:val="clear" w:color="auto" w:fill="FFFFFF"/>
        </w:rPr>
        <w:t xml:space="preserve">Onnik Jamgocyan, </w:t>
      </w:r>
      <w:r w:rsidRPr="002A6CDB">
        <w:rPr>
          <w:rFonts w:asciiTheme="majorBidi" w:hAnsiTheme="majorBidi" w:cstheme="majorBidi"/>
          <w:i/>
          <w:iCs/>
          <w:color w:val="000000" w:themeColor="text1"/>
          <w:sz w:val="20"/>
          <w:szCs w:val="20"/>
        </w:rPr>
        <w:t xml:space="preserve">Les </w:t>
      </w:r>
      <w:proofErr w:type="spellStart"/>
      <w:r w:rsidRPr="002A6CDB">
        <w:rPr>
          <w:rFonts w:asciiTheme="majorBidi" w:hAnsiTheme="majorBidi" w:cstheme="majorBidi"/>
          <w:i/>
          <w:iCs/>
          <w:color w:val="000000" w:themeColor="text1"/>
          <w:sz w:val="20"/>
          <w:szCs w:val="20"/>
        </w:rPr>
        <w:t>Banquiers</w:t>
      </w:r>
      <w:proofErr w:type="spellEnd"/>
      <w:r w:rsidRPr="002A6CDB">
        <w:rPr>
          <w:rFonts w:asciiTheme="majorBidi" w:hAnsiTheme="majorBidi" w:cstheme="majorBidi"/>
          <w:i/>
          <w:iCs/>
          <w:color w:val="000000" w:themeColor="text1"/>
          <w:sz w:val="20"/>
          <w:szCs w:val="20"/>
        </w:rPr>
        <w:t xml:space="preserve"> Des Sultans : </w:t>
      </w:r>
      <w:proofErr w:type="spellStart"/>
      <w:r w:rsidRPr="002A6CDB">
        <w:rPr>
          <w:rFonts w:asciiTheme="majorBidi" w:hAnsiTheme="majorBidi" w:cstheme="majorBidi"/>
          <w:i/>
          <w:iCs/>
          <w:color w:val="000000" w:themeColor="text1"/>
          <w:sz w:val="20"/>
          <w:szCs w:val="20"/>
        </w:rPr>
        <w:t>Juifs</w:t>
      </w:r>
      <w:proofErr w:type="spellEnd"/>
      <w:r w:rsidRPr="002A6CDB">
        <w:rPr>
          <w:rFonts w:asciiTheme="majorBidi" w:hAnsiTheme="majorBidi" w:cstheme="majorBidi"/>
          <w:i/>
          <w:iCs/>
          <w:color w:val="000000" w:themeColor="text1"/>
          <w:sz w:val="20"/>
          <w:szCs w:val="20"/>
        </w:rPr>
        <w:t xml:space="preserve">, Francs, </w:t>
      </w:r>
      <w:proofErr w:type="spellStart"/>
      <w:r w:rsidRPr="002A6CDB">
        <w:rPr>
          <w:rFonts w:asciiTheme="majorBidi" w:hAnsiTheme="majorBidi" w:cstheme="majorBidi"/>
          <w:i/>
          <w:iCs/>
          <w:color w:val="000000" w:themeColor="text1"/>
          <w:sz w:val="20"/>
          <w:szCs w:val="20"/>
        </w:rPr>
        <w:t>Grecs</w:t>
      </w:r>
      <w:proofErr w:type="spellEnd"/>
      <w:r w:rsidRPr="002A6CDB">
        <w:rPr>
          <w:rFonts w:asciiTheme="majorBidi" w:hAnsiTheme="majorBidi" w:cstheme="majorBidi"/>
          <w:i/>
          <w:iCs/>
          <w:color w:val="000000" w:themeColor="text1"/>
          <w:sz w:val="20"/>
          <w:szCs w:val="20"/>
        </w:rPr>
        <w:t xml:space="preserve"> et </w:t>
      </w:r>
      <w:proofErr w:type="spellStart"/>
      <w:r w:rsidRPr="002A6CDB">
        <w:rPr>
          <w:rFonts w:asciiTheme="majorBidi" w:hAnsiTheme="majorBidi" w:cstheme="majorBidi"/>
          <w:i/>
          <w:iCs/>
          <w:color w:val="000000" w:themeColor="text1"/>
          <w:sz w:val="20"/>
          <w:szCs w:val="20"/>
        </w:rPr>
        <w:t>Arméniens</w:t>
      </w:r>
      <w:proofErr w:type="spellEnd"/>
      <w:r w:rsidRPr="002A6CDB">
        <w:rPr>
          <w:rFonts w:asciiTheme="majorBidi" w:hAnsiTheme="majorBidi" w:cstheme="majorBidi"/>
          <w:i/>
          <w:iCs/>
          <w:color w:val="000000" w:themeColor="text1"/>
          <w:sz w:val="20"/>
          <w:szCs w:val="20"/>
        </w:rPr>
        <w:t xml:space="preserve"> de La Haute Finance : Constantinople, 1650-1850</w:t>
      </w:r>
      <w:r w:rsidRPr="002A6CDB">
        <w:rPr>
          <w:rFonts w:asciiTheme="majorBidi" w:hAnsiTheme="majorBidi" w:cstheme="majorBidi"/>
          <w:color w:val="000000" w:themeColor="text1"/>
          <w:sz w:val="20"/>
          <w:szCs w:val="20"/>
          <w:shd w:val="clear" w:color="auto" w:fill="FFFFFF"/>
        </w:rPr>
        <w:t xml:space="preserve">. (Paris: Les Editions du </w:t>
      </w:r>
      <w:proofErr w:type="spellStart"/>
      <w:r w:rsidRPr="002A6CDB">
        <w:rPr>
          <w:rFonts w:asciiTheme="majorBidi" w:hAnsiTheme="majorBidi" w:cstheme="majorBidi"/>
          <w:color w:val="000000" w:themeColor="text1"/>
          <w:sz w:val="20"/>
          <w:szCs w:val="20"/>
          <w:shd w:val="clear" w:color="auto" w:fill="FFFFFF"/>
        </w:rPr>
        <w:t>Bosphore</w:t>
      </w:r>
      <w:proofErr w:type="spellEnd"/>
      <w:r w:rsidRPr="002A6CDB">
        <w:rPr>
          <w:rFonts w:asciiTheme="majorBidi" w:hAnsiTheme="majorBidi" w:cstheme="majorBidi"/>
          <w:color w:val="000000" w:themeColor="text1"/>
          <w:sz w:val="20"/>
          <w:szCs w:val="20"/>
          <w:shd w:val="clear" w:color="auto" w:fill="FFFFFF"/>
        </w:rPr>
        <w:t xml:space="preserve">, 2013). </w:t>
      </w:r>
      <w:r w:rsidRPr="002A6CDB">
        <w:rPr>
          <w:rFonts w:asciiTheme="majorBidi" w:hAnsiTheme="majorBidi" w:cstheme="majorBidi"/>
          <w:i/>
          <w:iCs/>
          <w:color w:val="000000" w:themeColor="text1"/>
          <w:sz w:val="20"/>
          <w:szCs w:val="20"/>
        </w:rPr>
        <w:t xml:space="preserve">Finance et </w:t>
      </w:r>
      <w:proofErr w:type="spellStart"/>
      <w:r w:rsidRPr="002A6CDB">
        <w:rPr>
          <w:rFonts w:asciiTheme="majorBidi" w:hAnsiTheme="majorBidi" w:cstheme="majorBidi"/>
          <w:i/>
          <w:iCs/>
          <w:color w:val="000000" w:themeColor="text1"/>
          <w:sz w:val="20"/>
          <w:szCs w:val="20"/>
        </w:rPr>
        <w:t>Diplomatie</w:t>
      </w:r>
      <w:proofErr w:type="spellEnd"/>
      <w:r w:rsidRPr="002A6CDB">
        <w:rPr>
          <w:rFonts w:asciiTheme="majorBidi" w:hAnsiTheme="majorBidi" w:cstheme="majorBidi"/>
          <w:i/>
          <w:iCs/>
          <w:color w:val="000000" w:themeColor="text1"/>
          <w:sz w:val="20"/>
          <w:szCs w:val="20"/>
        </w:rPr>
        <w:t xml:space="preserve"> Dans Le Levant : Un </w:t>
      </w:r>
      <w:proofErr w:type="spellStart"/>
      <w:r w:rsidRPr="002A6CDB">
        <w:rPr>
          <w:rFonts w:asciiTheme="majorBidi" w:hAnsiTheme="majorBidi" w:cstheme="majorBidi"/>
          <w:i/>
          <w:iCs/>
          <w:color w:val="000000" w:themeColor="text1"/>
          <w:sz w:val="20"/>
          <w:szCs w:val="20"/>
        </w:rPr>
        <w:t>Recueil</w:t>
      </w:r>
      <w:proofErr w:type="spellEnd"/>
      <w:r w:rsidRPr="002A6CDB">
        <w:rPr>
          <w:rFonts w:asciiTheme="majorBidi" w:hAnsiTheme="majorBidi" w:cstheme="majorBidi"/>
          <w:i/>
          <w:iCs/>
          <w:color w:val="000000" w:themeColor="text1"/>
          <w:sz w:val="20"/>
          <w:szCs w:val="20"/>
        </w:rPr>
        <w:t xml:space="preserve"> </w:t>
      </w:r>
      <w:proofErr w:type="spellStart"/>
      <w:r w:rsidRPr="002A6CDB">
        <w:rPr>
          <w:rFonts w:asciiTheme="majorBidi" w:hAnsiTheme="majorBidi" w:cstheme="majorBidi"/>
          <w:i/>
          <w:iCs/>
          <w:color w:val="000000" w:themeColor="text1"/>
          <w:sz w:val="20"/>
          <w:szCs w:val="20"/>
        </w:rPr>
        <w:t>d’Articles</w:t>
      </w:r>
      <w:proofErr w:type="spellEnd"/>
      <w:r w:rsidRPr="002A6CDB">
        <w:rPr>
          <w:rFonts w:asciiTheme="majorBidi" w:hAnsiTheme="majorBidi" w:cstheme="majorBidi"/>
          <w:i/>
          <w:iCs/>
          <w:color w:val="000000" w:themeColor="text1"/>
          <w:sz w:val="20"/>
          <w:szCs w:val="20"/>
        </w:rPr>
        <w:t xml:space="preserve"> Sur </w:t>
      </w:r>
      <w:proofErr w:type="spellStart"/>
      <w:r w:rsidRPr="002A6CDB">
        <w:rPr>
          <w:rFonts w:asciiTheme="majorBidi" w:hAnsiTheme="majorBidi" w:cstheme="majorBidi"/>
          <w:i/>
          <w:iCs/>
          <w:color w:val="000000" w:themeColor="text1"/>
          <w:sz w:val="20"/>
          <w:szCs w:val="20"/>
        </w:rPr>
        <w:t>L’historie</w:t>
      </w:r>
      <w:proofErr w:type="spellEnd"/>
      <w:r w:rsidRPr="002A6CDB">
        <w:rPr>
          <w:rFonts w:asciiTheme="majorBidi" w:hAnsiTheme="majorBidi" w:cstheme="majorBidi"/>
          <w:i/>
          <w:iCs/>
          <w:color w:val="000000" w:themeColor="text1"/>
          <w:sz w:val="20"/>
          <w:szCs w:val="20"/>
        </w:rPr>
        <w:t xml:space="preserve"> Financière et Diplomatique </w:t>
      </w:r>
      <w:proofErr w:type="spellStart"/>
      <w:r w:rsidRPr="002A6CDB">
        <w:rPr>
          <w:rFonts w:asciiTheme="majorBidi" w:hAnsiTheme="majorBidi" w:cstheme="majorBidi"/>
          <w:i/>
          <w:iCs/>
          <w:color w:val="000000" w:themeColor="text1"/>
          <w:sz w:val="20"/>
          <w:szCs w:val="20"/>
        </w:rPr>
        <w:t>Ottomane</w:t>
      </w:r>
      <w:proofErr w:type="spellEnd"/>
      <w:r w:rsidRPr="002A6CDB">
        <w:rPr>
          <w:rFonts w:asciiTheme="majorBidi" w:hAnsiTheme="majorBidi" w:cstheme="majorBidi"/>
          <w:color w:val="000000" w:themeColor="text1"/>
          <w:sz w:val="20"/>
          <w:szCs w:val="20"/>
          <w:shd w:val="clear" w:color="auto" w:fill="FFFFFF"/>
        </w:rPr>
        <w:t xml:space="preserve">. (Ed.) </w:t>
      </w:r>
      <w:proofErr w:type="spellStart"/>
      <w:r w:rsidRPr="002A6CDB">
        <w:rPr>
          <w:rFonts w:asciiTheme="majorBidi" w:hAnsiTheme="majorBidi" w:cstheme="majorBidi"/>
          <w:color w:val="000000" w:themeColor="text1"/>
          <w:sz w:val="20"/>
          <w:szCs w:val="20"/>
          <w:shd w:val="clear" w:color="auto" w:fill="FFFFFF"/>
        </w:rPr>
        <w:t>Sadık</w:t>
      </w:r>
      <w:proofErr w:type="spellEnd"/>
      <w:r w:rsidRPr="002A6CDB">
        <w:rPr>
          <w:rFonts w:asciiTheme="majorBidi" w:hAnsiTheme="majorBidi" w:cstheme="majorBidi"/>
          <w:color w:val="000000" w:themeColor="text1"/>
          <w:sz w:val="20"/>
          <w:szCs w:val="20"/>
          <w:shd w:val="clear" w:color="auto" w:fill="FFFFFF"/>
        </w:rPr>
        <w:t xml:space="preserve"> Müfit Bilge and Serkan Keçeci. (İstanbul: </w:t>
      </w:r>
      <w:proofErr w:type="spellStart"/>
      <w:r w:rsidRPr="002A6CDB">
        <w:rPr>
          <w:rFonts w:asciiTheme="majorBidi" w:hAnsiTheme="majorBidi" w:cstheme="majorBidi"/>
          <w:color w:val="000000" w:themeColor="text1"/>
          <w:sz w:val="20"/>
          <w:szCs w:val="20"/>
          <w:shd w:val="clear" w:color="auto" w:fill="FFFFFF"/>
        </w:rPr>
        <w:t>Kitabevi</w:t>
      </w:r>
      <w:proofErr w:type="spellEnd"/>
      <w:r w:rsidRPr="002A6CDB">
        <w:rPr>
          <w:rFonts w:asciiTheme="majorBidi" w:hAnsiTheme="majorBidi" w:cstheme="majorBidi"/>
          <w:color w:val="000000" w:themeColor="text1"/>
          <w:sz w:val="20"/>
          <w:szCs w:val="20"/>
          <w:shd w:val="clear" w:color="auto" w:fill="FFFFFF"/>
        </w:rPr>
        <w:t xml:space="preserve"> </w:t>
      </w:r>
      <w:proofErr w:type="spellStart"/>
      <w:r w:rsidRPr="002A6CDB">
        <w:rPr>
          <w:rFonts w:asciiTheme="majorBidi" w:hAnsiTheme="majorBidi" w:cstheme="majorBidi"/>
          <w:color w:val="000000" w:themeColor="text1"/>
          <w:sz w:val="20"/>
          <w:szCs w:val="20"/>
          <w:shd w:val="clear" w:color="auto" w:fill="FFFFFF"/>
        </w:rPr>
        <w:t>Yayinlari</w:t>
      </w:r>
      <w:proofErr w:type="spellEnd"/>
      <w:r w:rsidRPr="002A6CDB">
        <w:rPr>
          <w:rFonts w:asciiTheme="majorBidi" w:hAnsiTheme="majorBidi" w:cstheme="majorBidi"/>
          <w:color w:val="000000" w:themeColor="text1"/>
          <w:sz w:val="20"/>
          <w:szCs w:val="20"/>
          <w:shd w:val="clear" w:color="auto" w:fill="FFFFFF"/>
        </w:rPr>
        <w:t xml:space="preserve">, 2024), p.99-105. Pascal Carmont, and Bernard Dorin. </w:t>
      </w:r>
      <w:r w:rsidRPr="002A6CDB">
        <w:rPr>
          <w:rFonts w:asciiTheme="majorBidi" w:hAnsiTheme="majorBidi" w:cstheme="majorBidi"/>
          <w:i/>
          <w:iCs/>
          <w:color w:val="000000" w:themeColor="text1"/>
          <w:sz w:val="20"/>
          <w:szCs w:val="20"/>
        </w:rPr>
        <w:t>The Amiras : Lords of Ottoman Armenia</w:t>
      </w:r>
      <w:r w:rsidRPr="002A6CDB">
        <w:rPr>
          <w:rFonts w:asciiTheme="majorBidi" w:hAnsiTheme="majorBidi" w:cstheme="majorBidi"/>
          <w:color w:val="000000" w:themeColor="text1"/>
          <w:sz w:val="20"/>
          <w:szCs w:val="20"/>
          <w:shd w:val="clear" w:color="auto" w:fill="FFFFFF"/>
        </w:rPr>
        <w:t xml:space="preserve">. Translated by Marika Blandin. (London: </w:t>
      </w:r>
      <w:proofErr w:type="spellStart"/>
      <w:r w:rsidRPr="002A6CDB">
        <w:rPr>
          <w:rFonts w:asciiTheme="majorBidi" w:hAnsiTheme="majorBidi" w:cstheme="majorBidi"/>
          <w:color w:val="000000" w:themeColor="text1"/>
          <w:sz w:val="20"/>
          <w:szCs w:val="20"/>
          <w:shd w:val="clear" w:color="auto" w:fill="FFFFFF"/>
        </w:rPr>
        <w:t>Taderon</w:t>
      </w:r>
      <w:proofErr w:type="spellEnd"/>
      <w:r w:rsidRPr="002A6CDB">
        <w:rPr>
          <w:rFonts w:asciiTheme="majorBidi" w:hAnsiTheme="majorBidi" w:cstheme="majorBidi"/>
          <w:color w:val="000000" w:themeColor="text1"/>
          <w:sz w:val="20"/>
          <w:szCs w:val="20"/>
          <w:shd w:val="clear" w:color="auto" w:fill="FFFFFF"/>
        </w:rPr>
        <w:t xml:space="preserve"> Press., 2012).</w:t>
      </w:r>
      <w:r w:rsidR="002A6CDB" w:rsidRPr="002A6CDB">
        <w:rPr>
          <w:rFonts w:asciiTheme="majorBidi" w:hAnsiTheme="majorBidi" w:cstheme="majorBidi"/>
          <w:color w:val="000000" w:themeColor="text1"/>
          <w:sz w:val="20"/>
          <w:szCs w:val="20"/>
          <w:shd w:val="clear" w:color="auto" w:fill="FFFFFF"/>
        </w:rPr>
        <w:t xml:space="preserve"> </w:t>
      </w:r>
      <w:proofErr w:type="spellStart"/>
      <w:r w:rsidR="002A6CDB" w:rsidRPr="002A6CDB">
        <w:rPr>
          <w:rFonts w:asciiTheme="majorBidi" w:hAnsiTheme="majorBidi" w:cstheme="majorBidi"/>
          <w:sz w:val="20"/>
          <w:szCs w:val="20"/>
        </w:rPr>
        <w:t>Archag</w:t>
      </w:r>
      <w:proofErr w:type="spellEnd"/>
      <w:r w:rsidR="002A6CDB" w:rsidRPr="002A6CDB">
        <w:rPr>
          <w:rFonts w:asciiTheme="majorBidi" w:hAnsiTheme="majorBidi" w:cstheme="majorBidi"/>
          <w:sz w:val="20"/>
          <w:szCs w:val="20"/>
        </w:rPr>
        <w:t xml:space="preserve"> </w:t>
      </w:r>
      <w:proofErr w:type="spellStart"/>
      <w:r w:rsidR="002A6CDB" w:rsidRPr="002A6CDB">
        <w:rPr>
          <w:rFonts w:asciiTheme="majorBidi" w:hAnsiTheme="majorBidi" w:cstheme="majorBidi"/>
          <w:sz w:val="20"/>
          <w:szCs w:val="20"/>
        </w:rPr>
        <w:t>Alboyadjian</w:t>
      </w:r>
      <w:proofErr w:type="spellEnd"/>
      <w:r w:rsidR="002A6CDB" w:rsidRPr="002A6CDB">
        <w:rPr>
          <w:rFonts w:asciiTheme="majorBidi" w:hAnsiTheme="majorBidi" w:cstheme="majorBidi"/>
          <w:sz w:val="20"/>
          <w:szCs w:val="20"/>
        </w:rPr>
        <w:t>, Les Dadian, (Le Caire, 1965)</w:t>
      </w:r>
      <w:r w:rsidR="002A6CDB">
        <w:rPr>
          <w:rFonts w:asciiTheme="majorBidi" w:hAnsiTheme="majorBidi" w:cstheme="majorBidi"/>
          <w:sz w:val="20"/>
          <w:szCs w:val="20"/>
        </w:rPr>
        <w:t>, p.39</w:t>
      </w:r>
      <w:r w:rsidR="002F6508">
        <w:rPr>
          <w:rFonts w:asciiTheme="majorBidi" w:hAnsiTheme="majorBidi" w:cstheme="majorBidi"/>
          <w:sz w:val="20"/>
          <w:szCs w:val="20"/>
        </w:rPr>
        <w:t>.</w:t>
      </w:r>
    </w:p>
  </w:footnote>
  <w:footnote w:id="16">
    <w:p w14:paraId="56433EBA" w14:textId="77777777" w:rsidR="00AD57B9" w:rsidRPr="00986F28" w:rsidRDefault="00AD57B9" w:rsidP="00AD57B9">
      <w:pPr>
        <w:pStyle w:val="FootnoteText"/>
        <w:rPr>
          <w:rFonts w:asciiTheme="majorBidi" w:hAnsiTheme="majorBidi" w:cstheme="majorBidi"/>
        </w:rPr>
      </w:pPr>
      <w:r w:rsidRPr="00986F28">
        <w:rPr>
          <w:rStyle w:val="FootnoteReference"/>
          <w:rFonts w:asciiTheme="majorBidi" w:hAnsiTheme="majorBidi" w:cstheme="majorBidi"/>
        </w:rPr>
        <w:footnoteRef/>
      </w:r>
      <w:r w:rsidRPr="00986F28">
        <w:rPr>
          <w:rFonts w:asciiTheme="majorBidi" w:hAnsiTheme="majorBidi" w:cstheme="majorBidi"/>
        </w:rPr>
        <w:t xml:space="preserve"> </w:t>
      </w:r>
      <w:r>
        <w:rPr>
          <w:rFonts w:asciiTheme="majorBidi" w:hAnsiTheme="majorBidi" w:cstheme="majorBidi"/>
        </w:rPr>
        <w:t xml:space="preserve">Ali Yaycioglu, “ </w:t>
      </w:r>
      <w:proofErr w:type="spellStart"/>
      <w:r>
        <w:rPr>
          <w:rFonts w:asciiTheme="majorBidi" w:hAnsiTheme="majorBidi" w:cstheme="majorBidi"/>
        </w:rPr>
        <w:t>Perdenin</w:t>
      </w:r>
      <w:proofErr w:type="spellEnd"/>
      <w:r>
        <w:rPr>
          <w:rFonts w:asciiTheme="majorBidi" w:hAnsiTheme="majorBidi" w:cstheme="majorBidi"/>
        </w:rPr>
        <w:t xml:space="preserve"> </w:t>
      </w:r>
      <w:proofErr w:type="spellStart"/>
      <w:r>
        <w:rPr>
          <w:rFonts w:asciiTheme="majorBidi" w:hAnsiTheme="majorBidi" w:cstheme="majorBidi"/>
        </w:rPr>
        <w:t>Arkasindakiler</w:t>
      </w:r>
      <w:proofErr w:type="spellEnd"/>
      <w:r>
        <w:rPr>
          <w:rFonts w:asciiTheme="majorBidi" w:hAnsiTheme="majorBidi" w:cstheme="majorBidi"/>
        </w:rPr>
        <w:t xml:space="preserve">: Osmanli </w:t>
      </w:r>
      <w:proofErr w:type="spellStart"/>
      <w:r>
        <w:rPr>
          <w:rFonts w:asciiTheme="majorBidi" w:hAnsiTheme="majorBidi" w:cstheme="majorBidi"/>
        </w:rPr>
        <w:t>Imparatorlugu’nda</w:t>
      </w:r>
      <w:proofErr w:type="spellEnd"/>
      <w:r>
        <w:rPr>
          <w:rFonts w:asciiTheme="majorBidi" w:hAnsiTheme="majorBidi" w:cstheme="majorBidi"/>
        </w:rPr>
        <w:t xml:space="preserve"> </w:t>
      </w:r>
      <w:proofErr w:type="spellStart"/>
      <w:r>
        <w:rPr>
          <w:rFonts w:asciiTheme="majorBidi" w:hAnsiTheme="majorBidi" w:cstheme="majorBidi"/>
        </w:rPr>
        <w:t>Sarraflar</w:t>
      </w:r>
      <w:proofErr w:type="spellEnd"/>
      <w:r>
        <w:rPr>
          <w:rFonts w:asciiTheme="majorBidi" w:hAnsiTheme="majorBidi" w:cstheme="majorBidi"/>
        </w:rPr>
        <w:t xml:space="preserve"> </w:t>
      </w:r>
      <w:proofErr w:type="spellStart"/>
      <w:r>
        <w:rPr>
          <w:rFonts w:asciiTheme="majorBidi" w:hAnsiTheme="majorBidi" w:cstheme="majorBidi"/>
        </w:rPr>
        <w:t>ve</w:t>
      </w:r>
      <w:proofErr w:type="spellEnd"/>
      <w:r>
        <w:rPr>
          <w:rFonts w:asciiTheme="majorBidi" w:hAnsiTheme="majorBidi" w:cstheme="majorBidi"/>
        </w:rPr>
        <w:t xml:space="preserve"> Finans </w:t>
      </w:r>
      <w:proofErr w:type="spellStart"/>
      <w:r>
        <w:rPr>
          <w:rFonts w:asciiTheme="majorBidi" w:hAnsiTheme="majorBidi" w:cstheme="majorBidi"/>
        </w:rPr>
        <w:t>Aglari</w:t>
      </w:r>
      <w:proofErr w:type="spellEnd"/>
      <w:r>
        <w:rPr>
          <w:rFonts w:asciiTheme="majorBidi" w:hAnsiTheme="majorBidi" w:cstheme="majorBidi"/>
        </w:rPr>
        <w:t xml:space="preserve"> </w:t>
      </w:r>
      <w:proofErr w:type="spellStart"/>
      <w:r>
        <w:rPr>
          <w:rFonts w:asciiTheme="majorBidi" w:hAnsiTheme="majorBidi" w:cstheme="majorBidi"/>
        </w:rPr>
        <w:t>Uzerine</w:t>
      </w:r>
      <w:proofErr w:type="spellEnd"/>
      <w:r>
        <w:rPr>
          <w:rFonts w:asciiTheme="majorBidi" w:hAnsiTheme="majorBidi" w:cstheme="majorBidi"/>
        </w:rPr>
        <w:t xml:space="preserve"> Bir Deneme,” </w:t>
      </w:r>
      <w:r w:rsidRPr="00A75CD7">
        <w:rPr>
          <w:rFonts w:asciiTheme="majorBidi" w:hAnsiTheme="majorBidi" w:cstheme="majorBidi"/>
          <w:i/>
          <w:iCs/>
        </w:rPr>
        <w:t>Journal of Turkish Studies</w:t>
      </w:r>
      <w:r>
        <w:rPr>
          <w:rFonts w:asciiTheme="majorBidi" w:hAnsiTheme="majorBidi" w:cstheme="majorBidi"/>
        </w:rPr>
        <w:t>, Vol.52, December 2019, p.376-7.</w:t>
      </w:r>
    </w:p>
  </w:footnote>
  <w:footnote w:id="17">
    <w:p w14:paraId="6CCA4A20" w14:textId="77777777" w:rsidR="00AD57B9" w:rsidRPr="00986F28" w:rsidRDefault="00AD57B9" w:rsidP="00AD57B9">
      <w:pPr>
        <w:pStyle w:val="FootnoteText"/>
        <w:rPr>
          <w:rFonts w:asciiTheme="majorBidi" w:hAnsiTheme="majorBidi" w:cstheme="majorBidi"/>
        </w:rPr>
      </w:pPr>
      <w:r w:rsidRPr="00986F28">
        <w:rPr>
          <w:rStyle w:val="FootnoteReference"/>
          <w:rFonts w:asciiTheme="majorBidi" w:hAnsiTheme="majorBidi" w:cstheme="majorBidi"/>
        </w:rPr>
        <w:footnoteRef/>
      </w:r>
      <w:r w:rsidRPr="00986F28">
        <w:rPr>
          <w:rFonts w:asciiTheme="majorBidi" w:hAnsiTheme="majorBidi" w:cstheme="majorBidi"/>
        </w:rPr>
        <w:t xml:space="preserve"> </w:t>
      </w:r>
      <w:r w:rsidRPr="00591C45">
        <w:rPr>
          <w:rFonts w:asciiTheme="majorBidi" w:hAnsiTheme="majorBidi" w:cstheme="majorBidi"/>
        </w:rPr>
        <w:t xml:space="preserve">Saro Dadyan, “Osmanli </w:t>
      </w:r>
      <w:proofErr w:type="spellStart"/>
      <w:r w:rsidRPr="00591C45">
        <w:rPr>
          <w:rFonts w:asciiTheme="majorBidi" w:hAnsiTheme="majorBidi" w:cstheme="majorBidi"/>
        </w:rPr>
        <w:t>Ermenilerinin</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Tarihindeki</w:t>
      </w:r>
      <w:proofErr w:type="spellEnd"/>
      <w:r w:rsidRPr="00591C45">
        <w:rPr>
          <w:rFonts w:asciiTheme="majorBidi" w:hAnsiTheme="majorBidi" w:cstheme="majorBidi"/>
        </w:rPr>
        <w:t xml:space="preserve"> En </w:t>
      </w:r>
      <w:proofErr w:type="spellStart"/>
      <w:r w:rsidRPr="00591C45">
        <w:rPr>
          <w:rFonts w:asciiTheme="majorBidi" w:hAnsiTheme="majorBidi" w:cstheme="majorBidi"/>
        </w:rPr>
        <w:t>Buyuk</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Filantrop</w:t>
      </w:r>
      <w:proofErr w:type="spellEnd"/>
      <w:r w:rsidRPr="00591C45">
        <w:rPr>
          <w:rFonts w:asciiTheme="majorBidi" w:hAnsiTheme="majorBidi" w:cstheme="majorBidi"/>
        </w:rPr>
        <w:t xml:space="preserve"> Kazaz Artin Amira Bezciyan,” </w:t>
      </w:r>
      <w:proofErr w:type="spellStart"/>
      <w:r w:rsidRPr="00591C45">
        <w:rPr>
          <w:rFonts w:asciiTheme="majorBidi" w:hAnsiTheme="majorBidi" w:cstheme="majorBidi"/>
          <w:i/>
          <w:iCs/>
        </w:rPr>
        <w:t>Toplumsal</w:t>
      </w:r>
      <w:proofErr w:type="spellEnd"/>
      <w:r w:rsidRPr="00591C45">
        <w:rPr>
          <w:rFonts w:asciiTheme="majorBidi" w:hAnsiTheme="majorBidi" w:cstheme="majorBidi"/>
          <w:i/>
          <w:iCs/>
        </w:rPr>
        <w:t xml:space="preserve"> Tarih</w:t>
      </w:r>
      <w:r w:rsidRPr="00591C45">
        <w:rPr>
          <w:rFonts w:asciiTheme="majorBidi" w:hAnsiTheme="majorBidi" w:cstheme="majorBidi"/>
        </w:rPr>
        <w:t>, 225 Eylul 2012, p.22. Saro Dadyan, “</w:t>
      </w:r>
      <w:proofErr w:type="spellStart"/>
      <w:r w:rsidRPr="00591C45">
        <w:rPr>
          <w:rFonts w:asciiTheme="majorBidi" w:hAnsiTheme="majorBidi" w:cstheme="majorBidi"/>
        </w:rPr>
        <w:t>Ermeni</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Cemaatinin</w:t>
      </w:r>
      <w:proofErr w:type="spellEnd"/>
      <w:r w:rsidRPr="00591C45">
        <w:rPr>
          <w:rFonts w:asciiTheme="majorBidi" w:hAnsiTheme="majorBidi" w:cstheme="majorBidi"/>
        </w:rPr>
        <w:t xml:space="preserve"> Uc </w:t>
      </w:r>
      <w:proofErr w:type="spellStart"/>
      <w:r w:rsidRPr="00591C45">
        <w:rPr>
          <w:rFonts w:asciiTheme="majorBidi" w:hAnsiTheme="majorBidi" w:cstheme="majorBidi"/>
        </w:rPr>
        <w:t>Asirlik</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Liderleri</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Amiralar</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ve</w:t>
      </w:r>
      <w:proofErr w:type="spellEnd"/>
      <w:r w:rsidRPr="00591C45">
        <w:rPr>
          <w:rFonts w:asciiTheme="majorBidi" w:hAnsiTheme="majorBidi" w:cstheme="majorBidi"/>
        </w:rPr>
        <w:t xml:space="preserve"> </w:t>
      </w:r>
      <w:proofErr w:type="spellStart"/>
      <w:r w:rsidRPr="00591C45">
        <w:rPr>
          <w:rFonts w:asciiTheme="majorBidi" w:hAnsiTheme="majorBidi" w:cstheme="majorBidi"/>
        </w:rPr>
        <w:t>Haskoy</w:t>
      </w:r>
      <w:proofErr w:type="spellEnd"/>
      <w:r w:rsidRPr="00591C45">
        <w:rPr>
          <w:rFonts w:asciiTheme="majorBidi" w:hAnsiTheme="majorBidi" w:cstheme="majorBidi"/>
        </w:rPr>
        <w:t xml:space="preserve">,” Osmanli </w:t>
      </w:r>
      <w:proofErr w:type="spellStart"/>
      <w:r w:rsidRPr="00591C45">
        <w:rPr>
          <w:rFonts w:asciiTheme="majorBidi" w:hAnsiTheme="majorBidi" w:cstheme="majorBidi"/>
        </w:rPr>
        <w:t>Istanbulu</w:t>
      </w:r>
      <w:proofErr w:type="spellEnd"/>
      <w:r w:rsidRPr="00591C45">
        <w:rPr>
          <w:rFonts w:asciiTheme="majorBidi" w:hAnsiTheme="majorBidi" w:cstheme="majorBidi"/>
        </w:rPr>
        <w:t xml:space="preserve"> IV, p.271</w:t>
      </w:r>
    </w:p>
  </w:footnote>
  <w:footnote w:id="18">
    <w:p w14:paraId="731B64D3" w14:textId="633BC992" w:rsidR="000F2AA5" w:rsidRPr="002F6508" w:rsidRDefault="000F2AA5" w:rsidP="002F6508">
      <w:pPr>
        <w:jc w:val="both"/>
        <w:rPr>
          <w:rFonts w:asciiTheme="majorBidi" w:hAnsiTheme="majorBidi" w:cstheme="majorBidi"/>
          <w:sz w:val="20"/>
          <w:szCs w:val="20"/>
        </w:rPr>
      </w:pPr>
      <w:r>
        <w:rPr>
          <w:rStyle w:val="FootnoteReference"/>
        </w:rPr>
        <w:footnoteRef/>
      </w:r>
      <w:r>
        <w:t xml:space="preserve"> </w:t>
      </w:r>
      <w:r w:rsidR="002F6508" w:rsidRPr="005B0DE7">
        <w:rPr>
          <w:rFonts w:asciiTheme="majorBidi" w:eastAsia="Times New Roman" w:hAnsiTheme="majorBidi" w:cstheme="majorBidi"/>
          <w:color w:val="000000" w:themeColor="text1"/>
          <w:sz w:val="20"/>
          <w:szCs w:val="20"/>
          <w:lang w:val="en-US"/>
        </w:rPr>
        <w:t xml:space="preserve">Arsen Yarman, and Ara Akinean. </w:t>
      </w:r>
      <w:r w:rsidR="002F6508" w:rsidRPr="005B0DE7">
        <w:rPr>
          <w:rFonts w:asciiTheme="majorBidi" w:eastAsia="Times New Roman" w:hAnsiTheme="majorBidi" w:cstheme="majorBidi"/>
          <w:i/>
          <w:iCs/>
          <w:color w:val="000000" w:themeColor="text1"/>
          <w:sz w:val="20"/>
          <w:szCs w:val="20"/>
          <w:lang w:val="en-US"/>
        </w:rPr>
        <w:t>Sultan II. Mahmud Ve Kazaz Artin Amira</w:t>
      </w:r>
      <w:r w:rsidR="002F6508" w:rsidRPr="005B0DE7">
        <w:rPr>
          <w:rFonts w:asciiTheme="majorBidi" w:eastAsia="Times New Roman" w:hAnsiTheme="majorBidi" w:cstheme="majorBidi"/>
          <w:color w:val="000000" w:themeColor="text1"/>
          <w:sz w:val="20"/>
          <w:szCs w:val="20"/>
          <w:lang w:val="en-US"/>
        </w:rPr>
        <w:t xml:space="preserve">. (Ed.) Ali Çakmak. Translated by </w:t>
      </w:r>
      <w:proofErr w:type="spellStart"/>
      <w:r w:rsidR="002F6508" w:rsidRPr="005B0DE7">
        <w:rPr>
          <w:rFonts w:asciiTheme="majorBidi" w:eastAsia="Times New Roman" w:hAnsiTheme="majorBidi" w:cstheme="majorBidi"/>
          <w:color w:val="000000" w:themeColor="text1"/>
          <w:sz w:val="20"/>
          <w:szCs w:val="20"/>
          <w:lang w:val="en-US"/>
        </w:rPr>
        <w:t>Tʻovmas</w:t>
      </w:r>
      <w:proofErr w:type="spellEnd"/>
      <w:r w:rsidR="002F6508" w:rsidRPr="005B0DE7">
        <w:rPr>
          <w:rFonts w:asciiTheme="majorBidi" w:eastAsia="Times New Roman" w:hAnsiTheme="majorBidi" w:cstheme="majorBidi"/>
          <w:color w:val="000000" w:themeColor="text1"/>
          <w:sz w:val="20"/>
          <w:szCs w:val="20"/>
          <w:lang w:val="en-US"/>
        </w:rPr>
        <w:t xml:space="preserve"> Tʻerzyan. (İstanbul: </w:t>
      </w:r>
      <w:proofErr w:type="spellStart"/>
      <w:r w:rsidR="002F6508" w:rsidRPr="005B0DE7">
        <w:rPr>
          <w:rFonts w:asciiTheme="majorBidi" w:eastAsia="Times New Roman" w:hAnsiTheme="majorBidi" w:cstheme="majorBidi"/>
          <w:color w:val="000000" w:themeColor="text1"/>
          <w:sz w:val="20"/>
          <w:szCs w:val="20"/>
          <w:lang w:val="en-US"/>
        </w:rPr>
        <w:t>Surp</w:t>
      </w:r>
      <w:proofErr w:type="spellEnd"/>
      <w:r w:rsidR="002F6508" w:rsidRPr="005B0DE7">
        <w:rPr>
          <w:rFonts w:asciiTheme="majorBidi" w:eastAsia="Times New Roman" w:hAnsiTheme="majorBidi" w:cstheme="majorBidi"/>
          <w:color w:val="000000" w:themeColor="text1"/>
          <w:sz w:val="20"/>
          <w:szCs w:val="20"/>
          <w:lang w:val="en-US"/>
        </w:rPr>
        <w:t xml:space="preserve"> </w:t>
      </w:r>
      <w:proofErr w:type="spellStart"/>
      <w:r w:rsidR="002F6508" w:rsidRPr="005B0DE7">
        <w:rPr>
          <w:rFonts w:asciiTheme="majorBidi" w:eastAsia="Times New Roman" w:hAnsiTheme="majorBidi" w:cstheme="majorBidi"/>
          <w:color w:val="000000" w:themeColor="text1"/>
          <w:sz w:val="20"/>
          <w:szCs w:val="20"/>
          <w:lang w:val="en-US"/>
        </w:rPr>
        <w:t>Pırgiç</w:t>
      </w:r>
      <w:proofErr w:type="spellEnd"/>
      <w:r w:rsidR="002F6508" w:rsidRPr="005B0DE7">
        <w:rPr>
          <w:rFonts w:asciiTheme="majorBidi" w:eastAsia="Times New Roman" w:hAnsiTheme="majorBidi" w:cstheme="majorBidi"/>
          <w:color w:val="000000" w:themeColor="text1"/>
          <w:sz w:val="20"/>
          <w:szCs w:val="20"/>
          <w:lang w:val="en-US"/>
        </w:rPr>
        <w:t xml:space="preserve"> </w:t>
      </w:r>
      <w:proofErr w:type="spellStart"/>
      <w:r w:rsidR="002F6508" w:rsidRPr="005B0DE7">
        <w:rPr>
          <w:rFonts w:asciiTheme="majorBidi" w:eastAsia="Times New Roman" w:hAnsiTheme="majorBidi" w:cstheme="majorBidi"/>
          <w:color w:val="000000" w:themeColor="text1"/>
          <w:sz w:val="20"/>
          <w:szCs w:val="20"/>
          <w:lang w:val="en-US"/>
        </w:rPr>
        <w:t>Ermeni</w:t>
      </w:r>
      <w:proofErr w:type="spellEnd"/>
      <w:r w:rsidR="002F6508" w:rsidRPr="005B0DE7">
        <w:rPr>
          <w:rFonts w:asciiTheme="majorBidi" w:eastAsia="Times New Roman" w:hAnsiTheme="majorBidi" w:cstheme="majorBidi"/>
          <w:color w:val="000000" w:themeColor="text1"/>
          <w:sz w:val="20"/>
          <w:szCs w:val="20"/>
          <w:lang w:val="en-US"/>
        </w:rPr>
        <w:t xml:space="preserve"> Hastanesi </w:t>
      </w:r>
      <w:proofErr w:type="spellStart"/>
      <w:r w:rsidR="002F6508" w:rsidRPr="005B0DE7">
        <w:rPr>
          <w:rFonts w:asciiTheme="majorBidi" w:eastAsia="Times New Roman" w:hAnsiTheme="majorBidi" w:cstheme="majorBidi"/>
          <w:color w:val="000000" w:themeColor="text1"/>
          <w:sz w:val="20"/>
          <w:szCs w:val="20"/>
          <w:lang w:val="en-US"/>
        </w:rPr>
        <w:t>Vakfı</w:t>
      </w:r>
      <w:proofErr w:type="spellEnd"/>
      <w:r w:rsidR="002F6508" w:rsidRPr="005B0DE7">
        <w:rPr>
          <w:rFonts w:asciiTheme="majorBidi" w:eastAsia="Times New Roman" w:hAnsiTheme="majorBidi" w:cstheme="majorBidi"/>
          <w:color w:val="000000" w:themeColor="text1"/>
          <w:sz w:val="20"/>
          <w:szCs w:val="20"/>
          <w:lang w:val="en-US"/>
        </w:rPr>
        <w:t xml:space="preserve"> </w:t>
      </w:r>
      <w:proofErr w:type="spellStart"/>
      <w:r w:rsidR="002F6508" w:rsidRPr="005B0DE7">
        <w:rPr>
          <w:rFonts w:asciiTheme="majorBidi" w:eastAsia="Times New Roman" w:hAnsiTheme="majorBidi" w:cstheme="majorBidi"/>
          <w:color w:val="000000" w:themeColor="text1"/>
          <w:sz w:val="20"/>
          <w:szCs w:val="20"/>
          <w:lang w:val="en-US"/>
        </w:rPr>
        <w:t>Kültür</w:t>
      </w:r>
      <w:proofErr w:type="spellEnd"/>
      <w:r w:rsidR="002F6508" w:rsidRPr="005B0DE7">
        <w:rPr>
          <w:rFonts w:asciiTheme="majorBidi" w:eastAsia="Times New Roman" w:hAnsiTheme="majorBidi" w:cstheme="majorBidi"/>
          <w:color w:val="000000" w:themeColor="text1"/>
          <w:sz w:val="20"/>
          <w:szCs w:val="20"/>
          <w:lang w:val="en-US"/>
        </w:rPr>
        <w:t xml:space="preserve"> </w:t>
      </w:r>
      <w:proofErr w:type="spellStart"/>
      <w:r w:rsidR="002F6508" w:rsidRPr="005B0DE7">
        <w:rPr>
          <w:rFonts w:asciiTheme="majorBidi" w:eastAsia="Times New Roman" w:hAnsiTheme="majorBidi" w:cstheme="majorBidi"/>
          <w:color w:val="000000" w:themeColor="text1"/>
          <w:sz w:val="20"/>
          <w:szCs w:val="20"/>
          <w:lang w:val="en-US"/>
        </w:rPr>
        <w:t>Yayınları</w:t>
      </w:r>
      <w:proofErr w:type="spellEnd"/>
      <w:r w:rsidR="002F6508" w:rsidRPr="005B0DE7">
        <w:rPr>
          <w:rFonts w:asciiTheme="majorBidi" w:eastAsia="Times New Roman" w:hAnsiTheme="majorBidi" w:cstheme="majorBidi"/>
          <w:color w:val="000000" w:themeColor="text1"/>
          <w:sz w:val="20"/>
          <w:szCs w:val="20"/>
          <w:lang w:val="en-US"/>
        </w:rPr>
        <w:t>. 2013).</w:t>
      </w:r>
    </w:p>
  </w:footnote>
  <w:footnote w:id="19">
    <w:p w14:paraId="7DBF97ED" w14:textId="687A03C6" w:rsidR="002F6508" w:rsidRPr="002F6508" w:rsidRDefault="00AD57B9" w:rsidP="002F6508">
      <w:pPr>
        <w:jc w:val="both"/>
        <w:rPr>
          <w:rFonts w:asciiTheme="majorBidi" w:hAnsiTheme="majorBidi" w:cstheme="majorBidi"/>
          <w:sz w:val="20"/>
          <w:szCs w:val="20"/>
        </w:rPr>
      </w:pPr>
      <w:r w:rsidRPr="002F6508">
        <w:rPr>
          <w:rStyle w:val="FootnoteReference"/>
          <w:rFonts w:asciiTheme="majorBidi" w:hAnsiTheme="majorBidi" w:cstheme="majorBidi"/>
          <w:sz w:val="20"/>
          <w:szCs w:val="20"/>
        </w:rPr>
        <w:footnoteRef/>
      </w:r>
      <w:r w:rsidRPr="002F6508">
        <w:rPr>
          <w:rFonts w:asciiTheme="majorBidi" w:hAnsiTheme="majorBidi" w:cstheme="majorBidi"/>
          <w:sz w:val="20"/>
          <w:szCs w:val="20"/>
        </w:rPr>
        <w:t xml:space="preserve"> </w:t>
      </w:r>
      <w:r w:rsidR="002F6508" w:rsidRPr="002F6508">
        <w:rPr>
          <w:rFonts w:asciiTheme="majorBidi" w:hAnsiTheme="majorBidi" w:cstheme="majorBidi"/>
          <w:sz w:val="20"/>
          <w:szCs w:val="20"/>
        </w:rPr>
        <w:t>Aviv Derri, The Ottoman Sarraf, Public Debt, and Usury Laws: Rethinking Capitalism and Empire beyond Anomalies, Comparative Studies in Society and History (2025), 67: 4, 916–942</w:t>
      </w:r>
    </w:p>
    <w:p w14:paraId="278A9554" w14:textId="3A3451BD" w:rsidR="00AD57B9" w:rsidRPr="002F6508" w:rsidRDefault="00AD57B9" w:rsidP="00AD57B9">
      <w:pPr>
        <w:spacing w:line="240" w:lineRule="auto"/>
        <w:rPr>
          <w:rFonts w:asciiTheme="majorBidi" w:eastAsia="Times New Roman" w:hAnsiTheme="majorBidi" w:cstheme="majorBidi"/>
          <w:color w:val="000000" w:themeColor="text1"/>
          <w:sz w:val="20"/>
          <w:szCs w:val="20"/>
        </w:rPr>
      </w:pPr>
    </w:p>
  </w:footnote>
  <w:footnote w:id="20">
    <w:p w14:paraId="0A8F79FB" w14:textId="77777777" w:rsidR="00AD57B9" w:rsidRDefault="00AD57B9" w:rsidP="00AD57B9">
      <w:pPr>
        <w:pStyle w:val="FootnoteText"/>
      </w:pPr>
      <w:r>
        <w:rPr>
          <w:rStyle w:val="FootnoteReference"/>
        </w:rPr>
        <w:footnoteRef/>
      </w:r>
      <w:r>
        <w:t xml:space="preserve"> Hagop Levon Barsoumian, </w:t>
      </w:r>
      <w:r w:rsidRPr="00A2404D">
        <w:rPr>
          <w:rFonts w:asciiTheme="majorBidi" w:hAnsiTheme="majorBidi" w:cstheme="majorBidi"/>
          <w:color w:val="000000" w:themeColor="text1"/>
        </w:rPr>
        <w:t>I</w:t>
      </w:r>
      <w:r w:rsidRPr="00A2404D">
        <w:rPr>
          <w:rFonts w:asciiTheme="majorBidi" w:hAnsiTheme="majorBidi" w:cstheme="majorBidi"/>
          <w:i/>
          <w:iCs/>
          <w:color w:val="000000" w:themeColor="text1"/>
        </w:rPr>
        <w:t>stanbul’un Ermeni Amiralar Sınıfı</w:t>
      </w:r>
      <w:r w:rsidRPr="00A2404D">
        <w:rPr>
          <w:rFonts w:asciiTheme="majorBidi" w:hAnsiTheme="majorBidi" w:cstheme="majorBidi"/>
          <w:color w:val="000000" w:themeColor="text1"/>
          <w:shd w:val="clear" w:color="auto" w:fill="FFFFFF"/>
        </w:rPr>
        <w:t>. (İstanbul: Aras Yayincilik, 2013).</w:t>
      </w:r>
    </w:p>
  </w:footnote>
  <w:footnote w:id="21">
    <w:p w14:paraId="7169D7E7" w14:textId="3A53E90E" w:rsidR="000F2AA5" w:rsidRDefault="000F2AA5">
      <w:pPr>
        <w:pStyle w:val="FootnoteText"/>
      </w:pPr>
      <w:r>
        <w:rPr>
          <w:rStyle w:val="FootnoteReference"/>
        </w:rPr>
        <w:footnoteRef/>
      </w:r>
      <w:r>
        <w:t xml:space="preserve"> Sevket Pamuk,</w:t>
      </w:r>
      <w:r w:rsidR="002A6CDB">
        <w:t xml:space="preserve"> “Debased European Coinage in the Ottoman Empire,” p.351</w:t>
      </w:r>
      <w:r w:rsidR="005C5A8F">
        <w:t>-6</w:t>
      </w:r>
      <w:r w:rsidR="002A6CDB">
        <w:t>.</w:t>
      </w:r>
      <w:r w:rsidR="002F6508">
        <w:t xml:space="preserve"> </w:t>
      </w:r>
      <w:r w:rsidR="002F6508" w:rsidRPr="004A371E">
        <w:rPr>
          <w:rFonts w:asciiTheme="majorBidi" w:hAnsiTheme="majorBidi" w:cstheme="majorBidi"/>
        </w:rPr>
        <w:t xml:space="preserve">Sevket Pamuk, </w:t>
      </w:r>
      <w:r w:rsidR="002F6508" w:rsidRPr="002F6508">
        <w:rPr>
          <w:rFonts w:asciiTheme="majorBidi" w:hAnsiTheme="majorBidi" w:cstheme="majorBidi"/>
          <w:i/>
          <w:iCs/>
        </w:rPr>
        <w:t xml:space="preserve">A </w:t>
      </w:r>
      <w:r w:rsidR="002F6508">
        <w:rPr>
          <w:rFonts w:asciiTheme="majorBidi" w:hAnsiTheme="majorBidi" w:cstheme="majorBidi"/>
          <w:i/>
          <w:iCs/>
        </w:rPr>
        <w:t>M</w:t>
      </w:r>
      <w:r w:rsidR="002F6508" w:rsidRPr="002F6508">
        <w:rPr>
          <w:rFonts w:asciiTheme="majorBidi" w:hAnsiTheme="majorBidi" w:cstheme="majorBidi"/>
          <w:i/>
          <w:iCs/>
        </w:rPr>
        <w:t xml:space="preserve">onetary History of the Ottoman Empire, </w:t>
      </w:r>
      <w:r w:rsidR="002F6508" w:rsidRPr="004A371E">
        <w:rPr>
          <w:rFonts w:asciiTheme="majorBidi" w:hAnsiTheme="majorBidi" w:cstheme="majorBidi"/>
        </w:rPr>
        <w:t>p. 199</w:t>
      </w:r>
    </w:p>
  </w:footnote>
  <w:footnote w:id="22">
    <w:p w14:paraId="7FB53199" w14:textId="446A1232" w:rsidR="000F2AA5" w:rsidRDefault="000F2AA5">
      <w:pPr>
        <w:pStyle w:val="FootnoteText"/>
      </w:pPr>
      <w:r>
        <w:rPr>
          <w:rStyle w:val="FootnoteReference"/>
        </w:rPr>
        <w:footnoteRef/>
      </w:r>
      <w:r>
        <w:t xml:space="preserve"> </w:t>
      </w:r>
      <w:r w:rsidR="005C5A8F">
        <w:t>Ibid.</w:t>
      </w:r>
    </w:p>
  </w:footnote>
  <w:footnote w:id="23">
    <w:p w14:paraId="01842208" w14:textId="0D8D134F" w:rsidR="00634E60" w:rsidRPr="00634E60" w:rsidRDefault="00733EDE" w:rsidP="00634E60">
      <w:pPr>
        <w:pStyle w:val="Heading1"/>
        <w:spacing w:before="0" w:after="0"/>
        <w:rPr>
          <w:rFonts w:asciiTheme="majorBidi" w:hAnsiTheme="majorBidi" w:cstheme="majorBidi"/>
          <w:sz w:val="20"/>
          <w:szCs w:val="20"/>
        </w:rPr>
      </w:pPr>
      <w:r w:rsidRPr="00634E60">
        <w:rPr>
          <w:rStyle w:val="FootnoteReference"/>
          <w:rFonts w:asciiTheme="majorBidi" w:hAnsiTheme="majorBidi" w:cstheme="majorBidi"/>
          <w:sz w:val="20"/>
          <w:szCs w:val="20"/>
        </w:rPr>
        <w:footnoteRef/>
      </w:r>
      <w:r w:rsidRPr="00634E60">
        <w:rPr>
          <w:rFonts w:asciiTheme="majorBidi" w:hAnsiTheme="majorBidi" w:cstheme="majorBidi"/>
          <w:sz w:val="20"/>
          <w:szCs w:val="20"/>
        </w:rPr>
        <w:t xml:space="preserve"> </w:t>
      </w:r>
      <w:r w:rsidR="00791636" w:rsidRPr="00634E60">
        <w:rPr>
          <w:rFonts w:asciiTheme="majorBidi" w:hAnsiTheme="majorBidi" w:cstheme="majorBidi"/>
          <w:sz w:val="20"/>
          <w:szCs w:val="20"/>
        </w:rPr>
        <w:t>Grigor Mkhalean, and Ara Stepan Melkonian. 2014. Bardizag and Its People. London: Gomidas Institute., p.</w:t>
      </w:r>
      <w:r w:rsidR="009D79CF">
        <w:rPr>
          <w:rFonts w:asciiTheme="majorBidi" w:hAnsiTheme="majorBidi" w:cstheme="majorBidi"/>
          <w:sz w:val="20"/>
          <w:szCs w:val="20"/>
        </w:rPr>
        <w:t>107.</w:t>
      </w:r>
      <w:r w:rsidRPr="00634E60">
        <w:rPr>
          <w:rFonts w:asciiTheme="majorBidi" w:hAnsiTheme="majorBidi" w:cstheme="majorBidi"/>
          <w:sz w:val="20"/>
          <w:szCs w:val="20"/>
        </w:rPr>
        <w:t xml:space="preserve"> </w:t>
      </w:r>
      <w:proofErr w:type="spellStart"/>
      <w:r w:rsidRPr="00634E60">
        <w:rPr>
          <w:rFonts w:asciiTheme="majorBidi" w:hAnsiTheme="majorBidi" w:cstheme="majorBidi"/>
          <w:sz w:val="20"/>
          <w:szCs w:val="20"/>
        </w:rPr>
        <w:t>Omer</w:t>
      </w:r>
      <w:r w:rsidR="009D79CF">
        <w:rPr>
          <w:rFonts w:asciiTheme="majorBidi" w:hAnsiTheme="majorBidi" w:cstheme="majorBidi"/>
          <w:sz w:val="20"/>
          <w:szCs w:val="20"/>
        </w:rPr>
        <w:t>ul</w:t>
      </w:r>
      <w:proofErr w:type="spellEnd"/>
      <w:r w:rsidRPr="00634E60">
        <w:rPr>
          <w:rFonts w:asciiTheme="majorBidi" w:hAnsiTheme="majorBidi" w:cstheme="majorBidi"/>
          <w:sz w:val="20"/>
          <w:szCs w:val="20"/>
        </w:rPr>
        <w:t xml:space="preserve"> Faru</w:t>
      </w:r>
      <w:r w:rsidR="009D79CF">
        <w:rPr>
          <w:rFonts w:asciiTheme="majorBidi" w:hAnsiTheme="majorBidi" w:cstheme="majorBidi"/>
          <w:sz w:val="20"/>
          <w:szCs w:val="20"/>
        </w:rPr>
        <w:t>k</w:t>
      </w:r>
      <w:r w:rsidRPr="00634E60">
        <w:rPr>
          <w:rFonts w:asciiTheme="majorBidi" w:hAnsiTheme="majorBidi" w:cstheme="majorBidi"/>
          <w:sz w:val="20"/>
          <w:szCs w:val="20"/>
        </w:rPr>
        <w:t xml:space="preserve"> </w:t>
      </w:r>
      <w:proofErr w:type="spellStart"/>
      <w:r w:rsidRPr="00634E60">
        <w:rPr>
          <w:rFonts w:asciiTheme="majorBidi" w:hAnsiTheme="majorBidi" w:cstheme="majorBidi"/>
          <w:sz w:val="20"/>
          <w:szCs w:val="20"/>
        </w:rPr>
        <w:t>Bolukbasi</w:t>
      </w:r>
      <w:proofErr w:type="spellEnd"/>
      <w:r w:rsidRPr="00634E60">
        <w:rPr>
          <w:rFonts w:asciiTheme="majorBidi" w:hAnsiTheme="majorBidi" w:cstheme="majorBidi"/>
          <w:sz w:val="20"/>
          <w:szCs w:val="20"/>
        </w:rPr>
        <w:t>,</w:t>
      </w:r>
      <w:r w:rsidR="00791636" w:rsidRPr="00634E60">
        <w:rPr>
          <w:rFonts w:asciiTheme="majorBidi" w:hAnsiTheme="majorBidi" w:cstheme="majorBidi"/>
          <w:i/>
          <w:iCs/>
          <w:sz w:val="20"/>
          <w:szCs w:val="20"/>
        </w:rPr>
        <w:t xml:space="preserve"> 18. </w:t>
      </w:r>
      <w:proofErr w:type="spellStart"/>
      <w:r w:rsidR="00791636" w:rsidRPr="00634E60">
        <w:rPr>
          <w:rFonts w:asciiTheme="majorBidi" w:hAnsiTheme="majorBidi" w:cstheme="majorBidi"/>
          <w:i/>
          <w:iCs/>
          <w:sz w:val="20"/>
          <w:szCs w:val="20"/>
        </w:rPr>
        <w:t>Yüzyılın</w:t>
      </w:r>
      <w:proofErr w:type="spellEnd"/>
      <w:r w:rsidR="00791636" w:rsidRPr="00634E60">
        <w:rPr>
          <w:rFonts w:asciiTheme="majorBidi" w:hAnsiTheme="majorBidi" w:cstheme="majorBidi"/>
          <w:i/>
          <w:iCs/>
          <w:sz w:val="20"/>
          <w:szCs w:val="20"/>
        </w:rPr>
        <w:t xml:space="preserve"> </w:t>
      </w:r>
      <w:proofErr w:type="spellStart"/>
      <w:r w:rsidR="00791636" w:rsidRPr="00634E60">
        <w:rPr>
          <w:rFonts w:asciiTheme="majorBidi" w:hAnsiTheme="majorBidi" w:cstheme="majorBidi"/>
          <w:i/>
          <w:iCs/>
          <w:sz w:val="20"/>
          <w:szCs w:val="20"/>
        </w:rPr>
        <w:t>Ikinci</w:t>
      </w:r>
      <w:proofErr w:type="spellEnd"/>
      <w:r w:rsidR="00791636" w:rsidRPr="00634E60">
        <w:rPr>
          <w:rFonts w:asciiTheme="majorBidi" w:hAnsiTheme="majorBidi" w:cstheme="majorBidi"/>
          <w:i/>
          <w:iCs/>
          <w:sz w:val="20"/>
          <w:szCs w:val="20"/>
        </w:rPr>
        <w:t xml:space="preserve"> </w:t>
      </w:r>
      <w:proofErr w:type="spellStart"/>
      <w:r w:rsidR="00791636" w:rsidRPr="00634E60">
        <w:rPr>
          <w:rFonts w:asciiTheme="majorBidi" w:hAnsiTheme="majorBidi" w:cstheme="majorBidi"/>
          <w:i/>
          <w:iCs/>
          <w:sz w:val="20"/>
          <w:szCs w:val="20"/>
        </w:rPr>
        <w:t>Yarısında</w:t>
      </w:r>
      <w:proofErr w:type="spellEnd"/>
      <w:r w:rsidR="00791636" w:rsidRPr="00634E60">
        <w:rPr>
          <w:rFonts w:asciiTheme="majorBidi" w:hAnsiTheme="majorBidi" w:cstheme="majorBidi"/>
          <w:i/>
          <w:iCs/>
          <w:sz w:val="20"/>
          <w:szCs w:val="20"/>
        </w:rPr>
        <w:t xml:space="preserve"> </w:t>
      </w:r>
      <w:proofErr w:type="spellStart"/>
      <w:r w:rsidR="00791636" w:rsidRPr="00634E60">
        <w:rPr>
          <w:rFonts w:asciiTheme="majorBidi" w:hAnsiTheme="majorBidi" w:cstheme="majorBidi"/>
          <w:i/>
          <w:iCs/>
          <w:sz w:val="20"/>
          <w:szCs w:val="20"/>
        </w:rPr>
        <w:t>Darbhâne</w:t>
      </w:r>
      <w:proofErr w:type="spellEnd"/>
      <w:r w:rsidR="00791636" w:rsidRPr="00634E60">
        <w:rPr>
          <w:rFonts w:asciiTheme="majorBidi" w:hAnsiTheme="majorBidi" w:cstheme="majorBidi"/>
          <w:i/>
          <w:iCs/>
          <w:sz w:val="20"/>
          <w:szCs w:val="20"/>
        </w:rPr>
        <w:t xml:space="preserve">-I </w:t>
      </w:r>
      <w:proofErr w:type="spellStart"/>
      <w:r w:rsidR="00791636" w:rsidRPr="00634E60">
        <w:rPr>
          <w:rFonts w:asciiTheme="majorBidi" w:hAnsiTheme="majorBidi" w:cstheme="majorBidi"/>
          <w:i/>
          <w:iCs/>
          <w:sz w:val="20"/>
          <w:szCs w:val="20"/>
        </w:rPr>
        <w:t>Âmire</w:t>
      </w:r>
      <w:proofErr w:type="spellEnd"/>
      <w:r w:rsidR="00791636" w:rsidRPr="00634E60">
        <w:rPr>
          <w:rFonts w:asciiTheme="majorBidi" w:hAnsiTheme="majorBidi" w:cstheme="majorBidi"/>
          <w:sz w:val="20"/>
          <w:szCs w:val="20"/>
          <w:shd w:val="clear" w:color="auto" w:fill="FFFFFF"/>
        </w:rPr>
        <w:t xml:space="preserve">. 1. </w:t>
      </w:r>
      <w:proofErr w:type="spellStart"/>
      <w:r w:rsidR="00791636" w:rsidRPr="00634E60">
        <w:rPr>
          <w:rFonts w:asciiTheme="majorBidi" w:hAnsiTheme="majorBidi" w:cstheme="majorBidi"/>
          <w:sz w:val="20"/>
          <w:szCs w:val="20"/>
          <w:shd w:val="clear" w:color="auto" w:fill="FFFFFF"/>
        </w:rPr>
        <w:t>baskı</w:t>
      </w:r>
      <w:proofErr w:type="spellEnd"/>
      <w:r w:rsidR="00791636" w:rsidRPr="00634E60">
        <w:rPr>
          <w:rFonts w:asciiTheme="majorBidi" w:hAnsiTheme="majorBidi" w:cstheme="majorBidi"/>
          <w:sz w:val="20"/>
          <w:szCs w:val="20"/>
          <w:shd w:val="clear" w:color="auto" w:fill="FFFFFF"/>
        </w:rPr>
        <w:t xml:space="preserve">. İstanbul: İstanbul Bilgi </w:t>
      </w:r>
      <w:proofErr w:type="spellStart"/>
      <w:r w:rsidR="00791636" w:rsidRPr="00634E60">
        <w:rPr>
          <w:rFonts w:asciiTheme="majorBidi" w:hAnsiTheme="majorBidi" w:cstheme="majorBidi"/>
          <w:sz w:val="20"/>
          <w:szCs w:val="20"/>
          <w:shd w:val="clear" w:color="auto" w:fill="FFFFFF"/>
        </w:rPr>
        <w:t>Üniversitesi</w:t>
      </w:r>
      <w:proofErr w:type="spellEnd"/>
      <w:r w:rsidR="00791636" w:rsidRPr="00634E60">
        <w:rPr>
          <w:rFonts w:asciiTheme="majorBidi" w:hAnsiTheme="majorBidi" w:cstheme="majorBidi"/>
          <w:sz w:val="20"/>
          <w:szCs w:val="20"/>
          <w:shd w:val="clear" w:color="auto" w:fill="FFFFFF"/>
        </w:rPr>
        <w:t xml:space="preserve"> </w:t>
      </w:r>
      <w:proofErr w:type="spellStart"/>
      <w:r w:rsidR="00791636" w:rsidRPr="00634E60">
        <w:rPr>
          <w:rFonts w:asciiTheme="majorBidi" w:hAnsiTheme="majorBidi" w:cstheme="majorBidi"/>
          <w:sz w:val="20"/>
          <w:szCs w:val="20"/>
          <w:shd w:val="clear" w:color="auto" w:fill="FFFFFF"/>
        </w:rPr>
        <w:t>Yayınları</w:t>
      </w:r>
      <w:proofErr w:type="spellEnd"/>
      <w:r w:rsidR="00791636" w:rsidRPr="00634E60">
        <w:rPr>
          <w:rFonts w:asciiTheme="majorBidi" w:hAnsiTheme="majorBidi" w:cstheme="majorBidi"/>
          <w:sz w:val="20"/>
          <w:szCs w:val="20"/>
          <w:shd w:val="clear" w:color="auto" w:fill="FFFFFF"/>
        </w:rPr>
        <w:t xml:space="preserve">. 2013. </w:t>
      </w:r>
      <w:r w:rsidR="00634E60">
        <w:rPr>
          <w:rFonts w:asciiTheme="majorBidi" w:hAnsiTheme="majorBidi" w:cstheme="majorBidi"/>
          <w:sz w:val="20"/>
          <w:szCs w:val="20"/>
          <w:shd w:val="clear" w:color="auto" w:fill="FFFFFF"/>
        </w:rPr>
        <w:t>“</w:t>
      </w:r>
      <w:r w:rsidR="00634E60" w:rsidRPr="00634E60">
        <w:rPr>
          <w:rFonts w:asciiTheme="majorBidi" w:hAnsiTheme="majorBidi" w:cstheme="majorBidi"/>
          <w:sz w:val="20"/>
          <w:szCs w:val="20"/>
        </w:rPr>
        <w:t xml:space="preserve">Reading Ottoman Mining Through Ottoman Imperial Mint Registers: Silver Production of the Ottoman Empire in the Second Half of the </w:t>
      </w:r>
      <w:proofErr w:type="spellStart"/>
      <w:r w:rsidR="00634E60" w:rsidRPr="00634E60">
        <w:rPr>
          <w:rFonts w:asciiTheme="majorBidi" w:hAnsiTheme="majorBidi" w:cstheme="majorBidi"/>
          <w:sz w:val="20"/>
          <w:szCs w:val="20"/>
        </w:rPr>
        <w:t>The</w:t>
      </w:r>
      <w:proofErr w:type="spellEnd"/>
      <w:r w:rsidR="00634E60" w:rsidRPr="00634E60">
        <w:rPr>
          <w:rFonts w:asciiTheme="majorBidi" w:hAnsiTheme="majorBidi" w:cstheme="majorBidi"/>
          <w:sz w:val="20"/>
          <w:szCs w:val="20"/>
        </w:rPr>
        <w:t xml:space="preserve"> XVIII. Century / </w:t>
      </w:r>
      <w:proofErr w:type="spellStart"/>
      <w:r w:rsidR="00634E60" w:rsidRPr="00634E60">
        <w:rPr>
          <w:rFonts w:asciiTheme="majorBidi" w:hAnsiTheme="majorBidi" w:cstheme="majorBidi"/>
          <w:sz w:val="20"/>
          <w:szCs w:val="20"/>
        </w:rPr>
        <w:t>Osmanlı</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Madenciliğini</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Darphane</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Defterleri</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Üzerinden</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Okumak</w:t>
      </w:r>
      <w:proofErr w:type="spellEnd"/>
      <w:r w:rsidR="00634E60" w:rsidRPr="00634E60">
        <w:rPr>
          <w:rFonts w:asciiTheme="majorBidi" w:hAnsiTheme="majorBidi" w:cstheme="majorBidi"/>
          <w:sz w:val="20"/>
          <w:szCs w:val="20"/>
        </w:rPr>
        <w:t xml:space="preserve">: XVIII. </w:t>
      </w:r>
      <w:proofErr w:type="spellStart"/>
      <w:r w:rsidR="00634E60" w:rsidRPr="00634E60">
        <w:rPr>
          <w:rFonts w:asciiTheme="majorBidi" w:hAnsiTheme="majorBidi" w:cstheme="majorBidi"/>
          <w:sz w:val="20"/>
          <w:szCs w:val="20"/>
        </w:rPr>
        <w:t>Yüzyılın</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İkinci</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Yarısında</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Osmanlı</w:t>
      </w:r>
      <w:proofErr w:type="spellEnd"/>
      <w:r w:rsidR="00634E60" w:rsidRPr="00634E60">
        <w:rPr>
          <w:rFonts w:asciiTheme="majorBidi" w:hAnsiTheme="majorBidi" w:cstheme="majorBidi"/>
          <w:sz w:val="20"/>
          <w:szCs w:val="20"/>
        </w:rPr>
        <w:t xml:space="preserve"> </w:t>
      </w:r>
      <w:proofErr w:type="spellStart"/>
      <w:r w:rsidR="00634E60" w:rsidRPr="00634E60">
        <w:rPr>
          <w:rFonts w:asciiTheme="majorBidi" w:hAnsiTheme="majorBidi" w:cstheme="majorBidi"/>
          <w:sz w:val="20"/>
          <w:szCs w:val="20"/>
        </w:rPr>
        <w:t>Devleti'nde</w:t>
      </w:r>
      <w:proofErr w:type="spellEnd"/>
      <w:r w:rsidR="00634E60" w:rsidRPr="00634E60">
        <w:rPr>
          <w:rFonts w:asciiTheme="majorBidi" w:hAnsiTheme="majorBidi" w:cstheme="majorBidi"/>
          <w:sz w:val="20"/>
          <w:szCs w:val="20"/>
        </w:rPr>
        <w:t xml:space="preserve"> Gümüş Üretimi</w:t>
      </w:r>
      <w:r w:rsidR="00634E60">
        <w:rPr>
          <w:rFonts w:asciiTheme="majorBidi" w:hAnsiTheme="majorBidi" w:cstheme="majorBidi"/>
          <w:sz w:val="20"/>
          <w:szCs w:val="20"/>
        </w:rPr>
        <w:t>,” Turkish Journal History, 2002.</w:t>
      </w:r>
    </w:p>
    <w:p w14:paraId="1A29484E" w14:textId="451A3152" w:rsidR="00733EDE" w:rsidRDefault="00733EDE">
      <w:pPr>
        <w:pStyle w:val="FootnoteText"/>
      </w:pPr>
    </w:p>
  </w:footnote>
  <w:footnote w:id="24">
    <w:p w14:paraId="4CCAA7C8" w14:textId="22A5353C" w:rsidR="00634E60" w:rsidRPr="00634E60" w:rsidRDefault="00634E60" w:rsidP="00634E60">
      <w:pPr>
        <w:autoSpaceDE w:val="0"/>
        <w:autoSpaceDN w:val="0"/>
        <w:adjustRightInd w:val="0"/>
        <w:spacing w:line="240" w:lineRule="auto"/>
        <w:rPr>
          <w:rFonts w:asciiTheme="majorBidi" w:eastAsiaTheme="minorHAnsi" w:hAnsiTheme="majorBidi" w:cstheme="majorBidi"/>
          <w:sz w:val="20"/>
          <w:szCs w:val="20"/>
          <w14:ligatures w14:val="standardContextual"/>
        </w:rPr>
      </w:pPr>
      <w:r>
        <w:rPr>
          <w:rStyle w:val="FootnoteReference"/>
        </w:rPr>
        <w:footnoteRef/>
      </w:r>
      <w:r>
        <w:t xml:space="preserve"> </w:t>
      </w:r>
      <w:proofErr w:type="spellStart"/>
      <w:r w:rsidRPr="004A371E">
        <w:rPr>
          <w:rFonts w:asciiTheme="majorBidi" w:eastAsia="Rasa" w:hAnsiTheme="majorBidi" w:cstheme="majorBidi"/>
          <w:sz w:val="20"/>
          <w:szCs w:val="20"/>
        </w:rPr>
        <w:t>Omerul</w:t>
      </w:r>
      <w:proofErr w:type="spellEnd"/>
      <w:r w:rsidRPr="004A371E">
        <w:rPr>
          <w:rFonts w:asciiTheme="majorBidi" w:eastAsia="Rasa" w:hAnsiTheme="majorBidi" w:cstheme="majorBidi"/>
          <w:sz w:val="20"/>
          <w:szCs w:val="20"/>
        </w:rPr>
        <w:t xml:space="preserve"> </w:t>
      </w:r>
      <w:r>
        <w:rPr>
          <w:rFonts w:asciiTheme="majorBidi" w:eastAsia="Rasa" w:hAnsiTheme="majorBidi" w:cstheme="majorBidi"/>
          <w:sz w:val="20"/>
          <w:szCs w:val="20"/>
        </w:rPr>
        <w:t>Faruk</w:t>
      </w:r>
      <w:r w:rsidRPr="004A371E">
        <w:rPr>
          <w:rFonts w:asciiTheme="majorBidi" w:eastAsia="Rasa" w:hAnsiTheme="majorBidi" w:cstheme="majorBidi"/>
          <w:sz w:val="20"/>
          <w:szCs w:val="20"/>
        </w:rPr>
        <w:t xml:space="preserve"> </w:t>
      </w:r>
      <w:proofErr w:type="spellStart"/>
      <w:r w:rsidRPr="004A371E">
        <w:rPr>
          <w:rFonts w:asciiTheme="majorBidi" w:eastAsia="Rasa" w:hAnsiTheme="majorBidi" w:cstheme="majorBidi"/>
          <w:sz w:val="20"/>
          <w:szCs w:val="20"/>
        </w:rPr>
        <w:t>Bolukbasi</w:t>
      </w:r>
      <w:proofErr w:type="spellEnd"/>
      <w:r w:rsidRPr="004A371E">
        <w:rPr>
          <w:rFonts w:asciiTheme="majorBidi" w:eastAsia="Rasa" w:hAnsiTheme="majorBidi" w:cstheme="majorBidi"/>
          <w:sz w:val="20"/>
          <w:szCs w:val="20"/>
        </w:rPr>
        <w:t>, “</w:t>
      </w:r>
      <w:proofErr w:type="spellStart"/>
      <w:r w:rsidRPr="004A371E">
        <w:rPr>
          <w:rFonts w:asciiTheme="majorBidi" w:eastAsia="Rasa" w:hAnsiTheme="majorBidi" w:cstheme="majorBidi"/>
          <w:sz w:val="20"/>
          <w:szCs w:val="20"/>
        </w:rPr>
        <w:t>Darbhane-</w:t>
      </w:r>
      <w:r>
        <w:rPr>
          <w:rFonts w:asciiTheme="majorBidi" w:eastAsia="Rasa" w:hAnsiTheme="majorBidi" w:cstheme="majorBidi"/>
          <w:sz w:val="20"/>
          <w:szCs w:val="20"/>
        </w:rPr>
        <w:t>i</w:t>
      </w:r>
      <w:proofErr w:type="spellEnd"/>
      <w:r w:rsidRPr="004A371E">
        <w:rPr>
          <w:rFonts w:asciiTheme="majorBidi" w:eastAsia="Rasa" w:hAnsiTheme="majorBidi" w:cstheme="majorBidi"/>
          <w:sz w:val="20"/>
          <w:szCs w:val="20"/>
        </w:rPr>
        <w:t xml:space="preserve"> </w:t>
      </w:r>
      <w:proofErr w:type="spellStart"/>
      <w:r w:rsidRPr="004A371E">
        <w:rPr>
          <w:rFonts w:asciiTheme="majorBidi" w:eastAsia="Rasa" w:hAnsiTheme="majorBidi" w:cstheme="majorBidi"/>
          <w:sz w:val="20"/>
          <w:szCs w:val="20"/>
        </w:rPr>
        <w:t>Amire`nin</w:t>
      </w:r>
      <w:proofErr w:type="spellEnd"/>
      <w:r w:rsidRPr="004A371E">
        <w:rPr>
          <w:rFonts w:asciiTheme="majorBidi" w:eastAsia="Rasa" w:hAnsiTheme="majorBidi" w:cstheme="majorBidi"/>
          <w:sz w:val="20"/>
          <w:szCs w:val="20"/>
        </w:rPr>
        <w:t xml:space="preserve"> </w:t>
      </w:r>
      <w:proofErr w:type="spellStart"/>
      <w:r w:rsidRPr="004A371E">
        <w:rPr>
          <w:rFonts w:asciiTheme="majorBidi" w:eastAsia="Rasa" w:hAnsiTheme="majorBidi" w:cstheme="majorBidi"/>
          <w:sz w:val="20"/>
          <w:szCs w:val="20"/>
        </w:rPr>
        <w:t>Yakacak</w:t>
      </w:r>
      <w:proofErr w:type="spellEnd"/>
      <w:r w:rsidRPr="004A371E">
        <w:rPr>
          <w:rFonts w:asciiTheme="majorBidi" w:eastAsia="Rasa" w:hAnsiTheme="majorBidi" w:cstheme="majorBidi"/>
          <w:sz w:val="20"/>
          <w:szCs w:val="20"/>
        </w:rPr>
        <w:t xml:space="preserve"> Ihtiyacinin </w:t>
      </w:r>
      <w:proofErr w:type="spellStart"/>
      <w:r w:rsidRPr="004A371E">
        <w:rPr>
          <w:rFonts w:asciiTheme="majorBidi" w:eastAsia="Rasa" w:hAnsiTheme="majorBidi" w:cstheme="majorBidi"/>
          <w:sz w:val="20"/>
          <w:szCs w:val="20"/>
        </w:rPr>
        <w:t>Temininde</w:t>
      </w:r>
      <w:proofErr w:type="spellEnd"/>
      <w:r w:rsidRPr="004A371E">
        <w:rPr>
          <w:rFonts w:asciiTheme="majorBidi" w:eastAsia="Rasa" w:hAnsiTheme="majorBidi" w:cstheme="majorBidi"/>
          <w:sz w:val="20"/>
          <w:szCs w:val="20"/>
        </w:rPr>
        <w:t xml:space="preserve"> </w:t>
      </w:r>
      <w:proofErr w:type="spellStart"/>
      <w:r w:rsidRPr="004A371E">
        <w:rPr>
          <w:rFonts w:asciiTheme="majorBidi" w:eastAsia="Rasa" w:hAnsiTheme="majorBidi" w:cstheme="majorBidi"/>
          <w:sz w:val="20"/>
          <w:szCs w:val="20"/>
        </w:rPr>
        <w:t>Kocaeli`nin</w:t>
      </w:r>
      <w:proofErr w:type="spellEnd"/>
      <w:r w:rsidRPr="004A371E">
        <w:rPr>
          <w:rFonts w:asciiTheme="majorBidi" w:eastAsia="Rasa" w:hAnsiTheme="majorBidi" w:cstheme="majorBidi"/>
          <w:sz w:val="20"/>
          <w:szCs w:val="20"/>
        </w:rPr>
        <w:t xml:space="preserve"> Yeri </w:t>
      </w:r>
      <w:proofErr w:type="spellStart"/>
      <w:r w:rsidRPr="004A371E">
        <w:rPr>
          <w:rFonts w:asciiTheme="majorBidi" w:eastAsia="Rasa" w:hAnsiTheme="majorBidi" w:cstheme="majorBidi"/>
          <w:sz w:val="20"/>
          <w:szCs w:val="20"/>
        </w:rPr>
        <w:t>ve</w:t>
      </w:r>
      <w:proofErr w:type="spellEnd"/>
      <w:r w:rsidRPr="004A371E">
        <w:rPr>
          <w:rFonts w:asciiTheme="majorBidi" w:eastAsia="Rasa" w:hAnsiTheme="majorBidi" w:cstheme="majorBidi"/>
          <w:sz w:val="20"/>
          <w:szCs w:val="20"/>
        </w:rPr>
        <w:t xml:space="preserve"> </w:t>
      </w:r>
      <w:proofErr w:type="spellStart"/>
      <w:r w:rsidRPr="004A371E">
        <w:rPr>
          <w:rFonts w:asciiTheme="majorBidi" w:eastAsia="Rasa" w:hAnsiTheme="majorBidi" w:cstheme="majorBidi"/>
          <w:sz w:val="20"/>
          <w:szCs w:val="20"/>
        </w:rPr>
        <w:t>Onemi</w:t>
      </w:r>
      <w:proofErr w:type="spellEnd"/>
      <w:r w:rsidRPr="004A371E">
        <w:rPr>
          <w:rFonts w:asciiTheme="majorBidi" w:eastAsia="Rasa" w:hAnsiTheme="majorBidi" w:cstheme="majorBidi"/>
          <w:sz w:val="20"/>
          <w:szCs w:val="20"/>
        </w:rPr>
        <w:t>,”</w:t>
      </w:r>
      <w:r>
        <w:rPr>
          <w:rFonts w:asciiTheme="majorBidi" w:eastAsia="Rasa" w:hAnsiTheme="majorBidi" w:cstheme="majorBidi"/>
          <w:sz w:val="20"/>
          <w:szCs w:val="20"/>
        </w:rPr>
        <w:t xml:space="preserve"> </w:t>
      </w:r>
      <w:r w:rsidRPr="004A371E">
        <w:rPr>
          <w:rFonts w:asciiTheme="majorBidi" w:eastAsia="Rasa" w:hAnsiTheme="majorBidi" w:cstheme="majorBidi"/>
          <w:sz w:val="20"/>
          <w:szCs w:val="20"/>
        </w:rPr>
        <w:t>p.558</w:t>
      </w:r>
      <w:r>
        <w:rPr>
          <w:rFonts w:asciiTheme="majorBidi" w:eastAsia="Rasa" w:hAnsiTheme="majorBidi" w:cstheme="majorBidi"/>
          <w:sz w:val="20"/>
          <w:szCs w:val="20"/>
        </w:rPr>
        <w:t>-9.</w:t>
      </w:r>
    </w:p>
    <w:p w14:paraId="33E65D5A" w14:textId="15938E82" w:rsidR="00634E60" w:rsidRDefault="00634E60">
      <w:pPr>
        <w:pStyle w:val="FootnoteText"/>
      </w:pPr>
    </w:p>
  </w:footnote>
  <w:footnote w:id="25">
    <w:p w14:paraId="1CB3037A" w14:textId="0E573413" w:rsidR="007912A9" w:rsidRDefault="007912A9">
      <w:pPr>
        <w:pStyle w:val="FootnoteText"/>
      </w:pPr>
      <w:r>
        <w:rPr>
          <w:rStyle w:val="FootnoteReference"/>
        </w:rPr>
        <w:footnoteRef/>
      </w:r>
      <w:r>
        <w:t xml:space="preserve"> </w:t>
      </w:r>
      <w:r w:rsidR="00635435" w:rsidRPr="004A371E">
        <w:rPr>
          <w:rFonts w:asciiTheme="majorBidi" w:hAnsiTheme="majorBidi" w:cstheme="majorBidi"/>
        </w:rPr>
        <w:t>Kazuma Iwata, “Producing, Transporting, and Distributing Charcoal: From the View of the Charcoal Merchants` Guild in the 18th Century in Istanbul and Its Surrounding Regions,” YILLIK: Annual of Istanbul Studies 5 (2023). p.124</w:t>
      </w:r>
    </w:p>
  </w:footnote>
  <w:footnote w:id="26">
    <w:p w14:paraId="60EBDB09" w14:textId="66BED623" w:rsidR="004C39AA" w:rsidRPr="004C39AA" w:rsidRDefault="00473E32" w:rsidP="004C39AA">
      <w:pPr>
        <w:jc w:val="both"/>
        <w:rPr>
          <w:rFonts w:asciiTheme="majorBidi" w:hAnsiTheme="majorBidi" w:cstheme="majorBidi"/>
          <w:sz w:val="20"/>
          <w:szCs w:val="20"/>
        </w:rPr>
      </w:pPr>
      <w:r w:rsidRPr="004C39AA">
        <w:rPr>
          <w:rStyle w:val="FootnoteReference"/>
          <w:rFonts w:asciiTheme="majorBidi" w:hAnsiTheme="majorBidi" w:cstheme="majorBidi"/>
          <w:sz w:val="20"/>
          <w:szCs w:val="20"/>
        </w:rPr>
        <w:footnoteRef/>
      </w:r>
      <w:r w:rsidR="004C39AA" w:rsidRPr="004C39AA">
        <w:rPr>
          <w:rFonts w:asciiTheme="majorBidi" w:hAnsiTheme="majorBidi" w:cstheme="majorBidi"/>
          <w:sz w:val="20"/>
          <w:szCs w:val="20"/>
        </w:rPr>
        <w:t xml:space="preserve"> BOA:</w:t>
      </w:r>
      <w:r w:rsidRPr="004C39AA">
        <w:rPr>
          <w:rFonts w:asciiTheme="majorBidi" w:hAnsiTheme="majorBidi" w:cstheme="majorBidi"/>
          <w:sz w:val="20"/>
          <w:szCs w:val="20"/>
        </w:rPr>
        <w:t xml:space="preserve"> </w:t>
      </w:r>
      <w:r w:rsidR="004C39AA" w:rsidRPr="004C39AA">
        <w:rPr>
          <w:rFonts w:asciiTheme="majorBidi" w:hAnsiTheme="majorBidi" w:cstheme="majorBidi"/>
          <w:sz w:val="20"/>
          <w:szCs w:val="20"/>
        </w:rPr>
        <w:t>C.DRB.00014.00678.001 (Date).</w:t>
      </w:r>
    </w:p>
    <w:p w14:paraId="515D98B2" w14:textId="533EC5B4" w:rsidR="00473E32" w:rsidRDefault="00473E32">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963"/>
    <w:rsid w:val="00003E81"/>
    <w:rsid w:val="00005B85"/>
    <w:rsid w:val="00006249"/>
    <w:rsid w:val="00007204"/>
    <w:rsid w:val="0001203E"/>
    <w:rsid w:val="0001248F"/>
    <w:rsid w:val="00012E9E"/>
    <w:rsid w:val="000137F5"/>
    <w:rsid w:val="00014CB4"/>
    <w:rsid w:val="0002164A"/>
    <w:rsid w:val="0002475D"/>
    <w:rsid w:val="00024E67"/>
    <w:rsid w:val="000401B1"/>
    <w:rsid w:val="000464A1"/>
    <w:rsid w:val="00056293"/>
    <w:rsid w:val="00056497"/>
    <w:rsid w:val="000624FF"/>
    <w:rsid w:val="0006623F"/>
    <w:rsid w:val="00066FF4"/>
    <w:rsid w:val="000711F7"/>
    <w:rsid w:val="000729E9"/>
    <w:rsid w:val="000732FF"/>
    <w:rsid w:val="00073B05"/>
    <w:rsid w:val="00075783"/>
    <w:rsid w:val="0009030E"/>
    <w:rsid w:val="000A28CD"/>
    <w:rsid w:val="000A338E"/>
    <w:rsid w:val="000A44B2"/>
    <w:rsid w:val="000A73A3"/>
    <w:rsid w:val="000B4F96"/>
    <w:rsid w:val="000B5D31"/>
    <w:rsid w:val="000B6CFA"/>
    <w:rsid w:val="000B7C30"/>
    <w:rsid w:val="000C1B18"/>
    <w:rsid w:val="000C421C"/>
    <w:rsid w:val="000C7D66"/>
    <w:rsid w:val="000D5CE3"/>
    <w:rsid w:val="000D72A9"/>
    <w:rsid w:val="000E15C1"/>
    <w:rsid w:val="000F00AA"/>
    <w:rsid w:val="000F03A2"/>
    <w:rsid w:val="000F2AA5"/>
    <w:rsid w:val="000F39D4"/>
    <w:rsid w:val="000F4963"/>
    <w:rsid w:val="000F59AA"/>
    <w:rsid w:val="000F5AAC"/>
    <w:rsid w:val="000F61C7"/>
    <w:rsid w:val="00103B52"/>
    <w:rsid w:val="00106CF5"/>
    <w:rsid w:val="00111D31"/>
    <w:rsid w:val="00113C82"/>
    <w:rsid w:val="0011684F"/>
    <w:rsid w:val="001175F6"/>
    <w:rsid w:val="00124824"/>
    <w:rsid w:val="00124AA2"/>
    <w:rsid w:val="00127596"/>
    <w:rsid w:val="00130603"/>
    <w:rsid w:val="001328DC"/>
    <w:rsid w:val="00140195"/>
    <w:rsid w:val="0014404F"/>
    <w:rsid w:val="00145D3B"/>
    <w:rsid w:val="00150973"/>
    <w:rsid w:val="001603B7"/>
    <w:rsid w:val="0017187C"/>
    <w:rsid w:val="0017577F"/>
    <w:rsid w:val="00184C92"/>
    <w:rsid w:val="001866BB"/>
    <w:rsid w:val="00192C7C"/>
    <w:rsid w:val="001944E3"/>
    <w:rsid w:val="001A389C"/>
    <w:rsid w:val="001A7567"/>
    <w:rsid w:val="001C26D2"/>
    <w:rsid w:val="001C6D7D"/>
    <w:rsid w:val="001C76E0"/>
    <w:rsid w:val="001D15C1"/>
    <w:rsid w:val="001D2FE5"/>
    <w:rsid w:val="001D52E5"/>
    <w:rsid w:val="001E7379"/>
    <w:rsid w:val="001E7853"/>
    <w:rsid w:val="001F2970"/>
    <w:rsid w:val="001F7EBE"/>
    <w:rsid w:val="002066B5"/>
    <w:rsid w:val="002148E1"/>
    <w:rsid w:val="00216693"/>
    <w:rsid w:val="00221E7F"/>
    <w:rsid w:val="00227325"/>
    <w:rsid w:val="00232433"/>
    <w:rsid w:val="00237D1D"/>
    <w:rsid w:val="00260425"/>
    <w:rsid w:val="0026789C"/>
    <w:rsid w:val="00274F07"/>
    <w:rsid w:val="00282C69"/>
    <w:rsid w:val="002900B6"/>
    <w:rsid w:val="002A2697"/>
    <w:rsid w:val="002A6CDB"/>
    <w:rsid w:val="002A7B3A"/>
    <w:rsid w:val="002A7F1C"/>
    <w:rsid w:val="002B1D10"/>
    <w:rsid w:val="002B48A2"/>
    <w:rsid w:val="002B6AD2"/>
    <w:rsid w:val="002C4437"/>
    <w:rsid w:val="002C6684"/>
    <w:rsid w:val="002D4792"/>
    <w:rsid w:val="002D4AEE"/>
    <w:rsid w:val="002D573C"/>
    <w:rsid w:val="002D7242"/>
    <w:rsid w:val="002D7846"/>
    <w:rsid w:val="002E1981"/>
    <w:rsid w:val="002E43AD"/>
    <w:rsid w:val="002F123B"/>
    <w:rsid w:val="002F1B65"/>
    <w:rsid w:val="002F5402"/>
    <w:rsid w:val="002F6508"/>
    <w:rsid w:val="002F7A23"/>
    <w:rsid w:val="00300F08"/>
    <w:rsid w:val="003118CC"/>
    <w:rsid w:val="00311C57"/>
    <w:rsid w:val="00313C27"/>
    <w:rsid w:val="00317AD7"/>
    <w:rsid w:val="00317E1D"/>
    <w:rsid w:val="00323643"/>
    <w:rsid w:val="00323D29"/>
    <w:rsid w:val="00324137"/>
    <w:rsid w:val="00326104"/>
    <w:rsid w:val="003333AE"/>
    <w:rsid w:val="00335421"/>
    <w:rsid w:val="003415C9"/>
    <w:rsid w:val="00344939"/>
    <w:rsid w:val="00346AC6"/>
    <w:rsid w:val="00346CF8"/>
    <w:rsid w:val="003545D1"/>
    <w:rsid w:val="00374D2D"/>
    <w:rsid w:val="0038646A"/>
    <w:rsid w:val="00392305"/>
    <w:rsid w:val="00394623"/>
    <w:rsid w:val="003949B0"/>
    <w:rsid w:val="003A1E00"/>
    <w:rsid w:val="003A3E15"/>
    <w:rsid w:val="003B0CEC"/>
    <w:rsid w:val="003B2442"/>
    <w:rsid w:val="003B3350"/>
    <w:rsid w:val="003B4250"/>
    <w:rsid w:val="003C121D"/>
    <w:rsid w:val="003C58C2"/>
    <w:rsid w:val="003C76B2"/>
    <w:rsid w:val="003D5C4C"/>
    <w:rsid w:val="003E48EB"/>
    <w:rsid w:val="003E4EEE"/>
    <w:rsid w:val="003E6248"/>
    <w:rsid w:val="003F1179"/>
    <w:rsid w:val="003F1D25"/>
    <w:rsid w:val="00402EA4"/>
    <w:rsid w:val="004040C5"/>
    <w:rsid w:val="0040437C"/>
    <w:rsid w:val="00406E68"/>
    <w:rsid w:val="004126AC"/>
    <w:rsid w:val="0042104D"/>
    <w:rsid w:val="004229D2"/>
    <w:rsid w:val="00423181"/>
    <w:rsid w:val="00423D73"/>
    <w:rsid w:val="004528D2"/>
    <w:rsid w:val="00453582"/>
    <w:rsid w:val="00461844"/>
    <w:rsid w:val="00462A99"/>
    <w:rsid w:val="00466660"/>
    <w:rsid w:val="00471A71"/>
    <w:rsid w:val="00473E32"/>
    <w:rsid w:val="004A5CFD"/>
    <w:rsid w:val="004A67B3"/>
    <w:rsid w:val="004C18B2"/>
    <w:rsid w:val="004C39AA"/>
    <w:rsid w:val="004C6587"/>
    <w:rsid w:val="004D3281"/>
    <w:rsid w:val="004D608F"/>
    <w:rsid w:val="004F1489"/>
    <w:rsid w:val="004F7F5F"/>
    <w:rsid w:val="00502CA7"/>
    <w:rsid w:val="005052CB"/>
    <w:rsid w:val="005126B5"/>
    <w:rsid w:val="0051756B"/>
    <w:rsid w:val="00535500"/>
    <w:rsid w:val="005366DA"/>
    <w:rsid w:val="00536ED7"/>
    <w:rsid w:val="00537429"/>
    <w:rsid w:val="00537EB2"/>
    <w:rsid w:val="00540D64"/>
    <w:rsid w:val="00542501"/>
    <w:rsid w:val="00544880"/>
    <w:rsid w:val="00546F1D"/>
    <w:rsid w:val="0055696F"/>
    <w:rsid w:val="00566DA5"/>
    <w:rsid w:val="0057715E"/>
    <w:rsid w:val="00586E56"/>
    <w:rsid w:val="005900D3"/>
    <w:rsid w:val="00591C45"/>
    <w:rsid w:val="0059747B"/>
    <w:rsid w:val="005A0CE0"/>
    <w:rsid w:val="005A1040"/>
    <w:rsid w:val="005A2571"/>
    <w:rsid w:val="005A7853"/>
    <w:rsid w:val="005B0DE7"/>
    <w:rsid w:val="005B7109"/>
    <w:rsid w:val="005B72D2"/>
    <w:rsid w:val="005C5A8F"/>
    <w:rsid w:val="005F2ADB"/>
    <w:rsid w:val="00603AAD"/>
    <w:rsid w:val="00611E09"/>
    <w:rsid w:val="0061681C"/>
    <w:rsid w:val="0061684E"/>
    <w:rsid w:val="00621AE7"/>
    <w:rsid w:val="00625C3C"/>
    <w:rsid w:val="00632F46"/>
    <w:rsid w:val="00634325"/>
    <w:rsid w:val="00634784"/>
    <w:rsid w:val="00634E60"/>
    <w:rsid w:val="00635435"/>
    <w:rsid w:val="00635A1C"/>
    <w:rsid w:val="00635F77"/>
    <w:rsid w:val="00641A8A"/>
    <w:rsid w:val="00642383"/>
    <w:rsid w:val="00650B90"/>
    <w:rsid w:val="00651602"/>
    <w:rsid w:val="00664186"/>
    <w:rsid w:val="006643AB"/>
    <w:rsid w:val="006665BD"/>
    <w:rsid w:val="00666908"/>
    <w:rsid w:val="006701F8"/>
    <w:rsid w:val="00670FB6"/>
    <w:rsid w:val="0067249C"/>
    <w:rsid w:val="00676D53"/>
    <w:rsid w:val="0068550B"/>
    <w:rsid w:val="00692F4A"/>
    <w:rsid w:val="006947FE"/>
    <w:rsid w:val="0069650E"/>
    <w:rsid w:val="006A42F2"/>
    <w:rsid w:val="006A5F44"/>
    <w:rsid w:val="006B203A"/>
    <w:rsid w:val="006B5541"/>
    <w:rsid w:val="006C2914"/>
    <w:rsid w:val="006C4A78"/>
    <w:rsid w:val="006D3BCF"/>
    <w:rsid w:val="006D7334"/>
    <w:rsid w:val="006E2A26"/>
    <w:rsid w:val="006E3E09"/>
    <w:rsid w:val="006E4401"/>
    <w:rsid w:val="006E5BFB"/>
    <w:rsid w:val="006E5F44"/>
    <w:rsid w:val="006F2BE6"/>
    <w:rsid w:val="006F6D93"/>
    <w:rsid w:val="00702589"/>
    <w:rsid w:val="00702995"/>
    <w:rsid w:val="0070346A"/>
    <w:rsid w:val="0070419F"/>
    <w:rsid w:val="00704E24"/>
    <w:rsid w:val="007212D6"/>
    <w:rsid w:val="00723D7A"/>
    <w:rsid w:val="00725F69"/>
    <w:rsid w:val="0072713D"/>
    <w:rsid w:val="007306A0"/>
    <w:rsid w:val="00732FD3"/>
    <w:rsid w:val="00733E72"/>
    <w:rsid w:val="00733EDE"/>
    <w:rsid w:val="0073495F"/>
    <w:rsid w:val="007372BB"/>
    <w:rsid w:val="00742455"/>
    <w:rsid w:val="007449AD"/>
    <w:rsid w:val="0074782B"/>
    <w:rsid w:val="00750D03"/>
    <w:rsid w:val="00752963"/>
    <w:rsid w:val="00762DBF"/>
    <w:rsid w:val="0077188B"/>
    <w:rsid w:val="007750ED"/>
    <w:rsid w:val="00776FB2"/>
    <w:rsid w:val="00777A02"/>
    <w:rsid w:val="00782673"/>
    <w:rsid w:val="007829AA"/>
    <w:rsid w:val="0078587C"/>
    <w:rsid w:val="0079064A"/>
    <w:rsid w:val="007912A9"/>
    <w:rsid w:val="00791636"/>
    <w:rsid w:val="007976D9"/>
    <w:rsid w:val="007B09CC"/>
    <w:rsid w:val="007B3C1A"/>
    <w:rsid w:val="007B445A"/>
    <w:rsid w:val="007B4756"/>
    <w:rsid w:val="007B7453"/>
    <w:rsid w:val="007C2070"/>
    <w:rsid w:val="007C3DF5"/>
    <w:rsid w:val="007C4888"/>
    <w:rsid w:val="007E0A44"/>
    <w:rsid w:val="007E3932"/>
    <w:rsid w:val="007E6708"/>
    <w:rsid w:val="007F294D"/>
    <w:rsid w:val="007F553E"/>
    <w:rsid w:val="007F729E"/>
    <w:rsid w:val="007F74B4"/>
    <w:rsid w:val="008030B6"/>
    <w:rsid w:val="00803375"/>
    <w:rsid w:val="008215B5"/>
    <w:rsid w:val="00823872"/>
    <w:rsid w:val="0082523C"/>
    <w:rsid w:val="00834D69"/>
    <w:rsid w:val="008360ED"/>
    <w:rsid w:val="008376DB"/>
    <w:rsid w:val="00843E62"/>
    <w:rsid w:val="00852853"/>
    <w:rsid w:val="00856B47"/>
    <w:rsid w:val="00864696"/>
    <w:rsid w:val="00865885"/>
    <w:rsid w:val="00874E74"/>
    <w:rsid w:val="00877DB1"/>
    <w:rsid w:val="008818DD"/>
    <w:rsid w:val="00882708"/>
    <w:rsid w:val="00890CBD"/>
    <w:rsid w:val="008A4567"/>
    <w:rsid w:val="008B3AE0"/>
    <w:rsid w:val="008B4CA1"/>
    <w:rsid w:val="008B6F9C"/>
    <w:rsid w:val="008D5610"/>
    <w:rsid w:val="008E5C2F"/>
    <w:rsid w:val="008E7A51"/>
    <w:rsid w:val="008E7A76"/>
    <w:rsid w:val="008F1CEF"/>
    <w:rsid w:val="008F2074"/>
    <w:rsid w:val="008F2662"/>
    <w:rsid w:val="008F2863"/>
    <w:rsid w:val="008F317B"/>
    <w:rsid w:val="008F5932"/>
    <w:rsid w:val="008F6B16"/>
    <w:rsid w:val="0091025E"/>
    <w:rsid w:val="00917C7D"/>
    <w:rsid w:val="00946863"/>
    <w:rsid w:val="00946C39"/>
    <w:rsid w:val="00946C82"/>
    <w:rsid w:val="00950D0B"/>
    <w:rsid w:val="00953B3C"/>
    <w:rsid w:val="00954162"/>
    <w:rsid w:val="009542A0"/>
    <w:rsid w:val="0096095E"/>
    <w:rsid w:val="009722D5"/>
    <w:rsid w:val="00972C29"/>
    <w:rsid w:val="00973137"/>
    <w:rsid w:val="00974BCF"/>
    <w:rsid w:val="00976A4C"/>
    <w:rsid w:val="00977460"/>
    <w:rsid w:val="00985CFF"/>
    <w:rsid w:val="00986F28"/>
    <w:rsid w:val="009927D8"/>
    <w:rsid w:val="009A123E"/>
    <w:rsid w:val="009A66C8"/>
    <w:rsid w:val="009B0CE3"/>
    <w:rsid w:val="009B6F0C"/>
    <w:rsid w:val="009C24CE"/>
    <w:rsid w:val="009C50A1"/>
    <w:rsid w:val="009C6469"/>
    <w:rsid w:val="009D5756"/>
    <w:rsid w:val="009D79CF"/>
    <w:rsid w:val="009E24E3"/>
    <w:rsid w:val="009E368B"/>
    <w:rsid w:val="009F5892"/>
    <w:rsid w:val="009F7BF3"/>
    <w:rsid w:val="00A02117"/>
    <w:rsid w:val="00A04160"/>
    <w:rsid w:val="00A07575"/>
    <w:rsid w:val="00A1576E"/>
    <w:rsid w:val="00A15A23"/>
    <w:rsid w:val="00A20992"/>
    <w:rsid w:val="00A21F42"/>
    <w:rsid w:val="00A22AA3"/>
    <w:rsid w:val="00A23743"/>
    <w:rsid w:val="00A2404D"/>
    <w:rsid w:val="00A26FCB"/>
    <w:rsid w:val="00A36853"/>
    <w:rsid w:val="00A44C88"/>
    <w:rsid w:val="00A5048D"/>
    <w:rsid w:val="00A50558"/>
    <w:rsid w:val="00A54F61"/>
    <w:rsid w:val="00A564FA"/>
    <w:rsid w:val="00A61AA7"/>
    <w:rsid w:val="00A6712A"/>
    <w:rsid w:val="00A75CD7"/>
    <w:rsid w:val="00A915E7"/>
    <w:rsid w:val="00A93A19"/>
    <w:rsid w:val="00A94538"/>
    <w:rsid w:val="00A96E6D"/>
    <w:rsid w:val="00A97D69"/>
    <w:rsid w:val="00AA5010"/>
    <w:rsid w:val="00AA5CDD"/>
    <w:rsid w:val="00AB02D6"/>
    <w:rsid w:val="00AB26A7"/>
    <w:rsid w:val="00AB6763"/>
    <w:rsid w:val="00AC0E11"/>
    <w:rsid w:val="00AC4067"/>
    <w:rsid w:val="00AC434D"/>
    <w:rsid w:val="00AC6032"/>
    <w:rsid w:val="00AD1052"/>
    <w:rsid w:val="00AD57B9"/>
    <w:rsid w:val="00AD5FDB"/>
    <w:rsid w:val="00AE3A8E"/>
    <w:rsid w:val="00AE706A"/>
    <w:rsid w:val="00AE7783"/>
    <w:rsid w:val="00B029F3"/>
    <w:rsid w:val="00B03312"/>
    <w:rsid w:val="00B142E5"/>
    <w:rsid w:val="00B157D8"/>
    <w:rsid w:val="00B252B4"/>
    <w:rsid w:val="00B25904"/>
    <w:rsid w:val="00B416DB"/>
    <w:rsid w:val="00B427DA"/>
    <w:rsid w:val="00B52387"/>
    <w:rsid w:val="00B523DF"/>
    <w:rsid w:val="00B60DAE"/>
    <w:rsid w:val="00B61B31"/>
    <w:rsid w:val="00B655D2"/>
    <w:rsid w:val="00B74A6C"/>
    <w:rsid w:val="00B74CE4"/>
    <w:rsid w:val="00B83AAA"/>
    <w:rsid w:val="00B85349"/>
    <w:rsid w:val="00B87E82"/>
    <w:rsid w:val="00B96C2F"/>
    <w:rsid w:val="00BB7494"/>
    <w:rsid w:val="00BC5B90"/>
    <w:rsid w:val="00BC62B3"/>
    <w:rsid w:val="00BC7D06"/>
    <w:rsid w:val="00BD0D7D"/>
    <w:rsid w:val="00BD117E"/>
    <w:rsid w:val="00BD4CF9"/>
    <w:rsid w:val="00BE236C"/>
    <w:rsid w:val="00BE28CE"/>
    <w:rsid w:val="00BF3908"/>
    <w:rsid w:val="00C16354"/>
    <w:rsid w:val="00C17C2B"/>
    <w:rsid w:val="00C25FF2"/>
    <w:rsid w:val="00C27F3D"/>
    <w:rsid w:val="00C33BFD"/>
    <w:rsid w:val="00C37418"/>
    <w:rsid w:val="00C406EF"/>
    <w:rsid w:val="00C43116"/>
    <w:rsid w:val="00C4534F"/>
    <w:rsid w:val="00C5195E"/>
    <w:rsid w:val="00C52ABE"/>
    <w:rsid w:val="00C53AE3"/>
    <w:rsid w:val="00C552FA"/>
    <w:rsid w:val="00C56F9D"/>
    <w:rsid w:val="00C64340"/>
    <w:rsid w:val="00C70D81"/>
    <w:rsid w:val="00C70F4F"/>
    <w:rsid w:val="00C76B43"/>
    <w:rsid w:val="00C7717B"/>
    <w:rsid w:val="00CA0CE4"/>
    <w:rsid w:val="00CA6E2F"/>
    <w:rsid w:val="00CB21D3"/>
    <w:rsid w:val="00CB2D56"/>
    <w:rsid w:val="00CD58DE"/>
    <w:rsid w:val="00CD7F38"/>
    <w:rsid w:val="00CE44C0"/>
    <w:rsid w:val="00CF2837"/>
    <w:rsid w:val="00CF5F4F"/>
    <w:rsid w:val="00CF715D"/>
    <w:rsid w:val="00D00360"/>
    <w:rsid w:val="00D01EC2"/>
    <w:rsid w:val="00D02552"/>
    <w:rsid w:val="00D129A1"/>
    <w:rsid w:val="00D14AE8"/>
    <w:rsid w:val="00D157C9"/>
    <w:rsid w:val="00D17015"/>
    <w:rsid w:val="00D22610"/>
    <w:rsid w:val="00D2609D"/>
    <w:rsid w:val="00D33E25"/>
    <w:rsid w:val="00D34B65"/>
    <w:rsid w:val="00D34CE2"/>
    <w:rsid w:val="00D36A1B"/>
    <w:rsid w:val="00D43686"/>
    <w:rsid w:val="00D50C62"/>
    <w:rsid w:val="00D50DD9"/>
    <w:rsid w:val="00D5351A"/>
    <w:rsid w:val="00D708D2"/>
    <w:rsid w:val="00D76CBA"/>
    <w:rsid w:val="00D82D2E"/>
    <w:rsid w:val="00D8509D"/>
    <w:rsid w:val="00DA5CE7"/>
    <w:rsid w:val="00DB3E90"/>
    <w:rsid w:val="00DB4CC3"/>
    <w:rsid w:val="00DC389A"/>
    <w:rsid w:val="00DC3DB0"/>
    <w:rsid w:val="00DC4365"/>
    <w:rsid w:val="00DC4D7E"/>
    <w:rsid w:val="00DC55D6"/>
    <w:rsid w:val="00DC5C61"/>
    <w:rsid w:val="00DC649A"/>
    <w:rsid w:val="00DD245F"/>
    <w:rsid w:val="00DD4145"/>
    <w:rsid w:val="00DD6117"/>
    <w:rsid w:val="00DD69A3"/>
    <w:rsid w:val="00DE0105"/>
    <w:rsid w:val="00DE144B"/>
    <w:rsid w:val="00DE14AA"/>
    <w:rsid w:val="00DF55CA"/>
    <w:rsid w:val="00E00D15"/>
    <w:rsid w:val="00E02C5C"/>
    <w:rsid w:val="00E0400E"/>
    <w:rsid w:val="00E04B45"/>
    <w:rsid w:val="00E10866"/>
    <w:rsid w:val="00E110E3"/>
    <w:rsid w:val="00E2142C"/>
    <w:rsid w:val="00E2178B"/>
    <w:rsid w:val="00E346F5"/>
    <w:rsid w:val="00E35B3D"/>
    <w:rsid w:val="00E375DB"/>
    <w:rsid w:val="00E37795"/>
    <w:rsid w:val="00E4196B"/>
    <w:rsid w:val="00E42883"/>
    <w:rsid w:val="00E4429C"/>
    <w:rsid w:val="00E54AD4"/>
    <w:rsid w:val="00E8334B"/>
    <w:rsid w:val="00E87913"/>
    <w:rsid w:val="00E879D7"/>
    <w:rsid w:val="00E97D8A"/>
    <w:rsid w:val="00EA0BFA"/>
    <w:rsid w:val="00EA3E58"/>
    <w:rsid w:val="00EC0975"/>
    <w:rsid w:val="00EC430D"/>
    <w:rsid w:val="00EC47DA"/>
    <w:rsid w:val="00EC5DE8"/>
    <w:rsid w:val="00ED03C8"/>
    <w:rsid w:val="00ED1EDA"/>
    <w:rsid w:val="00ED62B8"/>
    <w:rsid w:val="00EE04D4"/>
    <w:rsid w:val="00EE2F9A"/>
    <w:rsid w:val="00EE366C"/>
    <w:rsid w:val="00EF17F9"/>
    <w:rsid w:val="00F00F9E"/>
    <w:rsid w:val="00F02909"/>
    <w:rsid w:val="00F11314"/>
    <w:rsid w:val="00F119EE"/>
    <w:rsid w:val="00F13410"/>
    <w:rsid w:val="00F14515"/>
    <w:rsid w:val="00F250D2"/>
    <w:rsid w:val="00F26630"/>
    <w:rsid w:val="00F33011"/>
    <w:rsid w:val="00F40193"/>
    <w:rsid w:val="00F42FCF"/>
    <w:rsid w:val="00F43C8B"/>
    <w:rsid w:val="00F46797"/>
    <w:rsid w:val="00F520DF"/>
    <w:rsid w:val="00F66100"/>
    <w:rsid w:val="00F74A41"/>
    <w:rsid w:val="00F7582B"/>
    <w:rsid w:val="00F75E00"/>
    <w:rsid w:val="00F8085F"/>
    <w:rsid w:val="00F82BF5"/>
    <w:rsid w:val="00F8534D"/>
    <w:rsid w:val="00F854E4"/>
    <w:rsid w:val="00F9055A"/>
    <w:rsid w:val="00FA09E5"/>
    <w:rsid w:val="00FA4781"/>
    <w:rsid w:val="00FB21D3"/>
    <w:rsid w:val="00FB24F5"/>
    <w:rsid w:val="00FB32AC"/>
    <w:rsid w:val="00FB472B"/>
    <w:rsid w:val="00FB52E7"/>
    <w:rsid w:val="00FC5EB0"/>
    <w:rsid w:val="00FD1374"/>
    <w:rsid w:val="00FD38D6"/>
    <w:rsid w:val="00FD69AF"/>
    <w:rsid w:val="00FF48CF"/>
    <w:rsid w:val="00FF56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0BE5"/>
  <w15:docId w15:val="{D59A4BCC-BCAB-CE40-A868-24A17DD9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uiPriority w:val="99"/>
    <w:unhideWhenUsed/>
    <w:rsid w:val="00632F46"/>
    <w:pPr>
      <w:tabs>
        <w:tab w:val="center" w:pos="4680"/>
        <w:tab w:val="right" w:pos="9360"/>
      </w:tabs>
      <w:spacing w:line="240" w:lineRule="auto"/>
    </w:pPr>
  </w:style>
  <w:style w:type="character" w:customStyle="1" w:styleId="FooterChar">
    <w:name w:val="Footer Char"/>
    <w:basedOn w:val="DefaultParagraphFont"/>
    <w:link w:val="Footer"/>
    <w:uiPriority w:val="99"/>
    <w:rsid w:val="00632F46"/>
  </w:style>
  <w:style w:type="character" w:styleId="PageNumber">
    <w:name w:val="page number"/>
    <w:basedOn w:val="DefaultParagraphFont"/>
    <w:uiPriority w:val="99"/>
    <w:semiHidden/>
    <w:unhideWhenUsed/>
    <w:rsid w:val="00632F46"/>
  </w:style>
  <w:style w:type="paragraph" w:styleId="FootnoteText">
    <w:name w:val="footnote text"/>
    <w:basedOn w:val="Normal"/>
    <w:link w:val="FootnoteTextChar"/>
    <w:uiPriority w:val="99"/>
    <w:semiHidden/>
    <w:unhideWhenUsed/>
    <w:rsid w:val="00632F46"/>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632F4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2F46"/>
    <w:rPr>
      <w:vertAlign w:val="superscript"/>
    </w:rPr>
  </w:style>
  <w:style w:type="character" w:customStyle="1" w:styleId="apple-converted-space">
    <w:name w:val="apple-converted-space"/>
    <w:basedOn w:val="DefaultParagraphFont"/>
    <w:rsid w:val="00BD4CF9"/>
  </w:style>
  <w:style w:type="character" w:customStyle="1" w:styleId="whitespace-normal">
    <w:name w:val="whitespace-normal"/>
    <w:basedOn w:val="DefaultParagraphFont"/>
    <w:rsid w:val="00BD4CF9"/>
  </w:style>
  <w:style w:type="paragraph" w:styleId="NormalWeb">
    <w:name w:val="Normal (Web)"/>
    <w:basedOn w:val="Normal"/>
    <w:uiPriority w:val="99"/>
    <w:unhideWhenUsed/>
    <w:qFormat/>
    <w:rsid w:val="004D60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50DD9"/>
    <w:rPr>
      <w:i/>
      <w:iCs/>
    </w:rPr>
  </w:style>
  <w:style w:type="character" w:styleId="Strong">
    <w:name w:val="Strong"/>
    <w:basedOn w:val="DefaultParagraphFont"/>
    <w:uiPriority w:val="22"/>
    <w:qFormat/>
    <w:rsid w:val="00DA5CE7"/>
    <w:rPr>
      <w:b/>
      <w:bCs/>
    </w:rPr>
  </w:style>
  <w:style w:type="character" w:customStyle="1" w:styleId="il">
    <w:name w:val="il"/>
    <w:basedOn w:val="DefaultParagraphFont"/>
    <w:rsid w:val="00611E09"/>
  </w:style>
  <w:style w:type="paragraph" w:styleId="Header">
    <w:name w:val="header"/>
    <w:basedOn w:val="Normal"/>
    <w:link w:val="HeaderChar"/>
    <w:uiPriority w:val="99"/>
    <w:unhideWhenUsed/>
    <w:rsid w:val="008B4CA1"/>
    <w:pPr>
      <w:tabs>
        <w:tab w:val="center" w:pos="4680"/>
        <w:tab w:val="right" w:pos="9360"/>
      </w:tabs>
      <w:spacing w:line="240" w:lineRule="auto"/>
    </w:pPr>
  </w:style>
  <w:style w:type="character" w:customStyle="1" w:styleId="HeaderChar">
    <w:name w:val="Header Char"/>
    <w:basedOn w:val="DefaultParagraphFont"/>
    <w:link w:val="Header"/>
    <w:uiPriority w:val="99"/>
    <w:rsid w:val="008B4CA1"/>
  </w:style>
  <w:style w:type="character" w:styleId="IntenseReference">
    <w:name w:val="Intense Reference"/>
    <w:basedOn w:val="DefaultParagraphFont"/>
    <w:uiPriority w:val="32"/>
    <w:qFormat/>
    <w:rsid w:val="00346AC6"/>
    <w:rPr>
      <w:b/>
      <w:bCs/>
      <w:smallCaps/>
      <w:color w:val="365F91" w:themeColor="accent1" w:themeShade="BF"/>
      <w:spacing w:val="5"/>
    </w:rPr>
  </w:style>
  <w:style w:type="paragraph" w:customStyle="1" w:styleId="gmail-font-claude-response-body">
    <w:name w:val="gmail-font-claude-response-body"/>
    <w:basedOn w:val="Normal"/>
    <w:rsid w:val="00346AC6"/>
    <w:pPr>
      <w:spacing w:before="100" w:beforeAutospacing="1" w:after="100" w:afterAutospacing="1" w:line="240" w:lineRule="auto"/>
    </w:pPr>
    <w:rPr>
      <w:rFonts w:ascii="Times New Roman" w:eastAsia="Times New Roman" w:hAnsi="Times New Roman" w:cs="Times New Roman"/>
      <w:sz w:val="24"/>
      <w:szCs w:val="24"/>
      <w:lang w:val="en-US"/>
      <w14:ligatures w14:val="standardContextual"/>
    </w:rPr>
  </w:style>
  <w:style w:type="paragraph" w:customStyle="1" w:styleId="p1">
    <w:name w:val="p1"/>
    <w:basedOn w:val="Normal"/>
    <w:rsid w:val="008F1CEF"/>
    <w:pPr>
      <w:spacing w:line="240" w:lineRule="auto"/>
    </w:pPr>
    <w:rPr>
      <w:rFonts w:ascii="Helvetica" w:eastAsia="Times New Roman" w:hAnsi="Helvetica" w:cs="Times New Roman"/>
      <w:color w:val="10182E"/>
      <w:sz w:val="17"/>
      <w:szCs w:val="17"/>
      <w:lang w:val="en-US"/>
    </w:rPr>
  </w:style>
  <w:style w:type="character" w:customStyle="1" w:styleId="gmail-apple-converted-space">
    <w:name w:val="gmail-apple-converted-space"/>
    <w:basedOn w:val="DefaultParagraphFont"/>
    <w:rsid w:val="009A123E"/>
  </w:style>
  <w:style w:type="paragraph" w:styleId="CommentSubject">
    <w:name w:val="annotation subject"/>
    <w:basedOn w:val="CommentText"/>
    <w:next w:val="CommentText"/>
    <w:link w:val="CommentSubjectChar"/>
    <w:uiPriority w:val="99"/>
    <w:semiHidden/>
    <w:unhideWhenUsed/>
    <w:rsid w:val="00D43686"/>
    <w:rPr>
      <w:b/>
      <w:bCs/>
    </w:rPr>
  </w:style>
  <w:style w:type="character" w:customStyle="1" w:styleId="CommentSubjectChar">
    <w:name w:val="Comment Subject Char"/>
    <w:basedOn w:val="CommentTextChar"/>
    <w:link w:val="CommentSubject"/>
    <w:uiPriority w:val="99"/>
    <w:semiHidden/>
    <w:rsid w:val="00D43686"/>
    <w:rPr>
      <w:b/>
      <w:bCs/>
      <w:sz w:val="20"/>
      <w:szCs w:val="20"/>
    </w:rPr>
  </w:style>
  <w:style w:type="character" w:customStyle="1" w:styleId="mw-page-title-main">
    <w:name w:val="mw-page-title-main"/>
    <w:basedOn w:val="DefaultParagraphFont"/>
    <w:rsid w:val="00F33011"/>
  </w:style>
  <w:style w:type="character" w:customStyle="1" w:styleId="TitleChar">
    <w:name w:val="Title Char"/>
    <w:basedOn w:val="DefaultParagraphFont"/>
    <w:link w:val="Title"/>
    <w:uiPriority w:val="10"/>
    <w:rsid w:val="004C39AA"/>
    <w:rPr>
      <w:sz w:val="52"/>
      <w:szCs w:val="52"/>
    </w:rPr>
  </w:style>
  <w:style w:type="character" w:styleId="Hyperlink">
    <w:name w:val="Hyperlink"/>
    <w:basedOn w:val="DefaultParagraphFont"/>
    <w:uiPriority w:val="99"/>
    <w:unhideWhenUsed/>
    <w:rsid w:val="00791636"/>
    <w:rPr>
      <w:color w:val="0000FF" w:themeColor="hyperlink"/>
      <w:u w:val="single"/>
    </w:rPr>
  </w:style>
  <w:style w:type="character" w:styleId="UnresolvedMention">
    <w:name w:val="Unresolved Mention"/>
    <w:basedOn w:val="DefaultParagraphFont"/>
    <w:uiPriority w:val="99"/>
    <w:semiHidden/>
    <w:unhideWhenUsed/>
    <w:rsid w:val="00791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https://kocaeliansiklopedisi.com/Default/MaddeDetay/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EEBF74F-34AA-F441-B5F8-BCD857AF4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24</Pages>
  <Words>6194</Words>
  <Characters>37662</Characters>
  <Application>Microsoft Office Word</Application>
  <DocSecurity>0</DocSecurity>
  <Lines>502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Kenyon Cavender</dc:creator>
  <cp:keywords/>
  <dc:description/>
  <cp:lastModifiedBy>Kenyon Cavender</cp:lastModifiedBy>
  <cp:revision>133</cp:revision>
  <dcterms:created xsi:type="dcterms:W3CDTF">2026-04-01T18:01:00Z</dcterms:created>
  <dcterms:modified xsi:type="dcterms:W3CDTF">2026-04-27T23:45:00Z</dcterms:modified>
</cp:coreProperties>
</file>