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notes.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80" w:before="0" w:after="0"/>
        <w:ind w:hanging="0"/>
        <w:jc w:val="center"/>
        <w:rPr/>
      </w:pPr>
      <w:r>
        <w:rPr>
          <w:rFonts w:cs="Times New Roman" w:cstheme="majorBidi"/>
          <w:b/>
          <w:bCs/>
          <w:color w:themeColor="text1" w:val="000000"/>
        </w:rPr>
        <w:t>CHAPTER 5: The Colonial Boomerang in the Heartland: Bardizag, Primitive Accumulation, and the Gendered Logic of Expropriation</w:t>
      </w:r>
    </w:p>
    <w:p>
      <w:pPr>
        <w:pStyle w:val="BodyText"/>
        <w:tabs>
          <w:tab w:val="clear" w:pos="720"/>
          <w:tab w:val="left" w:pos="1825" w:leader="none"/>
        </w:tabs>
        <w:spacing w:lineRule="auto" w:line="480" w:before="0" w:after="0"/>
        <w:ind w:firstLine="720"/>
        <w:rPr/>
      </w:pPr>
      <w:r>
        <w:rPr>
          <w:rFonts w:cs="Times New Roman" w:cstheme="majorBidi"/>
          <w:b/>
          <w:bCs/>
          <w:color w:themeColor="text1" w:val="000000"/>
        </w:rPr>
        <w:tab/>
      </w:r>
    </w:p>
    <w:p>
      <w:pPr>
        <w:pStyle w:val="BodyText"/>
        <w:spacing w:lineRule="auto" w:line="480" w:before="0" w:after="0"/>
        <w:ind w:firstLine="720"/>
        <w:jc w:val="both"/>
        <w:rPr>
          <w:rFonts w:ascii="Times New Roman" w:hAnsi="Times New Roman" w:cs="Times New Roman" w:asciiTheme="majorBidi" w:cstheme="majorBidi" w:hAnsiTheme="majorBidi"/>
          <w:color w:themeColor="text1" w:val="000000"/>
          <w:shd w:fill="FFFFFF" w:val="clear"/>
        </w:rPr>
      </w:pPr>
      <w:r>
        <w:rPr>
          <w:rFonts w:cs="Times New Roman" w:cstheme="majorBidi"/>
          <w:color w:themeColor="text1" w:val="000000"/>
          <w:shd w:fill="FFFFFF" w:val="clear"/>
        </w:rPr>
      </w:r>
    </w:p>
    <w:p>
      <w:pPr>
        <w:pStyle w:val="BodyText"/>
        <w:spacing w:lineRule="auto" w:line="480" w:before="0" w:after="0"/>
        <w:ind w:firstLine="720"/>
        <w:jc w:val="both"/>
        <w:rPr>
          <w:rFonts w:ascii="Times New Roman" w:hAnsi="Times New Roman" w:cs="Times New Roman" w:asciiTheme="majorBidi" w:cstheme="majorBidi" w:hAnsiTheme="majorBidi"/>
          <w:color w:themeColor="text1" w:val="000000"/>
        </w:rPr>
      </w:pPr>
      <w:r>
        <w:rPr>
          <w:rFonts w:cs="Times New Roman" w:cstheme="majorBidi"/>
          <w:color w:themeColor="text1" w:val="000000"/>
        </w:rPr>
      </w:r>
    </w:p>
    <w:p>
      <w:pPr>
        <w:pStyle w:val="Normal"/>
        <w:spacing w:lineRule="auto" w:line="480" w:before="0" w:after="0"/>
        <w:ind w:hanging="0"/>
        <w:jc w:val="both"/>
        <w:rPr/>
      </w:pPr>
      <w:r>
        <w:rPr>
          <w:rFonts w:cs="Times New Roman" w:cstheme="majorBidi"/>
          <w:b/>
          <w:bCs/>
          <w:color w:themeColor="text1" w:val="000000"/>
          <w:sz w:val="24"/>
          <w:szCs w:val="24"/>
        </w:rPr>
        <w:t xml:space="preserve">Introduction </w:t>
      </w:r>
    </w:p>
    <w:p>
      <w:pPr>
        <w:pStyle w:val="Normal"/>
        <w:spacing w:lineRule="auto" w:line="480" w:before="0" w:after="0"/>
        <w:ind w:firstLine="720"/>
        <w:jc w:val="both"/>
        <w:rPr/>
      </w:pPr>
      <w:r>
        <w:rPr>
          <w:rFonts w:cs="Times New Roman" w:cstheme="majorBidi"/>
          <w:color w:themeColor="text1" w:val="000000"/>
          <w:sz w:val="24"/>
          <w:szCs w:val="24"/>
        </w:rPr>
        <w:t>The destruction of the Armenian community of Bardizag in 1915 presents a fundamental historical and theoretical puzzle: why did an ecclesiastically organized community situated only fifty-six miles from Constantinople</w:t>
      </w:r>
      <w:r>
        <w:rPr>
          <w:rFonts w:cs="Times New Roman" w:cstheme="majorBidi"/>
          <w:color w:themeColor="text1" w:val="000000"/>
          <w:sz w:val="24"/>
          <w:szCs w:val="24"/>
        </w:rPr>
        <w:t xml:space="preserve"> </w:t>
      </w:r>
      <w:r>
        <w:rPr>
          <w:rFonts w:cs="Times New Roman" w:cstheme="majorBidi"/>
          <w:color w:themeColor="text1" w:val="000000"/>
          <w:sz w:val="24"/>
          <w:szCs w:val="24"/>
          <w:shd w:fill="FFFF00" w:val="clear"/>
        </w:rPr>
        <w:t xml:space="preserve">and </w:t>
      </w:r>
      <w:r>
        <w:rPr>
          <w:rFonts w:cs="Times New Roman" w:cstheme="majorBidi"/>
          <w:color w:themeColor="text1" w:val="000000"/>
          <w:sz w:val="24"/>
          <w:szCs w:val="24"/>
          <w:shd w:fill="FFFF00" w:val="clear"/>
        </w:rPr>
        <w:t xml:space="preserve">forty miles from Bursa, the former capital of the Ottoman Beylik, </w:t>
      </w:r>
      <w:r>
        <w:rPr>
          <w:rFonts w:cs="Times New Roman" w:cstheme="majorBidi"/>
          <w:color w:themeColor="text1" w:val="000000"/>
          <w:sz w:val="24"/>
          <w:szCs w:val="24"/>
        </w:rPr>
        <w:t xml:space="preserve">become the target of the “frontier style” demographic engineering, selective dispossession, and irregular warfare usually reserved for remote peripheries? Known in the late Ottoman era as a thriving political center and a sanctuary of communal organizing, </w:t>
      </w:r>
      <w:r>
        <w:rPr>
          <w:rFonts w:cs="Times New Roman" w:cstheme="majorBidi"/>
          <w:color w:themeColor="text1" w:val="000000"/>
          <w:sz w:val="24"/>
          <w:szCs w:val="24"/>
          <w:shd w:fill="FFFF00" w:val="clear"/>
        </w:rPr>
        <w:t>Bardizag</w:t>
      </w:r>
      <w:r>
        <w:rPr>
          <w:rFonts w:cs="Times New Roman" w:cstheme="majorBidi"/>
          <w:color w:themeColor="text1" w:val="000000"/>
          <w:sz w:val="24"/>
          <w:szCs w:val="24"/>
          <w:shd w:fill="FFFF00" w:val="clear"/>
        </w:rPr>
        <w:t>'s Armenian community was systematically dismantled by the Ottoman state, its Christian citizens deported and their property divided up among state institutions, party elites, and resettled muslim refugees. Bardizag</w:t>
      </w:r>
      <w:r>
        <w:rPr>
          <w:rFonts w:cs="Times New Roman" w:cstheme="majorBidi"/>
          <w:color w:themeColor="text1" w:val="000000"/>
          <w:sz w:val="24"/>
          <w:szCs w:val="24"/>
          <w:shd w:fill="FFFF00" w:val="clear"/>
        </w:rPr>
        <w:t xml:space="preserve">’s fate </w:t>
      </w:r>
      <w:r>
        <w:rPr>
          <w:rFonts w:cs="Times New Roman" w:cstheme="majorBidi"/>
          <w:color w:themeColor="text1" w:val="000000"/>
          <w:sz w:val="24"/>
          <w:szCs w:val="24"/>
          <w:shd w:fill="FFFF00" w:val="clear"/>
        </w:rPr>
        <w:t>resembles that of towns and villages on the outskirts of the empire,</w:t>
      </w:r>
      <w:r>
        <w:rPr>
          <w:rFonts w:cs="Times New Roman" w:cstheme="majorBidi"/>
          <w:color w:themeColor="text1" w:val="000000"/>
          <w:sz w:val="24"/>
          <w:szCs w:val="24"/>
        </w:rPr>
        <w:t xml:space="preserve"> </w:t>
      </w:r>
      <w:r>
        <w:rPr>
          <w:rFonts w:cs="Times New Roman" w:cstheme="majorBidi"/>
          <w:color w:themeColor="text1" w:val="000000"/>
          <w:sz w:val="24"/>
          <w:szCs w:val="24"/>
        </w:rPr>
        <w:t>challeng</w:t>
      </w:r>
      <w:r>
        <w:rPr>
          <w:rFonts w:cs="Times New Roman" w:cstheme="majorBidi"/>
          <w:color w:themeColor="text1" w:val="000000"/>
          <w:sz w:val="24"/>
          <w:szCs w:val="24"/>
        </w:rPr>
        <w:t>ing</w:t>
      </w:r>
      <w:r>
        <w:rPr>
          <w:rFonts w:cs="Times New Roman" w:cstheme="majorBidi"/>
          <w:color w:themeColor="text1" w:val="000000"/>
          <w:sz w:val="24"/>
          <w:szCs w:val="24"/>
        </w:rPr>
        <w:t xml:space="preserve"> conventional geopolitical divisions between the imperial core and its frontiers. </w:t>
      </w:r>
      <w:r>
        <w:rPr>
          <w:rFonts w:cs="Times New Roman" w:cstheme="majorBidi"/>
          <w:color w:themeColor="text1" w:val="000000"/>
          <w:sz w:val="24"/>
          <w:szCs w:val="24"/>
        </w:rPr>
        <w:t xml:space="preserve">Through the destruction of Bardizag, </w:t>
      </w:r>
      <w:r>
        <w:rPr>
          <w:rFonts w:cs="Times New Roman" w:cstheme="majorBidi"/>
          <w:color w:themeColor="text1" w:val="000000"/>
          <w:sz w:val="24"/>
          <w:szCs w:val="24"/>
        </w:rPr>
        <w:t>an Ottoman Armenian community was transformed from an autonomous political-economic society into a source of appropriable property and labor</w:t>
      </w:r>
      <w:r>
        <w:rPr>
          <w:rFonts w:cs="Times New Roman" w:cstheme="majorBidi"/>
          <w:color w:themeColor="text1" w:val="000000"/>
          <w:sz w:val="24"/>
          <w:szCs w:val="24"/>
        </w:rPr>
        <w:t xml:space="preserve"> - a process of genocidal expropriation</w:t>
      </w:r>
      <w:r>
        <w:rPr>
          <w:rFonts w:cs="Times New Roman" w:cstheme="majorBidi"/>
          <w:color w:themeColor="text1" w:val="000000"/>
          <w:sz w:val="24"/>
          <w:szCs w:val="24"/>
        </w:rPr>
        <w:t>.</w:t>
      </w:r>
      <w:r>
        <w:rPr>
          <w:rFonts w:cs="Times New Roman" w:cstheme="majorBidi"/>
          <w:color w:themeColor="text1" w:val="000000"/>
          <w:sz w:val="24"/>
          <w:szCs w:val="24"/>
          <w:shd w:fill="FFFF00" w:val="clear"/>
        </w:rPr>
        <w:t xml:space="preserve"> </w:t>
      </w:r>
      <w:r>
        <w:rPr>
          <w:rFonts w:cs="Times New Roman" w:cstheme="majorBidi"/>
          <w:color w:themeColor="text1" w:val="000000"/>
          <w:sz w:val="24"/>
          <w:szCs w:val="24"/>
          <w:shd w:fill="FFFF00" w:val="clear"/>
        </w:rPr>
        <w:t>To answer the question of how a thriving minority community in the heart of the empire was so tranformed, this chapter employs t</w:t>
      </w:r>
      <w:r>
        <w:rPr>
          <w:rFonts w:cs="Times New Roman" w:cstheme="majorBidi"/>
          <w:color w:themeColor="text1" w:val="000000"/>
          <w:sz w:val="24"/>
          <w:szCs w:val="24"/>
          <w:shd w:fill="FFFF00" w:val="clear"/>
        </w:rPr>
        <w:t xml:space="preserve">wo </w:t>
      </w:r>
      <w:r>
        <w:rPr>
          <w:rFonts w:cs="Times New Roman" w:cstheme="majorBidi"/>
          <w:color w:themeColor="text1" w:val="000000"/>
          <w:sz w:val="24"/>
          <w:szCs w:val="24"/>
          <w:shd w:fill="FFFF00" w:val="clear"/>
        </w:rPr>
        <w:t xml:space="preserve">interlocking theoretical </w:t>
      </w:r>
      <w:r>
        <w:rPr>
          <w:rFonts w:cs="Times New Roman" w:cstheme="majorBidi"/>
          <w:color w:themeColor="text1" w:val="000000"/>
          <w:sz w:val="24"/>
          <w:szCs w:val="24"/>
          <w:shd w:fill="FFFF00" w:val="clear"/>
        </w:rPr>
        <w:t>frameworks</w:t>
      </w:r>
      <w:r>
        <w:rPr>
          <w:rFonts w:cs="Times New Roman" w:cstheme="majorBidi"/>
          <w:color w:themeColor="text1" w:val="000000"/>
          <w:sz w:val="24"/>
          <w:szCs w:val="24"/>
          <w:shd w:fill="FFFF00" w:val="clear"/>
        </w:rPr>
        <w:t>.</w:t>
      </w:r>
      <w:r>
        <w:rPr>
          <w:rFonts w:cs="Times New Roman" w:cstheme="majorBidi"/>
          <w:color w:themeColor="text1" w:val="000000"/>
          <w:sz w:val="24"/>
          <w:szCs w:val="24"/>
          <w:shd w:fill="FFFF00" w:val="clear"/>
        </w:rPr>
        <w:t xml:space="preserve"> </w:t>
      </w:r>
      <w:r>
        <w:rPr>
          <w:rFonts w:cs="Times New Roman" w:cstheme="majorBidi"/>
          <w:color w:themeColor="text1" w:val="000000"/>
          <w:sz w:val="24"/>
          <w:szCs w:val="24"/>
        </w:rPr>
        <w:t xml:space="preserve">The </w:t>
      </w:r>
      <w:r>
        <w:rPr>
          <w:rFonts w:cs="Times New Roman" w:cstheme="majorBidi"/>
          <w:color w:themeColor="text1" w:val="000000"/>
          <w:sz w:val="24"/>
          <w:szCs w:val="24"/>
        </w:rPr>
        <w:t xml:space="preserve">concept of the </w:t>
      </w:r>
      <w:r>
        <w:rPr>
          <w:rFonts w:cs="Times New Roman" w:cstheme="majorBidi"/>
          <w:color w:themeColor="text1" w:val="000000"/>
          <w:sz w:val="24"/>
          <w:szCs w:val="24"/>
        </w:rPr>
        <w:t xml:space="preserve">colonial boomerang explains how it became possible for frontier-style violence to be deployed against a population living in the shadow of the capital. </w:t>
      </w:r>
      <w:r>
        <w:rPr>
          <w:rFonts w:cs="Times New Roman" w:cstheme="majorBidi"/>
          <w:color w:themeColor="text1" w:val="000000"/>
          <w:sz w:val="24"/>
          <w:szCs w:val="24"/>
        </w:rPr>
        <w:t>The framework of g</w:t>
      </w:r>
      <w:r>
        <w:rPr>
          <w:rFonts w:cs="Times New Roman" w:cstheme="majorBidi"/>
          <w:color w:themeColor="text1" w:val="000000"/>
          <w:sz w:val="24"/>
          <w:szCs w:val="24"/>
        </w:rPr>
        <w:t>endered expropriation explains how that violence, once deployed, extracted different things from Armenian men, women, and children, and continued to do so long after the deportations themselves.</w:t>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The colonial boomerang</w:t>
      </w:r>
    </w:p>
    <w:p>
      <w:pPr>
        <w:pStyle w:val="BodyText"/>
        <w:spacing w:lineRule="auto" w:line="480" w:before="0" w:after="0"/>
        <w:ind w:firstLine="720"/>
        <w:jc w:val="both"/>
        <w:rPr/>
      </w:pPr>
      <w:r>
        <w:rPr>
          <w:rFonts w:cs="Times New Roman" w:cstheme="majorBidi"/>
          <w:color w:themeColor="text1" w:val="000000"/>
        </w:rPr>
        <w:t>The concept of the colonial boomerang, associated</w:t>
      </w:r>
      <w:r>
        <w:rPr>
          <w:rFonts w:cs="Times New Roman" w:cstheme="majorBidi"/>
          <w:color w:themeColor="text1" w:val="000000"/>
        </w:rPr>
        <w:t xml:space="preserve"> </w:t>
      </w:r>
      <w:r>
        <w:rPr>
          <w:rFonts w:cs="Times New Roman" w:cstheme="majorBidi"/>
          <w:color w:themeColor="text1" w:val="000000"/>
        </w:rPr>
        <w:t xml:space="preserve">with </w:t>
      </w:r>
      <w:r>
        <w:rPr>
          <w:rFonts w:cs="Times New Roman" w:cstheme="majorBidi"/>
          <w:color w:themeColor="text1" w:val="000000"/>
        </w:rPr>
        <w:t xml:space="preserve">the work of </w:t>
      </w:r>
      <w:r>
        <w:rPr>
          <w:rFonts w:cs="Times New Roman" w:cstheme="majorBidi"/>
          <w:color w:themeColor="text1" w:val="000000"/>
        </w:rPr>
        <w:t>Aimé Césaire and Hannah Arendt, describes the process by which coercive, repressive practices developed against marginalized populations on the imperial frontiers return to strike the metropole.</w:t>
      </w:r>
      <w:r>
        <w:rPr>
          <w:rStyle w:val="FootnoteReference"/>
          <w:rFonts w:cs="Times New Roman" w:cstheme="majorBidi"/>
          <w:color w:themeColor="text1" w:val="000000"/>
        </w:rPr>
        <w:footnoteReference w:id="2"/>
      </w:r>
      <w:r>
        <w:rPr>
          <w:rFonts w:cs="Times New Roman" w:cstheme="majorBidi"/>
          <w:color w:themeColor="text1" w:val="000000"/>
        </w:rPr>
        <w:t xml:space="preserve"> </w:t>
      </w:r>
      <w:r>
        <w:rPr>
          <w:rFonts w:cs="Times New Roman" w:cstheme="majorBidi"/>
          <w:color w:themeColor="text1" w:val="000000"/>
          <w:shd w:fill="FFFFFF" w:val="clear"/>
        </w:rPr>
        <w:t>That such a boomerang existed in the late Ottoman Empire is not, by itself, a surprising claim: the reader already knows that the Ottoman state used varying registers of violence across its territory, and few historians would deny some relationship between frontier counterinsurgency and metropolitan repression in principle. The claim this chapter makes is more specific. Violent practices, personnel, and administrative knowledge developed through imperial frontier warfare were redirected toward an Armenian population situated in the imperial heartland, effectively producing an internal colonial periphery. Rather than simply returning to the metropole, imperial violence in the Ottoman case operated through the active creation of “</w:t>
      </w:r>
      <w:commentRangeStart w:id="0"/>
      <w:r>
        <w:rPr>
          <w:rFonts w:cs="Times New Roman" w:cstheme="majorBidi"/>
          <w:color w:themeColor="text1" w:val="000000"/>
          <w:shd w:fill="FFFFFF" w:val="clear"/>
        </w:rPr>
        <w:t>internal peripheries</w:t>
      </w:r>
      <w:r>
        <w:rPr>
          <w:rFonts w:cs="Times New Roman" w:cstheme="majorBidi"/>
          <w:color w:themeColor="text1" w:val="000000"/>
          <w:shd w:fill="FFFFFF" w:val="clear"/>
        </w:rPr>
      </w:r>
      <w:commentRangeEnd w:id="0"/>
      <w:r>
        <w:commentReference w:id="0"/>
      </w:r>
      <w:r>
        <w:rPr>
          <w:rFonts w:cs="Times New Roman" w:cstheme="majorBidi"/>
          <w:color w:themeColor="text1" w:val="000000"/>
          <w:shd w:fill="FFFFFF" w:val="clear"/>
        </w:rPr>
        <w:t xml:space="preserve">.” </w:t>
      </w:r>
      <w:r>
        <w:rPr>
          <w:rFonts w:cs="Times New Roman" w:cstheme="majorBidi"/>
          <w:color w:themeColor="text1" w:val="000000"/>
          <w:shd w:fill="FFFF00" w:val="clear"/>
        </w:rPr>
        <w:t xml:space="preserve">The </w:t>
      </w:r>
      <w:r>
        <w:rPr>
          <w:rFonts w:cs="Times New Roman" w:cstheme="majorBidi"/>
          <w:color w:themeColor="text1" w:val="000000"/>
          <w:shd w:fill="FFFF00" w:val="clear"/>
        </w:rPr>
        <w:t xml:space="preserve">violence of in the heartland was not merely an abstract emergence of violence inspired by wartime animosity against </w:t>
      </w:r>
      <w:r>
        <w:rPr>
          <w:rFonts w:cs="Times New Roman" w:cstheme="majorBidi"/>
          <w:color w:themeColor="text1" w:val="000000"/>
          <w:shd w:fill="FFFF00" w:val="clear"/>
        </w:rPr>
        <w:t>"Armenianness" and other minorities</w:t>
      </w:r>
      <w:r>
        <w:rPr>
          <w:rFonts w:cs="Times New Roman" w:cstheme="majorBidi"/>
          <w:color w:themeColor="text1" w:val="000000"/>
          <w:shd w:fill="FFFF00" w:val="clear"/>
        </w:rPr>
        <w:t xml:space="preserve">, but was a specific set of repressive practices instituted by a specific set of specialists with experience on the imperial frontier. They turned their </w:t>
      </w:r>
      <w:r>
        <w:rPr>
          <w:rFonts w:cs="Times New Roman" w:cstheme="majorBidi"/>
          <w:color w:themeColor="text1" w:val="000000"/>
          <w:shd w:fill="FFFF00" w:val="clear"/>
        </w:rPr>
        <w:t>frontier-tested counterinsurgency and demographic techniques inward</w:t>
      </w:r>
      <w:r>
        <w:rPr>
          <w:rFonts w:cs="Times New Roman" w:cstheme="majorBidi"/>
          <w:color w:themeColor="text1" w:val="000000"/>
          <w:shd w:fill="FFFFFF" w:val="clear"/>
        </w:rPr>
        <w:t xml:space="preserve">, </w:t>
      </w:r>
      <w:r>
        <w:rPr>
          <w:rFonts w:cs="Times New Roman" w:cstheme="majorBidi"/>
          <w:color w:themeColor="text1" w:val="000000"/>
          <w:shd w:fill="FFFFFF" w:val="clear"/>
        </w:rPr>
        <w:t>transforming</w:t>
      </w:r>
      <w:r>
        <w:rPr>
          <w:rFonts w:cs="Times New Roman" w:cstheme="majorBidi"/>
          <w:color w:themeColor="text1" w:val="000000"/>
          <w:shd w:fill="FFFFFF" w:val="clear"/>
        </w:rPr>
        <w:t xml:space="preserve"> a highly proximate, economically integrated population </w:t>
      </w:r>
      <w:r>
        <w:rPr>
          <w:rFonts w:cs="Times New Roman" w:cstheme="majorBidi"/>
          <w:color w:themeColor="text1" w:val="000000"/>
          <w:shd w:fill="FFFFFF" w:val="clear"/>
        </w:rPr>
        <w:t xml:space="preserve">into an internal </w:t>
      </w:r>
      <w:r>
        <w:rPr>
          <w:rFonts w:cs="Times New Roman" w:cstheme="majorBidi"/>
          <w:color w:themeColor="text1" w:val="000000"/>
          <w:shd w:fill="FFFFFF" w:val="clear"/>
        </w:rPr>
        <w:t>peripher</w:t>
      </w:r>
      <w:r>
        <w:rPr>
          <w:rFonts w:cs="Times New Roman" w:cstheme="majorBidi"/>
          <w:color w:themeColor="text1" w:val="000000"/>
          <w:shd w:fill="FFFFFF" w:val="clear"/>
        </w:rPr>
        <w:t>y</w:t>
      </w:r>
      <w:r>
        <w:rPr>
          <w:rFonts w:cs="Times New Roman" w:cstheme="majorBidi"/>
          <w:color w:themeColor="text1" w:val="000000"/>
          <w:shd w:fill="FFFFFF" w:val="clear"/>
        </w:rPr>
        <w:t xml:space="preserve"> in the shadow of the capital.</w:t>
      </w:r>
    </w:p>
    <w:p>
      <w:pPr>
        <w:pStyle w:val="Normal"/>
        <w:spacing w:lineRule="auto" w:line="480" w:before="0" w:after="0"/>
        <w:ind w:firstLine="720"/>
        <w:rPr/>
      </w:pPr>
      <w:r>
        <w:rPr>
          <w:rFonts w:cs="Times New Roman" w:cstheme="majorBidi"/>
          <w:color w:themeColor="text1" w:val="000000"/>
          <w:sz w:val="24"/>
          <w:szCs w:val="24"/>
        </w:rPr>
        <w:t xml:space="preserve">Following the insights of Connor Woodman, this boomerang can be understood as operating through three entangled moments: violence is forged on the frontier; it is carried inward by specialized personnel for whom participation in that violence becomes a career escalator; and these techniques are then applied to populations previously considered integrated into the empire’s economic and administrative core. </w:t>
      </w:r>
      <w:r>
        <w:rPr>
          <w:rFonts w:cs="Times New Roman" w:cstheme="majorBidi"/>
          <w:color w:themeColor="text1" w:val="000000"/>
          <w:sz w:val="24"/>
          <w:szCs w:val="24"/>
        </w:rPr>
        <w:t>In the case of Bardizag, the imperial boomerange was embodied in m</w:t>
      </w:r>
      <w:r>
        <w:rPr>
          <w:rFonts w:cs="Times New Roman" w:cstheme="majorBidi"/>
          <w:color w:themeColor="text1" w:val="000000"/>
          <w:sz w:val="24"/>
          <w:szCs w:val="24"/>
        </w:rPr>
        <w:t>en like Istanbul prison governor Ibrahim Bey and district governor Ali Şuuri Bey</w:t>
      </w:r>
      <w:r>
        <w:rPr>
          <w:rFonts w:cs="Times New Roman" w:cstheme="majorBidi"/>
          <w:color w:themeColor="text1" w:val="000000"/>
          <w:sz w:val="24"/>
          <w:szCs w:val="24"/>
        </w:rPr>
        <w:t>.</w:t>
      </w:r>
      <w:r>
        <w:rPr>
          <w:rFonts w:cs="Times New Roman" w:cstheme="majorBidi"/>
          <w:color w:themeColor="text1" w:val="000000"/>
          <w:sz w:val="24"/>
          <w:szCs w:val="24"/>
        </w:rPr>
        <w:t xml:space="preserve"> Ibrahim Bey represented the extralegal, paramilitary arm of the Ottoman state apparatus. He had forged his violent repertoire in the Balkan regions and the 1909 Adana pogrom; two critical frontiers of the ethno-national conflict, before being dispatched to the Izmit region.</w:t>
      </w:r>
      <w:r>
        <w:rPr>
          <w:rStyle w:val="FootnoteReference"/>
          <w:rFonts w:cs="Times New Roman" w:cstheme="majorBidi"/>
          <w:color w:themeColor="text1" w:val="000000"/>
          <w:sz w:val="24"/>
          <w:szCs w:val="24"/>
        </w:rPr>
        <w:footnoteReference w:id="3"/>
      </w:r>
      <w:r>
        <w:rPr>
          <w:rFonts w:cs="Times New Roman" w:cstheme="majorBidi"/>
          <w:color w:themeColor="text1" w:val="000000"/>
          <w:sz w:val="24"/>
          <w:szCs w:val="24"/>
        </w:rPr>
        <w:t xml:space="preserve"> His career demonstrates how participation in anti-Armenian violence, organized around the production of ethno-racial difference served not as a breach of administrative duty, but as a primary political qualification and a mechanism for institutional promotion. Ali Şuuri Bey represent</w:t>
      </w:r>
      <w:r>
        <w:rPr>
          <w:rFonts w:cs="Times New Roman" w:cstheme="majorBidi"/>
          <w:color w:themeColor="text1" w:val="000000"/>
          <w:sz w:val="24"/>
          <w:szCs w:val="24"/>
        </w:rPr>
        <w:t>ed</w:t>
      </w:r>
      <w:r>
        <w:rPr>
          <w:rFonts w:cs="Times New Roman" w:cstheme="majorBidi"/>
          <w:color w:themeColor="text1" w:val="000000"/>
          <w:sz w:val="24"/>
          <w:szCs w:val="24"/>
        </w:rPr>
        <w:t xml:space="preserve"> the highly educated, technocratic face of the CUP state. A 1912 graduate of the prestigious </w:t>
      </w:r>
      <w:r>
        <w:rPr>
          <w:rFonts w:cs="Times New Roman" w:cstheme="majorBidi"/>
          <w:i/>
          <w:iCs/>
          <w:color w:themeColor="text1" w:val="000000"/>
          <w:sz w:val="24"/>
          <w:szCs w:val="24"/>
        </w:rPr>
        <w:t xml:space="preserve">Mülkiye </w:t>
      </w:r>
      <w:r>
        <w:rPr>
          <w:rFonts w:cs="Times New Roman" w:cstheme="majorBidi"/>
          <w:color w:themeColor="text1" w:val="000000"/>
          <w:sz w:val="24"/>
          <w:szCs w:val="24"/>
        </w:rPr>
        <w:t>(School of Civil Administration), Ali Şuuri had served on the staff of the governor of Thessaloniki and had been captured by Greek forces before being reassigned to the staff of the governor of İzmit, ultimately becoming the director of Bardizag in May 1914.</w:t>
      </w:r>
      <w:r>
        <w:rPr>
          <w:rStyle w:val="FootnoteReference"/>
          <w:rFonts w:cs="Times New Roman" w:cstheme="majorBidi"/>
          <w:color w:themeColor="text1" w:val="000000"/>
          <w:sz w:val="24"/>
          <w:szCs w:val="24"/>
        </w:rPr>
        <w:footnoteReference w:id="4"/>
      </w:r>
      <w:r>
        <w:rPr>
          <w:rFonts w:cs="Times New Roman" w:cstheme="majorBidi"/>
          <w:color w:themeColor="text1" w:val="000000"/>
          <w:sz w:val="24"/>
          <w:szCs w:val="24"/>
        </w:rPr>
        <w:t xml:space="preserve"> In Turkish nationalist historiography, he is described as having carried out “the duties” assigned to him with “sincerity and dedication” during this period.</w:t>
      </w:r>
      <w:r>
        <w:rPr>
          <w:rStyle w:val="FootnoteReference"/>
          <w:rFonts w:cs="Times New Roman" w:cstheme="majorBidi"/>
          <w:color w:themeColor="text1" w:val="000000"/>
          <w:sz w:val="24"/>
          <w:szCs w:val="24"/>
        </w:rPr>
        <w:footnoteReference w:id="5"/>
      </w:r>
      <w:r>
        <w:rPr>
          <w:rFonts w:cs="Times New Roman" w:cstheme="majorBidi"/>
          <w:color w:themeColor="text1" w:val="000000"/>
          <w:sz w:val="24"/>
          <w:szCs w:val="24"/>
        </w:rPr>
        <w:t xml:space="preserve"> After Bardizag, he continued his administrative career: district governor of Ayancık in August 1916, and police chief of Kastamonu in July 1917.</w:t>
      </w:r>
    </w:p>
    <w:p>
      <w:pPr>
        <w:pStyle w:val="Normal"/>
        <w:spacing w:lineRule="auto" w:line="480" w:before="0" w:after="0"/>
        <w:ind w:firstLine="720"/>
        <w:rPr/>
      </w:pPr>
      <w:r>
        <w:rPr>
          <w:rFonts w:cs="Times New Roman" w:cstheme="majorBidi"/>
          <w:color w:themeColor="text1" w:val="000000"/>
          <w:sz w:val="24"/>
          <w:szCs w:val="24"/>
        </w:rPr>
        <w:t>The collaboration between these two men</w:t>
      </w:r>
      <w:r>
        <w:rPr>
          <w:rFonts w:cs="Times New Roman" w:cstheme="majorBidi"/>
          <w:color w:themeColor="text1" w:val="000000"/>
          <w:sz w:val="24"/>
          <w:szCs w:val="24"/>
        </w:rPr>
        <w:t>,</w:t>
      </w:r>
      <w:r>
        <w:rPr>
          <w:rFonts w:cs="Times New Roman" w:cstheme="majorBidi"/>
          <w:color w:themeColor="text1" w:val="000000"/>
          <w:sz w:val="24"/>
          <w:szCs w:val="24"/>
        </w:rPr>
        <w:t xml:space="preserve"> the technocratic administrator and the paramilitary prison director, crystallized the disintegration of conventional security structures on the ground, a disintegration further manifested through the deployment of irregular forces in civilian dress. As Ryan Gingeras has argued, the origins of what became organized paramilitary and criminal networks in Turkey are deeply intertwined with the late nineteenth-century sociopolitical landscape of the South Marmara region, where the boundaries between state authority and paramilitary violence were deliberately obscured.</w:t>
      </w:r>
      <w:r>
        <w:rPr>
          <w:rStyle w:val="FootnoteReference"/>
          <w:rFonts w:cs="Times New Roman" w:cstheme="majorBidi"/>
          <w:color w:themeColor="text1" w:val="000000"/>
          <w:sz w:val="24"/>
          <w:szCs w:val="24"/>
        </w:rPr>
        <w:footnoteReference w:id="6"/>
      </w:r>
      <w:r>
        <w:rPr>
          <w:rFonts w:cs="Times New Roman" w:cstheme="majorBidi"/>
          <w:color w:themeColor="text1" w:val="000000"/>
          <w:sz w:val="24"/>
          <w:szCs w:val="24"/>
        </w:rPr>
        <w:t xml:space="preserve"> For perpetrators like Ibrahim Bey and Ali Şuuri, the systematic expropriation of Armenian wealth was not an incidental byproduct of war but a foundational mechanism of career advancement; violence converted into administrative expertise and, eventually, political capital. </w:t>
      </w:r>
    </w:p>
    <w:p>
      <w:pPr>
        <w:pStyle w:val="Normal"/>
        <w:spacing w:lineRule="auto" w:line="480" w:before="0" w:after="0"/>
        <w:ind w:firstLine="720"/>
        <w:jc w:val="both"/>
        <w:rPr/>
      </w:pPr>
      <w:r>
        <w:rPr>
          <w:rFonts w:cs="Times New Roman" w:cstheme="majorBidi"/>
          <w:color w:themeColor="text1" w:val="000000"/>
          <w:sz w:val="24"/>
          <w:szCs w:val="24"/>
        </w:rPr>
        <w:t xml:space="preserve">The end of the Committee of Union and Progress regime did not automatically erase the institutional, personal, or material consequences of the genocide it had organized. Ali Şuuri Bey’s postwar career demonstrates this with unusual clarity, and it gives this chapter’s argument about the Republic a concrete example of personnel continuity and political rehabilitation. During the Armistice period, he was tried by the Martial Court, chaired by Esat Pasha, for his role in the deportation of Armenians. Among the witnesses whose written testimony was read at that hearing, Tanaş Efendi stated that İbrahim Bey had ordered detainees to be beaten; Karabet from İzmit testified that İbrahim Bey imprisoned approximately fifteen Armenians and had them beaten by gendarmes; and Artin Kürekçiyan likewise stated that İbrahim Bey arrested him and that he and other detainees were beaten. The merchant Mihran Semerciyan gave evidence of Ali Şuuri Bey’s </w:t>
      </w:r>
      <w:r>
        <w:rPr>
          <w:rFonts w:cs="Times New Roman" w:cstheme="majorBidi"/>
          <w:color w:themeColor="text1" w:val="000000"/>
          <w:sz w:val="24"/>
          <w:szCs w:val="24"/>
          <w:shd w:fill="FFFF00" w:val="clear"/>
        </w:rPr>
        <w:t>personal involvement in</w:t>
      </w:r>
      <w:r>
        <w:rPr>
          <w:rFonts w:cs="Times New Roman" w:cstheme="majorBidi"/>
          <w:color w:themeColor="text1" w:val="000000"/>
          <w:sz w:val="24"/>
          <w:szCs w:val="24"/>
          <w:shd w:fill="FFFF00" w:val="clear"/>
        </w:rPr>
        <w:t xml:space="preserve"> </w:t>
      </w:r>
      <w:r>
        <w:rPr>
          <w:rFonts w:cs="Times New Roman" w:cstheme="majorBidi"/>
          <w:color w:themeColor="text1" w:val="000000"/>
          <w:sz w:val="24"/>
          <w:szCs w:val="24"/>
          <w:shd w:fill="FFFF00" w:val="clear"/>
        </w:rPr>
        <w:t xml:space="preserve">the </w:t>
      </w:r>
      <w:r>
        <w:rPr>
          <w:rFonts w:cs="Times New Roman" w:cstheme="majorBidi"/>
          <w:color w:themeColor="text1" w:val="000000"/>
          <w:sz w:val="24"/>
          <w:szCs w:val="24"/>
          <w:shd w:fill="FFFF00" w:val="clear"/>
        </w:rPr>
        <w:t>extortion</w:t>
      </w:r>
      <w:r>
        <w:rPr>
          <w:rFonts w:cs="Times New Roman" w:cstheme="majorBidi"/>
          <w:color w:themeColor="text1" w:val="000000"/>
          <w:sz w:val="24"/>
          <w:szCs w:val="24"/>
          <w:shd w:fill="FFFF00" w:val="clear"/>
        </w:rPr>
        <w:t xml:space="preserve"> of detainees</w:t>
      </w:r>
      <w:r>
        <w:rPr>
          <w:rFonts w:cs="Times New Roman" w:cstheme="majorBidi"/>
          <w:color w:themeColor="text1" w:val="000000"/>
          <w:sz w:val="24"/>
          <w:szCs w:val="24"/>
        </w:rPr>
        <w:t xml:space="preserve"> during the deportations.</w:t>
      </w:r>
      <w:r>
        <w:rPr>
          <w:rStyle w:val="FootnoteReference"/>
          <w:rFonts w:cs="Times New Roman" w:cstheme="majorBidi"/>
          <w:color w:themeColor="text1" w:val="000000"/>
          <w:sz w:val="24"/>
          <w:szCs w:val="24"/>
        </w:rPr>
        <w:footnoteReference w:id="7"/>
      </w:r>
    </w:p>
    <w:p>
      <w:pPr>
        <w:pStyle w:val="Normal"/>
        <w:spacing w:lineRule="auto" w:line="480" w:before="0" w:after="0"/>
        <w:ind w:firstLine="720"/>
        <w:jc w:val="both"/>
        <w:rPr/>
      </w:pPr>
      <w:r>
        <w:rPr>
          <w:rFonts w:cs="Times New Roman" w:cstheme="majorBidi"/>
          <w:color w:themeColor="text1" w:val="000000"/>
          <w:sz w:val="24"/>
          <w:szCs w:val="24"/>
        </w:rPr>
        <w:t>The tribunal did not end Ali Şuuri’s career. Following his release, he returned to Balıkesir and, in April 1920, was elected a member of the Central Committee of National Defense. A few months later, he was appointed district governor of Balya by the National Government. He was captured by Greek forces on the İvrindi front; after the Armistice of Mudanya, he was exchanged and returned to Turkey in June 1923. He was elected as a deputy for Balıkesir in the 1923, 1927, and 1931 elections and served in the Turkish Grand National Assembly until his death of a sudden stroke on July 20, 1934. The point of this trajectory is not that the Republic was simply the CUP continued; that claim is too broad to defend on the evidence of one career.</w:t>
      </w:r>
      <w:r>
        <w:rPr>
          <w:rFonts w:cs="Times New Roman" w:cstheme="majorBidi"/>
          <w:color w:themeColor="text1" w:val="000000"/>
          <w:sz w:val="24"/>
          <w:szCs w:val="24"/>
        </w:rPr>
        <w:t xml:space="preserve"> </w:t>
      </w:r>
      <w:commentRangeStart w:id="1"/>
      <w:r>
        <w:rPr>
          <w:rFonts w:cs="Times New Roman" w:cstheme="majorBidi"/>
          <w:color w:themeColor="text1" w:val="000000"/>
          <w:sz w:val="24"/>
          <w:szCs w:val="24"/>
          <w:shd w:fill="FFFF00" w:val="clear"/>
        </w:rPr>
        <w:t>Rather, the point is that within the shifting context of the Ottoman Empire's decline and the establishment of the Turkish Republic, individuals like Ali Şuuri were able to leverage their involvement in the genocide into personal and professional benefits as they constituted the emerging Turkish national bourgeoisie.</w:t>
      </w:r>
      <w:commentRangeEnd w:id="1"/>
      <w:r>
        <w:commentReference w:id="1"/>
      </w:r>
      <w:r>
        <w:rPr>
          <w:rFonts w:cs="Times New Roman" w:cstheme="majorBidi"/>
          <w:color w:themeColor="text1" w:val="000000"/>
          <w:sz w:val="24"/>
          <w:szCs w:val="24"/>
        </w:rPr>
      </w:r>
    </w:p>
    <w:p>
      <w:pPr>
        <w:pStyle w:val="Normal"/>
        <w:spacing w:lineRule="auto" w:line="480" w:before="0" w:after="0"/>
        <w:ind w:hanging="0"/>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rPr/>
      </w:pPr>
      <w:r>
        <w:rPr>
          <w:rFonts w:cs="Times New Roman" w:cstheme="majorBidi"/>
          <w:b/>
          <w:bCs/>
          <w:i/>
          <w:iCs/>
          <w:color w:themeColor="text1" w:val="000000"/>
          <w:sz w:val="24"/>
          <w:szCs w:val="24"/>
        </w:rPr>
        <w:t>Expropriation, not simply destruction</w:t>
      </w:r>
    </w:p>
    <w:p>
      <w:pPr>
        <w:pStyle w:val="Normal"/>
        <w:spacing w:lineRule="auto" w:line="480" w:before="0" w:after="0"/>
        <w:ind w:firstLine="720"/>
        <w:rPr/>
      </w:pPr>
      <w:r>
        <w:rPr>
          <w:rFonts w:cs="Times New Roman" w:cstheme="majorBidi"/>
          <w:color w:themeColor="text1" w:val="000000"/>
          <w:sz w:val="24"/>
          <w:szCs w:val="24"/>
          <w:shd w:fill="FFFF00" w:val="clear"/>
        </w:rPr>
        <w:t>Th</w:t>
      </w:r>
      <w:r>
        <w:rPr>
          <w:rFonts w:cs="Times New Roman" w:cstheme="majorBidi"/>
          <w:color w:themeColor="text1" w:val="000000"/>
          <w:sz w:val="24"/>
          <w:szCs w:val="24"/>
          <w:shd w:fill="FFFF00" w:val="clear"/>
        </w:rPr>
        <w:t>is</w:t>
      </w:r>
      <w:r>
        <w:rPr>
          <w:rFonts w:cs="Times New Roman" w:cstheme="majorBidi"/>
          <w:color w:themeColor="text1" w:val="000000"/>
          <w:sz w:val="24"/>
          <w:szCs w:val="24"/>
          <w:shd w:fill="FFFF00" w:val="clear"/>
        </w:rPr>
        <w:t xml:space="preserve"> chapter </w:t>
      </w:r>
      <w:r>
        <w:rPr>
          <w:rFonts w:cs="Times New Roman" w:cstheme="majorBidi"/>
          <w:color w:themeColor="text1" w:val="000000"/>
          <w:sz w:val="24"/>
          <w:szCs w:val="24"/>
          <w:shd w:fill="FFFF00" w:val="clear"/>
        </w:rPr>
        <w:t>highlights the economic dimension of the imperial boomerang, as the Ottoman state employed the dual mechanisms of expropriation and exploitation in its attempt to transform the Armenian population of Bardizag into a source of wealth for the state and its favored citizens. D</w:t>
      </w:r>
      <w:r>
        <w:rPr>
          <w:rFonts w:cs="Times New Roman" w:cstheme="majorBidi"/>
          <w:i w:val="false"/>
          <w:iCs w:val="false"/>
          <w:color w:themeColor="text1" w:val="000000"/>
          <w:sz w:val="24"/>
          <w:szCs w:val="24"/>
          <w:shd w:fill="FFFF00" w:val="clear"/>
        </w:rPr>
        <w:t>rawing</w:t>
      </w:r>
      <w:r>
        <w:rPr>
          <w:rFonts w:cs="Times New Roman" w:cstheme="majorBidi"/>
          <w:color w:themeColor="text1" w:val="000000"/>
          <w:sz w:val="24"/>
          <w:szCs w:val="24"/>
          <w:shd w:fill="FFFF00" w:val="clear"/>
        </w:rPr>
        <w:t xml:space="preserve"> on</w:t>
      </w:r>
      <w:r>
        <w:rPr>
          <w:rFonts w:cs="Times New Roman" w:cstheme="majorBidi"/>
          <w:color w:themeColor="text1" w:val="000000"/>
          <w:sz w:val="24"/>
          <w:szCs w:val="24"/>
          <w:shd w:fill="FFFF00" w:val="clear"/>
        </w:rPr>
        <w:t xml:space="preserve"> </w:t>
      </w:r>
      <w:r>
        <w:rPr>
          <w:rFonts w:cs="Times New Roman" w:cstheme="majorBidi"/>
          <w:color w:themeColor="text1" w:val="000000"/>
          <w:sz w:val="24"/>
          <w:szCs w:val="24"/>
          <w:shd w:fill="FFFF00" w:val="clear"/>
        </w:rPr>
        <w:t xml:space="preserve">the distinction that </w:t>
      </w:r>
      <w:r>
        <w:rPr>
          <w:rFonts w:cs="Times New Roman" w:cstheme="majorBidi"/>
          <w:color w:themeColor="text1" w:val="000000"/>
          <w:sz w:val="24"/>
          <w:szCs w:val="24"/>
          <w:shd w:fill="FFFF00" w:val="clear"/>
        </w:rPr>
        <w:t>Nancy Fraser</w:t>
      </w:r>
      <w:r>
        <w:rPr>
          <w:rFonts w:cs="Times New Roman" w:cstheme="majorBidi"/>
          <w:color w:themeColor="text1" w:val="000000"/>
          <w:sz w:val="24"/>
          <w:szCs w:val="24"/>
          <w:shd w:fill="FFFF00" w:val="clear"/>
        </w:rPr>
        <w:t xml:space="preserve"> makes between exploitation and expropriation in her </w:t>
      </w:r>
      <w:r>
        <w:rPr>
          <w:rFonts w:cs="Times New Roman" w:cstheme="majorBidi"/>
          <w:color w:themeColor="text1" w:val="000000"/>
          <w:sz w:val="24"/>
          <w:szCs w:val="24"/>
          <w:shd w:fill="FFFF00" w:val="clear"/>
        </w:rPr>
        <w:t>historical analysis on the political economy of capitalism</w:t>
      </w:r>
      <w:r>
        <w:rPr>
          <w:rFonts w:cs="Times New Roman" w:cstheme="majorBidi"/>
          <w:color w:themeColor="text1" w:val="000000"/>
          <w:sz w:val="24"/>
          <w:szCs w:val="24"/>
          <w:shd w:fill="FFFF00" w:val="clear"/>
        </w:rPr>
        <w:t>, this chapter highlights the shifting economic categorization of Armenian subjects of the empire.</w:t>
      </w:r>
      <w:r>
        <w:rPr>
          <w:rFonts w:cs="Times New Roman" w:cstheme="majorBidi"/>
          <w:color w:themeColor="text1" w:val="000000"/>
          <w:sz w:val="24"/>
          <w:szCs w:val="24"/>
        </w:rPr>
        <w:t xml:space="preserve"> While exploitation operates through the formalized market mechanisms of the wage contract, expropriation represents accumulation by other means</w:t>
      </w:r>
      <w:r>
        <w:rPr>
          <w:rFonts w:cs="Times New Roman" w:cstheme="majorBidi"/>
          <w:color w:themeColor="text1" w:val="000000"/>
          <w:sz w:val="24"/>
          <w:szCs w:val="24"/>
        </w:rPr>
        <w:t xml:space="preserve"> -</w:t>
      </w:r>
      <w:r>
        <w:rPr>
          <w:rFonts w:cs="Times New Roman" w:cstheme="majorBidi"/>
          <w:color w:themeColor="text1" w:val="000000"/>
          <w:sz w:val="24"/>
          <w:szCs w:val="24"/>
        </w:rPr>
        <w:t xml:space="preserve"> the coercive, extra-economic seizure of property, labor, and personhood.</w:t>
      </w:r>
      <w:r>
        <w:rPr>
          <w:rStyle w:val="FootnoteReference"/>
          <w:rFonts w:cs="Times New Roman" w:cstheme="majorBidi"/>
          <w:color w:themeColor="text1" w:val="000000"/>
          <w:sz w:val="24"/>
          <w:szCs w:val="24"/>
        </w:rPr>
        <w:footnoteReference w:id="8"/>
      </w:r>
      <w:r>
        <w:rPr>
          <w:rFonts w:cs="Times New Roman" w:cstheme="majorBidi"/>
          <w:color w:themeColor="text1" w:val="000000"/>
          <w:sz w:val="24"/>
          <w:szCs w:val="24"/>
        </w:rPr>
        <w:t xml:space="preserve"> This process of primitive accumulation, which Karl Marx described as inscribed “in blood and fire,” advanced in the Ottoman context through the </w:t>
      </w:r>
      <w:r>
        <w:rPr>
          <w:rFonts w:cs="Times New Roman" w:cstheme="majorBidi"/>
          <w:color w:themeColor="text1" w:val="000000"/>
          <w:sz w:val="24"/>
          <w:szCs w:val="24"/>
        </w:rPr>
        <w:t>synchronous</w:t>
      </w:r>
      <w:r>
        <w:rPr>
          <w:rFonts w:cs="Times New Roman" w:cstheme="majorBidi"/>
          <w:color w:themeColor="text1" w:val="000000"/>
          <w:sz w:val="24"/>
          <w:szCs w:val="24"/>
        </w:rPr>
        <w:t xml:space="preserve"> operation of </w:t>
      </w:r>
      <w:r>
        <w:rPr>
          <w:rFonts w:cs="Times New Roman" w:cstheme="majorBidi"/>
          <w:color w:themeColor="text1" w:val="000000"/>
          <w:sz w:val="24"/>
          <w:szCs w:val="24"/>
        </w:rPr>
        <w:t xml:space="preserve">both </w:t>
      </w:r>
      <w:r>
        <w:rPr>
          <w:rFonts w:cs="Times New Roman" w:cstheme="majorBidi"/>
          <w:color w:themeColor="text1" w:val="000000"/>
          <w:sz w:val="24"/>
          <w:szCs w:val="24"/>
        </w:rPr>
        <w:t>physical extermination and wealth transfer.</w:t>
      </w:r>
      <w:r>
        <w:rPr>
          <w:rStyle w:val="FootnoteReference"/>
          <w:rFonts w:cs="Times New Roman" w:cstheme="majorBidi"/>
          <w:color w:themeColor="text1" w:val="000000"/>
          <w:sz w:val="24"/>
          <w:szCs w:val="24"/>
        </w:rPr>
        <w:footnoteReference w:id="9"/>
      </w:r>
      <w:r>
        <w:rPr>
          <w:rFonts w:cs="Times New Roman" w:cstheme="majorBidi"/>
          <w:color w:themeColor="text1" w:val="000000"/>
          <w:sz w:val="24"/>
          <w:szCs w:val="24"/>
        </w:rPr>
        <w:t xml:space="preserve"> Critically, as the pioneering work of Anahit Astoyan demonstrates, this expropriation cannot be reduced to the mere confiscation of material wealth, such as land, houses, and vineyards.</w:t>
      </w:r>
      <w:r>
        <w:rPr>
          <w:rStyle w:val="FootnoteReference"/>
          <w:rFonts w:cs="Times New Roman" w:cstheme="majorBidi"/>
          <w:color w:themeColor="text1" w:val="000000"/>
          <w:sz w:val="24"/>
          <w:szCs w:val="24"/>
        </w:rPr>
        <w:footnoteReference w:id="10"/>
      </w:r>
      <w:r>
        <w:rPr>
          <w:rFonts w:cs="Times New Roman" w:cstheme="majorBidi"/>
          <w:color w:themeColor="text1" w:val="000000"/>
          <w:sz w:val="24"/>
          <w:szCs w:val="24"/>
        </w:rPr>
        <w:t xml:space="preserve"> Rather, genocidal violence targeted human capacity itself; systematically seizing, redirecting, and </w:t>
      </w:r>
      <w:r>
        <w:rPr>
          <w:rFonts w:cs="Times New Roman" w:cstheme="majorBidi"/>
          <w:color w:themeColor="text1" w:val="000000"/>
          <w:sz w:val="24"/>
          <w:szCs w:val="24"/>
        </w:rPr>
        <w:t>metabolizing the</w:t>
      </w:r>
      <w:r>
        <w:rPr>
          <w:rFonts w:cs="Times New Roman" w:cstheme="majorBidi"/>
          <w:color w:themeColor="text1" w:val="000000"/>
          <w:sz w:val="24"/>
          <w:szCs w:val="24"/>
        </w:rPr>
        <w:t xml:space="preserve"> bodies, unfree labor, and physical existence of the Armenian population. </w:t>
      </w:r>
    </w:p>
    <w:p>
      <w:pPr>
        <w:pStyle w:val="Normal"/>
        <w:spacing w:lineRule="auto" w:line="480" w:before="0" w:after="0"/>
        <w:ind w:firstLine="720"/>
        <w:jc w:val="both"/>
        <w:rPr/>
      </w:pPr>
      <w:r>
        <w:rPr>
          <w:rFonts w:cs="Times New Roman" w:cstheme="majorBidi"/>
          <w:color w:themeColor="text1" w:val="000000"/>
          <w:sz w:val="24"/>
          <w:szCs w:val="24"/>
        </w:rPr>
        <w:t xml:space="preserve">The Armenian case in Bardizag demonstrates both exploitation and expropriation, and holding them together yields a claim that is stronger, and more defensible, than a purely material one. The point is not that the genocide happened because people wanted Armenian property; that formulation is too reductive, and it collapses extermination into a simple motive. The stronger argument is that genocidal policy created the conditions under which Armenian property, labor, and human capacity could be systematically appropriated and redistributed. The genocide did not simply eliminate Armenian economic actors: it appropriated the material and human capacities that their elimination made available. </w:t>
      </w:r>
      <w:r>
        <w:rPr>
          <w:rFonts w:cs="Times New Roman" w:cstheme="majorBidi"/>
          <w:color w:themeColor="text1" w:val="000000"/>
          <w:sz w:val="24"/>
          <w:szCs w:val="24"/>
        </w:rPr>
        <w:t>The</w:t>
      </w:r>
      <w:r>
        <w:rPr>
          <w:rFonts w:cs="Times New Roman" w:cstheme="majorBidi"/>
          <w:color w:themeColor="text1" w:val="000000"/>
          <w:sz w:val="24"/>
          <w:szCs w:val="24"/>
        </w:rPr>
        <w:t xml:space="preserve"> distinction between motive and mechanism organizes the rest of this chapter, which traces that mechanism across five sites: the administrative dismantling of Bardizag itself (Section II); the different forms this dismantling took for men, women, and children (Section III); the recursive, repeating structure of expropriation as it operated on one survivor, Arshalous Patoogian (Section IV); the relocation rather than termination of extraction once deportees reached Syria (Section V); and the afterlives of this process in postwar disappearance, humanitarian documentation, and the institutional continuities of the Turkish Republic (Section VI).</w:t>
      </w:r>
    </w:p>
    <w:p>
      <w:pPr>
        <w:pStyle w:val="Normal"/>
        <w:spacing w:lineRule="auto" w:line="480" w:before="0" w:after="0"/>
        <w:ind w:firstLine="720"/>
        <w:jc w:val="both"/>
        <w:rPr>
          <w:rFonts w:ascii="Times New Roman" w:hAnsi="Times New Roman" w:cs="Times New Roman" w:asciiTheme="majorBidi" w:cstheme="majorBidi" w:hAnsiTheme="majorBidi"/>
          <w:b/>
          <w:bCs/>
          <w:color w:themeColor="text1" w:val="000000"/>
          <w:sz w:val="24"/>
          <w:szCs w:val="24"/>
        </w:rPr>
      </w:pPr>
      <w:r>
        <w:rPr/>
      </w:r>
    </w:p>
    <w:p>
      <w:pPr>
        <w:pStyle w:val="Normal"/>
        <w:spacing w:lineRule="auto" w:line="480" w:before="0" w:after="0"/>
        <w:ind w:hanging="0"/>
        <w:jc w:val="both"/>
        <w:rPr/>
      </w:pPr>
      <w:r>
        <w:rPr>
          <w:rFonts w:cs="Times New Roman" w:cstheme="majorBidi"/>
          <w:b/>
          <w:bCs/>
          <w:color w:themeColor="text1" w:val="000000"/>
          <w:sz w:val="24"/>
          <w:szCs w:val="24"/>
        </w:rPr>
        <w:t xml:space="preserve">II. Producing Expropriability </w:t>
      </w:r>
    </w:p>
    <w:p>
      <w:pPr>
        <w:pStyle w:val="Normal"/>
        <w:spacing w:lineRule="auto" w:line="480" w:before="0" w:after="0"/>
        <w:ind w:firstLine="720"/>
        <w:jc w:val="both"/>
        <w:rPr/>
      </w:pPr>
      <w:r>
        <w:rPr>
          <w:rFonts w:cs="Times New Roman" w:cstheme="majorBidi"/>
          <w:color w:themeColor="text1" w:val="000000"/>
          <w:sz w:val="24"/>
          <w:szCs w:val="24"/>
        </w:rPr>
        <w:t xml:space="preserve">The deportation and destruction of Bardizag’s Armenian community in August 1915 was not an uncoordinated outburst of wartime violence but a meticulously sequenced administrative operation. This section analyzes the operational machinery of the colonial boomerang as it was deployed in the Marmara region, tracing how techniques of counterinsurgency, dispossession, and physical terror migrated from the imperial frontiers back to the political center. Before a population’s property, labor, and persons could be appropriated, the state first had to render that population expropriable: incapable of organizing resistance, incapable of self-defense, and incapable of protecting what it owned. </w:t>
      </w:r>
      <w:r>
        <w:rPr>
          <w:rFonts w:cs="Times New Roman" w:cstheme="majorBidi"/>
          <w:color w:themeColor="text1" w:val="000000"/>
          <w:sz w:val="24"/>
          <w:szCs w:val="24"/>
          <w:shd w:fill="FFFF00" w:val="clear"/>
        </w:rPr>
        <w:t xml:space="preserve">That operation followed a clear sequence: </w:t>
      </w:r>
      <w:r>
        <w:rPr>
          <w:rFonts w:cs="Times New Roman" w:cstheme="majorBidi"/>
          <w:color w:themeColor="text1" w:val="000000"/>
          <w:sz w:val="24"/>
          <w:szCs w:val="24"/>
          <w:shd w:fill="FFFF00" w:val="clear"/>
        </w:rPr>
        <w:t>bring in specialized perpetrators carrying frontier-tested repertoires of violence</w:t>
      </w:r>
      <w:r>
        <w:rPr>
          <w:rFonts w:cs="Times New Roman" w:cstheme="majorBidi"/>
          <w:color w:themeColor="text1" w:val="000000"/>
          <w:sz w:val="24"/>
          <w:szCs w:val="24"/>
          <w:shd w:fill="FFFF00" w:val="clear"/>
        </w:rPr>
        <w:t xml:space="preserve">, isolate the population, disarm it, and only then extract its wealth. This section reconstructs that sequence </w:t>
      </w:r>
      <w:r>
        <w:rPr>
          <w:rFonts w:cs="Times New Roman" w:cstheme="majorBidi"/>
          <w:color w:themeColor="text1" w:val="000000"/>
          <w:sz w:val="24"/>
          <w:szCs w:val="24"/>
          <w:shd w:fill="FFFF00" w:val="clear"/>
        </w:rPr>
        <w:t>through a narration of three separate but</w:t>
      </w:r>
      <w:r>
        <w:rPr>
          <w:rFonts w:cs="Times New Roman" w:cstheme="majorBidi"/>
          <w:color w:themeColor="text1" w:val="000000"/>
          <w:sz w:val="24"/>
          <w:szCs w:val="24"/>
          <w:shd w:fill="FFFF00" w:val="clear"/>
        </w:rPr>
        <w:t xml:space="preserve"> historically entangled moments — </w:t>
      </w:r>
      <w:r>
        <w:rPr>
          <w:rFonts w:cs="Times New Roman" w:cstheme="majorBidi"/>
          <w:color w:themeColor="text1" w:val="000000"/>
          <w:sz w:val="24"/>
          <w:szCs w:val="24"/>
          <w:shd w:fill="FFFF00" w:val="clear"/>
        </w:rPr>
        <w:t>the removal of intellectual and communal leadership</w:t>
      </w:r>
      <w:r>
        <w:rPr>
          <w:rFonts w:cs="Times New Roman" w:cstheme="majorBidi"/>
          <w:color w:themeColor="text1" w:val="000000"/>
          <w:sz w:val="24"/>
          <w:szCs w:val="24"/>
          <w:shd w:fill="FFFF00" w:val="clear"/>
        </w:rPr>
        <w:t>, a highly ritualized campaign of staged disarmament that functioned as a fiscal instrument of plunder, and the final transition to a coerced marketplace designed to strip the community of its remaining resources under radical duress.</w:t>
      </w:r>
    </w:p>
    <w:p>
      <w:pPr>
        <w:pStyle w:val="Normal"/>
        <w:spacing w:lineRule="auto" w:line="480" w:before="0" w:after="0"/>
        <w:ind w:hanging="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Removing leadership</w:t>
      </w:r>
    </w:p>
    <w:p>
      <w:pPr>
        <w:pStyle w:val="Normal"/>
        <w:spacing w:lineRule="auto" w:line="480" w:before="0" w:after="0"/>
        <w:ind w:firstLine="720"/>
        <w:jc w:val="both"/>
        <w:rPr/>
      </w:pPr>
      <w:r>
        <w:rPr>
          <w:rFonts w:cs="Times New Roman" w:cstheme="majorBidi"/>
          <w:color w:themeColor="text1" w:val="000000"/>
          <w:sz w:val="24"/>
          <w:szCs w:val="24"/>
        </w:rPr>
        <w:t>The first stage was the targeted removal of Armenian intellectual and communal leadership. The arrests of April 24, 1915, in Constantinople, which targeted Armenian intellectuals, clergy, and political leaders, established a pattern reproduced in the provinces: arrest, removal from the community, deportation under guard to the interior, and execution beyond public scrutiny. Bardizag’s leaders were subjected to this same process. Among those arrested were Dr. Der Stepanian, the teacher Karnig Bodourian, Boghos Kourouyian, and Mihran Der-Garabedian. They were removed from the community under military guard and deported to remote locations in the Anatolian interior, including the high-security prison at Ayas.</w:t>
      </w:r>
      <w:r>
        <w:rPr>
          <w:rStyle w:val="FootnoteReference"/>
          <w:rFonts w:cs="Times New Roman" w:cstheme="majorBidi"/>
          <w:color w:themeColor="text1" w:val="000000"/>
          <w:sz w:val="24"/>
          <w:szCs w:val="24"/>
        </w:rPr>
        <w:footnoteReference w:id="11"/>
      </w:r>
    </w:p>
    <w:p>
      <w:pPr>
        <w:pStyle w:val="Normal"/>
        <w:spacing w:lineRule="auto" w:line="480" w:before="0" w:after="0"/>
        <w:ind w:firstLine="720"/>
        <w:jc w:val="both"/>
        <w:rPr/>
      </w:pPr>
      <w:r>
        <w:rPr>
          <w:rFonts w:cs="Times New Roman" w:cstheme="majorBidi"/>
          <w:color w:themeColor="text1" w:val="000000"/>
          <w:sz w:val="24"/>
          <w:szCs w:val="24"/>
        </w:rPr>
        <w:t>Their removal did more than eliminate individual leaders. It severed Bardizag from the networks of authority and knowledge through which the community organized itself. The absence of bodies, graves, and official acknowledgment then transformed their deaths into permanent disappearances. As Özgür Sevgi Göral’s work on state-sponsored disappearance demonstrates, this uncertainty can itself function as a mechanism of domination: by withholding knowledge of a victim’s fate, the state extends violence beyond the act of killing, suspending families and communities between mourning and hope.</w:t>
      </w:r>
      <w:r>
        <w:rPr>
          <w:rStyle w:val="FootnoteReference"/>
          <w:rFonts w:cs="Times New Roman" w:cstheme="majorBidi"/>
          <w:color w:themeColor="text1" w:val="000000"/>
          <w:sz w:val="24"/>
          <w:szCs w:val="24"/>
        </w:rPr>
        <w:footnoteReference w:id="12"/>
      </w:r>
      <w:r>
        <w:rPr>
          <w:rFonts w:cs="Times New Roman" w:cstheme="majorBidi"/>
          <w:color w:themeColor="text1" w:val="000000"/>
          <w:sz w:val="24"/>
          <w:szCs w:val="24"/>
        </w:rPr>
        <w:t xml:space="preserve"> In Bardizag, the disappearance of communal leaders therefore operated both materially and psychologically, weakening the community’s capacity to organize while generating fear and uncertainty among those who remained. The distance between arrest and execution was consequently not merely logistical: by transporting leaders to remote sites, the state deprived their communities of witnesses, obscured the circumstances of their deaths, and disrupted conventional practices of mourning. Disappearance thus became part of the process of communal destruction rather than simply a means of concealing violence after the fact. This disappearance had a long postwar afterlife of its own; for families who spent years trying to learn what had happened to the missing, which is taken up in Section VI, alongside the other institutional afterlives of the genocide.</w:t>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Staged disarmament</w:t>
      </w:r>
    </w:p>
    <w:p>
      <w:pPr>
        <w:pStyle w:val="NormalWeb"/>
        <w:spacing w:lineRule="auto" w:line="480" w:before="0" w:after="0"/>
        <w:ind w:firstLine="720"/>
        <w:rPr/>
      </w:pPr>
      <w:r>
        <w:rPr>
          <w:rFonts w:cs="Times New Roman" w:cstheme="majorBidi"/>
        </w:rPr>
        <w:t xml:space="preserve">According to Turkish nationalist historiography, claims that the deportations of Armenians during World War I were defensive and necessary measures taken to preserve the security of the Ottoman Empire. From this perspective, the Ottomans authorities faced a dual threat: </w:t>
      </w:r>
      <w:r>
        <w:rPr>
          <w:rFonts w:cs="Times New Roman" w:cstheme="majorBidi"/>
          <w:color w:val="000000"/>
        </w:rPr>
        <w:t xml:space="preserve">an advancing Russian army on the eastern front </w:t>
      </w:r>
      <w:r>
        <w:rPr>
          <w:rFonts w:cs="Times New Roman" w:cstheme="majorBidi"/>
          <w:color w:val="000000"/>
        </w:rPr>
        <w:t>as well as</w:t>
      </w:r>
      <w:r>
        <w:rPr>
          <w:rFonts w:cs="Times New Roman" w:cstheme="majorBidi"/>
          <w:color w:val="000000"/>
        </w:rPr>
        <w:t xml:space="preserve"> internal unrest allegedly instigated by Armenian revolutionary groups such as the Dashnaks (</w:t>
      </w:r>
      <w:r>
        <w:rPr>
          <w:rFonts w:cs="Times New Roman" w:cstheme="majorBidi"/>
          <w:i/>
          <w:iCs/>
          <w:color w:val="000000"/>
        </w:rPr>
        <w:t>Dashnaktsutyun</w:t>
      </w:r>
      <w:r>
        <w:rPr>
          <w:rFonts w:cs="Times New Roman" w:cstheme="majorBidi"/>
          <w:color w:val="000000"/>
        </w:rPr>
        <w:t xml:space="preserve">) committees. Advocates of this view argue that Armenians in regions like İzmit, Adapazarı, and the eastern provinces engaged in espionage, rebellion, and armed collaboration with Russia, thereby endangering the stability of the state. </w:t>
      </w:r>
      <w:r>
        <w:rPr>
          <w:rStyle w:val="FootnoteReference"/>
          <w:rFonts w:cs="Times New Roman" w:cstheme="majorBidi"/>
          <w:color w:val="000000"/>
        </w:rPr>
        <w:footnoteReference w:id="13"/>
      </w:r>
      <w:r>
        <w:rPr>
          <w:rFonts w:cs="Times New Roman" w:cstheme="majorBidi"/>
          <w:color w:val="000000"/>
        </w:rPr>
        <w:t xml:space="preserve"> Consequently, the government is portrayed as having implemented the relocations (</w:t>
      </w:r>
      <w:r>
        <w:rPr>
          <w:rFonts w:cs="Times New Roman" w:cstheme="majorBidi"/>
          <w:i/>
          <w:iCs/>
          <w:color w:val="000000"/>
        </w:rPr>
        <w:t>tehcir</w:t>
      </w:r>
      <w:r>
        <w:rPr>
          <w:rFonts w:cs="Times New Roman" w:cstheme="majorBidi"/>
          <w:color w:val="000000"/>
        </w:rPr>
        <w:t>) as a precautionary response to treason and civil disorder rather than as a campaign of persecution.</w:t>
      </w:r>
    </w:p>
    <w:p>
      <w:pPr>
        <w:pStyle w:val="NormalWeb"/>
        <w:spacing w:lineRule="auto" w:line="480" w:before="0" w:after="0"/>
        <w:ind w:firstLine="720"/>
        <w:rPr/>
      </w:pPr>
      <w:r>
        <w:rPr>
          <w:rFonts w:cs="Times New Roman" w:cstheme="majorBidi"/>
          <w:color w:val="000000"/>
        </w:rPr>
        <w:t>The mutesarrif of İzmit, Deli Mazhar Bey (June 1913–September 1916), dutifully executed Istanbul’s orders, and by early 1915 only a few Armenian notables had been arrested—acts still seen locally as isolated repression. The turning point came with the arrival of two CUP delegates</w:t>
      </w:r>
      <w:r>
        <w:rPr>
          <w:rFonts w:cs="Times New Roman" w:cstheme="majorBidi"/>
          <w:color w:val="000000"/>
        </w:rPr>
        <w:t xml:space="preserve"> </w:t>
      </w:r>
      <w:r>
        <w:rPr>
          <w:rFonts w:cs="Times New Roman" w:cstheme="majorBidi"/>
          <w:color w:val="000000"/>
          <w:shd w:fill="FFFF00" w:val="clear"/>
        </w:rPr>
        <w:t>from the frontier regions of the empire</w:t>
      </w:r>
      <w:r>
        <w:rPr>
          <w:rFonts w:cs="Times New Roman" w:cstheme="majorBidi"/>
          <w:color w:val="000000"/>
        </w:rPr>
        <w:t>:</w:t>
      </w:r>
      <w:r>
        <w:rPr>
          <w:rFonts w:cs="Times New Roman" w:cstheme="majorBidi"/>
          <w:color w:val="000000"/>
        </w:rPr>
        <w:t xml:space="preserve"> Ibrahim Bey, former director of Istanbul’s prisons, and Hoca Rifat Effendi. Their mission was to implement mass deportation. On 5/18 July 1915, the interior ministry authorized the expulsion of Armenians from forty-two localities in the İzmit district. This directive was prepared by two months of coordinated measures: the confiscation of arms, which criminalized Armenians and provided legal cover for mass arrests, and propaganda campaigns that framed them as an existential threat.</w:t>
      </w:r>
    </w:p>
    <w:p>
      <w:pPr>
        <w:pStyle w:val="NormalWeb"/>
        <w:spacing w:lineRule="auto" w:line="480" w:before="0" w:after="0"/>
        <w:ind w:firstLine="720"/>
        <w:rPr/>
      </w:pPr>
      <w:r>
        <w:rPr>
          <w:rFonts w:cs="Times New Roman" w:cstheme="majorBidi"/>
          <w:color w:val="000000"/>
        </w:rPr>
        <w:t xml:space="preserve">As officers of the </w:t>
      </w:r>
      <w:r>
        <w:rPr>
          <w:rFonts w:cs="Times New Roman" w:cstheme="majorBidi"/>
          <w:i/>
          <w:iCs/>
          <w:color w:val="000000"/>
        </w:rPr>
        <w:t xml:space="preserve">Teşkilat-ı Mahsusa </w:t>
      </w:r>
      <w:r>
        <w:rPr>
          <w:rFonts w:cs="Times New Roman" w:cstheme="majorBidi"/>
          <w:color w:val="000000"/>
        </w:rPr>
        <w:t>(Special Organization), Ibrahim Bey and Hoca Rifat directed çete bands under Şevket Bey, Faik Bey (İzmit’s gendarmerie commander), Çeteci Mehmed, Çeteci Edhem, Çeteci Pehlivan, and Hasan Çavuş to carry out the violence on the ground. The “legal” machinery was managed by Major Mustafa Emir, Eşref Adil Bey, Beha Bey, militia head Hüseyin Çavuş, and police chief Reşid Bey, while İzmit’s Unionist elites—naval officer İsmail Ali Bey, lawyer Şerif Bey, and pharmacist Cavid—organized propaganda and orchestrated the expropriation of Armenian assets through the emval-i metruke (abandoned property) commission.</w:t>
      </w:r>
    </w:p>
    <w:p>
      <w:pPr>
        <w:pStyle w:val="NormalWeb"/>
        <w:spacing w:lineRule="auto" w:line="480" w:before="0" w:after="0"/>
        <w:ind w:firstLine="720"/>
        <w:rPr/>
      </w:pPr>
      <w:r>
        <w:rPr>
          <w:rFonts w:cs="Times New Roman" w:cstheme="majorBidi"/>
          <w:color w:val="000000"/>
        </w:rPr>
        <w:t>This structure amounted to a coordinated apparatus of state and paramilitary collaboration: the Special Organization providing the instruments of terror, the civil and military bureaucracy supplying administrative legitimacy, and local Unionists ensuring the systematic transfer of Armenian property. The first deportations struck Adapazarı rather than İzmit itself. In early May, some fifty leading Armenians were arrested and sent to Sultaniye (Konya province) and Koçhisar. Soon afterward, two Ottoman divisions occupied Armenian neighborhoods—not to maintain order, but to clear the ground for destruction.</w:t>
      </w:r>
    </w:p>
    <w:p>
      <w:pPr>
        <w:pStyle w:val="NormalWeb"/>
        <w:spacing w:lineRule="auto" w:line="480" w:before="0" w:after="0"/>
        <w:ind w:firstLine="720"/>
        <w:rPr/>
      </w:pPr>
      <w:r>
        <w:rPr>
          <w:rFonts w:cs="Times New Roman" w:cstheme="majorBidi"/>
          <w:color w:val="000000"/>
        </w:rPr>
        <w:t>In late May 1915, the CUP delegate</w:t>
      </w:r>
      <w:r>
        <w:rPr>
          <w:rStyle w:val="apple-converted-space"/>
          <w:rFonts w:cs="Times New Roman" w:cstheme="majorBidi"/>
          <w:color w:val="000000"/>
        </w:rPr>
        <w:t> </w:t>
      </w:r>
      <w:r>
        <w:rPr>
          <w:rStyle w:val="Strong"/>
          <w:rFonts w:cs="Times New Roman" w:cstheme="majorBidi"/>
          <w:b w:val="false"/>
          <w:bCs w:val="false"/>
          <w:color w:val="000000"/>
        </w:rPr>
        <w:t>İbrahim Bey</w:t>
      </w:r>
      <w:r>
        <w:rPr>
          <w:rFonts w:cs="Times New Roman" w:cstheme="majorBidi"/>
          <w:color w:val="000000"/>
        </w:rPr>
        <w:t>, a former</w:t>
      </w:r>
      <w:r>
        <w:rPr>
          <w:rStyle w:val="apple-converted-space"/>
          <w:rFonts w:cs="Times New Roman" w:cstheme="majorBidi"/>
          <w:color w:val="000000"/>
        </w:rPr>
        <w:t> </w:t>
      </w:r>
      <w:r>
        <w:rPr>
          <w:rStyle w:val="Emphasis"/>
          <w:rFonts w:cs="Times New Roman" w:cstheme="majorBidi"/>
          <w:color w:val="000000"/>
        </w:rPr>
        <w:t>çete</w:t>
      </w:r>
      <w:r>
        <w:rPr>
          <w:rStyle w:val="apple-converted-space"/>
          <w:rFonts w:cs="Times New Roman" w:cstheme="majorBidi"/>
          <w:color w:val="000000"/>
        </w:rPr>
        <w:t> </w:t>
      </w:r>
      <w:r>
        <w:rPr>
          <w:rFonts w:cs="Times New Roman" w:cstheme="majorBidi"/>
          <w:color w:val="000000"/>
        </w:rPr>
        <w:t>leader from Macedonia who would later oversee atrocities in</w:t>
      </w:r>
      <w:r>
        <w:rPr>
          <w:rStyle w:val="apple-converted-space"/>
          <w:rFonts w:cs="Times New Roman" w:cstheme="majorBidi"/>
          <w:color w:val="000000"/>
        </w:rPr>
        <w:t> </w:t>
      </w:r>
      <w:r>
        <w:rPr>
          <w:rStyle w:val="Strong"/>
          <w:rFonts w:cs="Times New Roman" w:cstheme="majorBidi"/>
          <w:b w:val="false"/>
          <w:bCs w:val="false"/>
          <w:color w:val="000000"/>
        </w:rPr>
        <w:t>Bardizag</w:t>
      </w:r>
      <w:r>
        <w:rPr>
          <w:rFonts w:cs="Times New Roman" w:cstheme="majorBidi"/>
          <w:color w:val="000000"/>
        </w:rPr>
        <w:t>, arrived in Adabazar and immediately ordered the arrest of prominent Armenians, including merchant Bedros Afeyan, banker Bedros Muradian, and municipal president Stepan Demirjian.</w:t>
      </w:r>
      <w:r>
        <w:rPr>
          <w:rStyle w:val="FootnoteReference"/>
          <w:rFonts w:cs="Times New Roman" w:cstheme="majorBidi"/>
          <w:color w:val="000000"/>
        </w:rPr>
        <w:footnoteReference w:id="14"/>
      </w:r>
      <w:r>
        <w:rPr>
          <w:rFonts w:cs="Times New Roman" w:cstheme="majorBidi"/>
          <w:color w:val="000000"/>
        </w:rPr>
        <w:t xml:space="preserve"> Accompanied by police chief Reşid Bey, he visited the detainees confined in the Church of the Holy Archangel, boasting of his experience in raids and demanding the surrender of 250 Mauser rifles. This fabricated weapons search provided the pretext for mass arrests: within days, 600–700 men were imprisoned in the Church of St. Garabed. Under İbrahim’s orders, Father Mikayel Yeramian and Antranig Charkejian were tortured for confessions about hidden arms, and ten leading figures were sent to Istanbul for trial.</w:t>
      </w:r>
    </w:p>
    <w:p>
      <w:pPr>
        <w:pStyle w:val="NormalWeb"/>
        <w:spacing w:lineRule="auto" w:line="480" w:before="0" w:after="0"/>
        <w:ind w:firstLine="720"/>
        <w:rPr/>
      </w:pPr>
      <w:r>
        <w:rPr>
          <w:rFonts w:cs="Times New Roman" w:cstheme="majorBidi"/>
          <w:color w:val="000000"/>
        </w:rPr>
        <w:t>On 11 August, the deportation order for Adabazar and surrounding villages was announced. Armenian neighborhoods were sealed off, escape barred, and possessions confiscated. Over the following two weeks, more than 20,000 Armenians; beginning with residents of Nemçer and Malacılar—were deported toward Konya. Only twenty-five families employed by the army and a single family that converted to Islam were allowed to remain. In the kaza of Ismit, the violence centered on Bardizag and Arslanbeg, targeted for evacuation before other Armenian communities. In Arslanbeg, arrests began in May; detainees were held in Ismit and then transferred to Geyve’s Turkish village of Taraklı, where elites from other towns were concentrated. On 18 July, İbrahim Bey ordered 200 soldiers and gendarmes to surround Arslanbeg, after which deportations began and Çerkez çetes of the Special Organization, aided by local Turkish villagers, looted and destroyed the town. Over 2,000 people were deported via Eskişehir, Konya, and Bozanti to destinations including Rakka, Meskene, Der Zor, Mosul, and Baghdad; few returned.</w:t>
      </w:r>
    </w:p>
    <w:p>
      <w:pPr>
        <w:pStyle w:val="Normal"/>
        <w:spacing w:lineRule="auto" w:line="480" w:before="0" w:after="0"/>
        <w:ind w:firstLine="720"/>
        <w:jc w:val="both"/>
        <w:rPr/>
      </w:pPr>
      <w:r>
        <w:rPr>
          <w:rFonts w:cs="Times New Roman" w:cstheme="majorBidi"/>
          <w:color w:themeColor="text1" w:val="000000"/>
          <w:sz w:val="24"/>
          <w:szCs w:val="24"/>
        </w:rPr>
        <w:t xml:space="preserve">With leadership removed, the operational machinery turned to disarmament. On June 27, 1915, Ibrahim Bey and Ali Şuuri Bey orchestrated a staged, highly public disarmament campaign in Bardizag. This campaign involved ritualized threats of massacre and the systematic conversion of civic and religious institutions; village schools and churches into militarized spaces of coercion. The primary physical technology of this coercion was the </w:t>
      </w:r>
      <w:r>
        <w:rPr>
          <w:rFonts w:cs="Times New Roman" w:cstheme="majorBidi"/>
          <w:i/>
          <w:iCs/>
          <w:color w:themeColor="text1" w:val="000000"/>
          <w:sz w:val="24"/>
          <w:szCs w:val="24"/>
        </w:rPr>
        <w:t>falaka,</w:t>
      </w:r>
      <w:r>
        <w:rPr>
          <w:rFonts w:cs="Times New Roman" w:cstheme="majorBidi"/>
          <w:color w:themeColor="text1" w:val="000000"/>
          <w:sz w:val="24"/>
          <w:szCs w:val="24"/>
        </w:rPr>
        <w:t xml:space="preserve"> ritualized beating on the soles of the feet, administered by Ibrahim Bey and his gang of irregulars. The </w:t>
      </w:r>
      <w:r>
        <w:rPr>
          <w:rFonts w:cs="Times New Roman" w:cstheme="majorBidi"/>
          <w:i/>
          <w:iCs/>
          <w:color w:themeColor="text1" w:val="000000"/>
          <w:sz w:val="24"/>
          <w:szCs w:val="24"/>
        </w:rPr>
        <w:t>falaka</w:t>
      </w:r>
      <w:r>
        <w:rPr>
          <w:rFonts w:cs="Times New Roman" w:cstheme="majorBidi"/>
          <w:color w:themeColor="text1" w:val="000000"/>
          <w:sz w:val="24"/>
          <w:szCs w:val="24"/>
        </w:rPr>
        <w:t xml:space="preserve"> was not merely an instrument of physical punishment; it functioned as a fiscal instrument designed to break communal resistance, enforce submission, and facilitate mass plunder. By subjecting community leaders and ordinary residents to systematic violence, state officials forced the population to reveal hidden weapon caches, gold, and personal valuables.</w:t>
      </w:r>
    </w:p>
    <w:p>
      <w:pPr>
        <w:pStyle w:val="Normal"/>
        <w:spacing w:lineRule="auto" w:line="480" w:before="0" w:after="0"/>
        <w:ind w:firstLine="720"/>
        <w:jc w:val="both"/>
        <w:rPr/>
      </w:pPr>
      <w:r>
        <w:rPr>
          <w:rFonts w:cs="Times New Roman" w:cstheme="majorBidi"/>
          <w:color w:themeColor="text1" w:val="000000"/>
          <w:sz w:val="24"/>
          <w:szCs w:val="24"/>
        </w:rPr>
        <w:t>The postwar Izmit deportation trial testimonies provide rich empirical evidence of this ritualized violence. Kirkor Efendi, a janitor at the Armenian patriarchate, testified that when they were sent to Izmit, they were imprisoned inside a church, where he was beaten with a falaka in the direct presence of Ibrahim Bey, who then confiscated his money. Mıgırdıç testified that during his transfer from Istanbul to Çankırı, he was detained for five days in Izmit, taken to a house where Ibrahim Bey was staying, and severely beaten. Artin Kürekçiyan and Karabet from İzmit both testified that İbrahim Bey imprisoned groups of Armenians and ordered his gendarmes to beat them. Serope Efendi confirmed that during her transfer to Konya via İzmit, she witnessed and heard that İbrahim Bey’s entourage systematically beat deportees and took their money. Hacı Mıgırdıç Karabet testified that İbrahim Bey arrived to collect weapons fifteen days prior to the deportation, mistreating the inhabitants in every possible way, while Ali Şuuri Bey accompanied him and directly seized personal belongings from his house. Priest Aganya Efendi of Bardizag and Minas Efendi likewise confirmed that İbrahim Bey assaulted the villagers under the pretext of weapon collection.</w:t>
      </w:r>
    </w:p>
    <w:p>
      <w:pPr>
        <w:pStyle w:val="Normal"/>
        <w:spacing w:lineRule="auto" w:line="480" w:before="0" w:after="0"/>
        <w:ind w:firstLine="720"/>
        <w:jc w:val="both"/>
        <w:rPr/>
      </w:pPr>
      <w:r>
        <w:rPr>
          <w:rFonts w:cs="Times New Roman" w:cstheme="majorBidi"/>
          <w:color w:themeColor="text1" w:val="000000"/>
          <w:sz w:val="24"/>
          <w:szCs w:val="24"/>
        </w:rPr>
        <w:t xml:space="preserve">This violence culminated in the partial demolition of the village church during extensive searches. After repeated rounds of torture with wet canes, surviving community leaders were forced to sign documents pledging to surrender any remaining arms under penalty of immediate death. Gendarmes then conducted exhaustive house-to-house sweeps of every household, khan, and local silk-spinning factory, confiscating not only firearms but also any metal tool that could potentially be used for defense, including pocketknives, saws, and agricultural sickles. This performative act of selective dispossession was highly asymmetrical: while weapons were permanently stripped from Armenians, those surrendered by </w:t>
      </w:r>
      <w:r>
        <w:rPr>
          <w:rFonts w:cs="Times New Roman" w:cstheme="majorBidi"/>
          <w:color w:themeColor="text1" w:val="000000"/>
          <w:sz w:val="24"/>
          <w:szCs w:val="24"/>
          <w:shd w:fill="FFFF00" w:val="clear"/>
        </w:rPr>
        <w:t xml:space="preserve">Muslim villagers </w:t>
      </w:r>
      <w:r>
        <w:rPr>
          <w:rFonts w:cs="Times New Roman" w:cstheme="majorBidi"/>
          <w:color w:themeColor="text1" w:val="000000"/>
          <w:sz w:val="24"/>
          <w:szCs w:val="24"/>
          <w:shd w:fill="FFFF00" w:val="clear"/>
        </w:rPr>
        <w:t xml:space="preserve">and settlers within Bardizag and the neighboring communities </w:t>
      </w:r>
      <w:r>
        <w:rPr>
          <w:rFonts w:cs="Times New Roman" w:cstheme="majorBidi"/>
          <w:color w:themeColor="text1" w:val="000000"/>
          <w:sz w:val="24"/>
          <w:szCs w:val="24"/>
        </w:rPr>
        <w:t>were promptly returned to them. That asymmetry is not incidental, and it is not merely an anecdote. It demonstrates that “disarmament” was not neutral security policy: it dismantled Armenian collective capacity while preserving the coercive capacity of the population that would benefit from Armenian dispossession. The causal sequence is worth stating explicitly, because it is easy for a reader to miss if it is left implicit: remove leadership, isolate the population, disarm the population, thereby make resistance difficult, and thereby facilitate expropriation. By leaving Armenians entirely defenseless while arming surrounding populations, the state produced the specific vulnerability required to execute the final stage of primitive accumulation; the liquidation of the community’s remaining wealth.</w:t>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Fonts w:cs="Times New Roman" w:cstheme="majorBidi"/>
          <w:b/>
          <w:bCs/>
          <w:i/>
          <w:iCs/>
          <w:color w:themeColor="text1" w:val="000000"/>
          <w:sz w:val="24"/>
          <w:szCs w:val="24"/>
        </w:rPr>
      </w:r>
    </w:p>
    <w:p>
      <w:pPr>
        <w:pStyle w:val="Normal"/>
        <w:spacing w:lineRule="auto" w:line="480" w:before="0" w:after="0"/>
        <w:ind w:hanging="0"/>
        <w:jc w:val="both"/>
        <w:rPr/>
      </w:pPr>
      <w:r>
        <w:rPr>
          <w:rFonts w:cs="Times New Roman" w:cstheme="majorBidi"/>
          <w:b/>
          <w:bCs/>
          <w:i/>
          <w:iCs/>
          <w:color w:themeColor="text1" w:val="000000"/>
          <w:sz w:val="24"/>
          <w:szCs w:val="24"/>
        </w:rPr>
        <w:t>The coerced marketplace</w:t>
      </w:r>
    </w:p>
    <w:p>
      <w:pPr>
        <w:pStyle w:val="Normal"/>
        <w:spacing w:lineRule="auto" w:line="480" w:before="0" w:after="0"/>
        <w:ind w:firstLine="720"/>
        <w:jc w:val="both"/>
        <w:rPr/>
      </w:pPr>
      <w:r>
        <w:rPr>
          <w:rFonts w:cs="Times New Roman" w:cstheme="majorBidi"/>
          <w:color w:themeColor="text1" w:val="000000"/>
          <w:sz w:val="24"/>
          <w:szCs w:val="24"/>
        </w:rPr>
        <w:t>Once the community was stripped of its leadership and defensive capacity, the operational machinery shifted from physical terror to administrative and financial extraction. This transition was designed to liquidate the remaining portable wealth of the Armenian population and transfer it into the hands of state officials, CUP networks, and neighboring Muslim populations. Before the formal deportation order was issued, the state utilized administrative fraud and extortion to drain the community’s financial reserves, exploiting survivors’ desperate hope for safety. Hagop der Hagopian recorded that Bardizag’s villagers collectively raised four hundred gold liras as a donation for the Ottoman Red Crescent and military hospital, presenting it to local governor Ali Şuuri Bey in a desperate attempt to demonstrate civic compliance and purchase safety.</w:t>
      </w:r>
      <w:r>
        <w:rPr>
          <w:rStyle w:val="FootnoteReference"/>
          <w:rFonts w:cs="Times New Roman" w:cstheme="majorBidi"/>
          <w:color w:themeColor="text1" w:val="000000"/>
          <w:sz w:val="24"/>
          <w:szCs w:val="24"/>
        </w:rPr>
        <w:footnoteReference w:id="15"/>
      </w:r>
      <w:r>
        <w:rPr>
          <w:rFonts w:cs="Times New Roman" w:cstheme="majorBidi"/>
          <w:color w:themeColor="text1" w:val="000000"/>
          <w:sz w:val="24"/>
          <w:szCs w:val="24"/>
        </w:rPr>
        <w:t xml:space="preserve"> While the donation was accepted and praised by the authorities, it offered no protection against subsequent dispossession. On an individual level, families were forced to pay extortionate bribes of up to four hundred Turkish pounds under the false administrative promise that such payments would exempt them from the deportation lists. Ali Şuuri Bey also used his direct administrative authority for personal corruption: during the postwar trials, the merchant Mihran Semerciyan testified that Ali Şuuri Bey had engaged in rampant corruption during the deportations, extorting 650 liras worth of his personal belongings under direct threat.</w:t>
      </w:r>
    </w:p>
    <w:p>
      <w:pPr>
        <w:pStyle w:val="Normal"/>
        <w:spacing w:lineRule="auto" w:line="480" w:before="0" w:after="0"/>
        <w:ind w:firstLine="720"/>
        <w:jc w:val="both"/>
        <w:rPr/>
      </w:pPr>
      <w:r>
        <w:rPr>
          <w:rFonts w:cs="Times New Roman" w:cstheme="majorBidi"/>
          <w:color w:themeColor="text1" w:val="000000"/>
          <w:sz w:val="24"/>
          <w:szCs w:val="24"/>
        </w:rPr>
        <w:t>The resulting scene in the streets of Bardizag is best conceptualized as a coerced marketplace, rather than a merely “distressed” economic space. Under ordinary market logic, prices fluctuate according to supply and demand. Here, exchange was dictated by radical asymmetry, duress, and extra-economic coercion. Crowds of neighboring Muslim populations; Laz, Georgian, Tatar, and Turkish neighbors, arrived in the village specifically to profit from the forced liquidations.</w:t>
      </w:r>
      <w:r>
        <w:rPr>
          <w:rStyle w:val="FootnoteReference"/>
          <w:rFonts w:cs="Times New Roman" w:cstheme="majorBidi"/>
          <w:color w:themeColor="text1" w:val="000000"/>
          <w:sz w:val="24"/>
          <w:szCs w:val="24"/>
        </w:rPr>
        <w:footnoteReference w:id="16"/>
      </w:r>
      <w:r>
        <w:rPr>
          <w:rFonts w:cs="Times New Roman" w:cstheme="majorBidi"/>
          <w:color w:themeColor="text1" w:val="000000"/>
          <w:sz w:val="24"/>
          <w:szCs w:val="24"/>
        </w:rPr>
        <w:t xml:space="preserve"> The prices paid for Armenian assets were catastrophically low: fully furnished houses were emptied within days, with furniture, jewelry, and prized household goods worth five to ten liras sold for a mere five to ten kuruş, a fraction of a lira. Most families recovered only trivial, insulting amounts; usually no more than three, five, or ten liras, which were often immediately stolen or confiscated by gendarmerie forces on the road. Some families, recognizing this process as state-sanctioned and legalized plunder, refused to participate in the marketplace, choosing instead to face deportation with their belongings intact and preferring the risk of death to submission to systemic robbery. Whatever items remained unsold in the emptied homes were subsequently confiscated by the Abandoned Property Officer (</w:t>
      </w:r>
      <w:r>
        <w:rPr>
          <w:rFonts w:cs="Times New Roman" w:cstheme="majorBidi"/>
          <w:i/>
          <w:iCs/>
          <w:color w:themeColor="text1" w:val="000000"/>
          <w:sz w:val="24"/>
          <w:szCs w:val="24"/>
        </w:rPr>
        <w:t>Emval-i Metruke</w:t>
      </w:r>
      <w:r>
        <w:rPr>
          <w:rFonts w:cs="Times New Roman" w:cstheme="majorBidi"/>
          <w:color w:themeColor="text1" w:val="000000"/>
          <w:sz w:val="24"/>
          <w:szCs w:val="24"/>
        </w:rPr>
        <w:t>) and redistributed to loyal CUP elites or state institutions, or used to resettle Muslim refugees, fully institutionalizing the capital transfer.</w:t>
      </w:r>
    </w:p>
    <w:p>
      <w:pPr>
        <w:pStyle w:val="Normal"/>
        <w:spacing w:lineRule="auto" w:line="480" w:before="0" w:after="0"/>
        <w:ind w:firstLine="720"/>
        <w:jc w:val="both"/>
        <w:rPr/>
      </w:pPr>
      <w:r>
        <w:rPr>
          <w:rFonts w:cs="Times New Roman" w:cstheme="majorBidi"/>
          <w:color w:themeColor="text1" w:val="000000"/>
          <w:sz w:val="24"/>
          <w:szCs w:val="24"/>
        </w:rPr>
        <w:t>This account is consistent with, and builds on, the historiography establishing that the confiscation of Armenian property was not a chaotic byproduct of wartime dislocation or localized opportunistic greed, as mainstream historiography analyzed it for decades. Pioneering research by Hilmar Kaiser, Ümit Kurt, and Bedross Der Matossian has demonstrated instead that the confiscation of Armenian properties was orchestrated through the full administrative and legislative machinery of the Ottoman state, bridging central ministries with provincial and local authorities. This vast, state-led bureaucratic apparatus targeted private, communal, and ecclesiastical assets alike, utilizing legislative codes such as the Temporary Law of Expropriation and Confiscation of September 13, 1915, to systematically liquidate and redistribute Armenian wealth. In his critical analysis of genocidal violence, Yektan Türkyılmaz draws on Claudia Card’s concept of “social death” to argue that the Armenian Genocide did not merely target biological life but aimed at the absolute destruction of Western Armenian social, political, cultural, and economic networks; the systematic transfer of capital served as the primary instrument of this social death.</w:t>
      </w:r>
      <w:r>
        <w:rPr>
          <w:rStyle w:val="FootnoteReference"/>
          <w:rFonts w:cs="Times New Roman" w:cstheme="majorBidi"/>
          <w:color w:themeColor="text1" w:val="000000"/>
          <w:sz w:val="24"/>
          <w:szCs w:val="24"/>
        </w:rPr>
        <w:footnoteReference w:id="17"/>
      </w:r>
      <w:r>
        <w:rPr>
          <w:rFonts w:cs="Times New Roman" w:cstheme="majorBidi"/>
          <w:color w:themeColor="text1" w:val="000000"/>
          <w:sz w:val="24"/>
          <w:szCs w:val="24"/>
        </w:rPr>
        <w:t xml:space="preserve"> </w:t>
      </w:r>
      <w:commentRangeStart w:id="2"/>
      <w:r>
        <w:rPr>
          <w:rFonts w:cs="Times New Roman" w:cstheme="majorBidi"/>
          <w:color w:themeColor="text1" w:val="000000"/>
          <w:sz w:val="24"/>
          <w:szCs w:val="24"/>
        </w:rPr>
        <w:t>As Harry Harootunian has argued, the genocide was a large-scale project of primitive accumulation through which pre-capitalist wealth, generated through centuries of Armenian labor, agriculture, and commerce, was forcefully converted into the foundational capital essential for the emerging Turkish national economy.</w:t>
      </w:r>
      <w:r>
        <w:rPr>
          <w:rStyle w:val="FootnoteReference"/>
          <w:rFonts w:cs="Times New Roman" w:cstheme="majorBidi"/>
          <w:color w:themeColor="text1" w:val="000000"/>
          <w:sz w:val="24"/>
          <w:szCs w:val="24"/>
        </w:rPr>
        <w:footnoteReference w:id="18"/>
      </w:r>
      <w:r>
        <w:rPr>
          <w:rFonts w:cs="Times New Roman" w:cstheme="majorBidi"/>
          <w:color w:themeColor="text1" w:val="000000"/>
          <w:sz w:val="24"/>
          <w:szCs w:val="24"/>
        </w:rPr>
      </w:r>
      <w:commentRangeEnd w:id="2"/>
      <w:r>
        <w:commentReference w:id="2"/>
      </w:r>
      <w:r>
        <w:rPr>
          <w:rFonts w:cs="Times New Roman" w:cstheme="majorBidi"/>
          <w:color w:themeColor="text1" w:val="000000"/>
          <w:sz w:val="24"/>
          <w:szCs w:val="24"/>
        </w:rPr>
        <w:t xml:space="preserve"> In Bardizag, this took a highly physical and localized form: as missionary Arthur Ryan reported, in the wake of the August 1915 deportations movable Armenian property was systematically gathered by Ottoman officials and shipped to Istanbul, while sixty Muslim families were immediately settled in the vacated Armenian homes. Through this process of legal and extra-legal redistribution, the newly founded Turkish Republic positioned itself as the direct heir to the confiscated wealth. By redistributing these assets to members of the Committee of Union and Progress, local Muslim elites, and loyal businessmen, the state actively restructured class relations, consolidating a compliant and dependent Turkish national bourgeoisie whose class survival was structurally tethered to the erasure of the Armenian presence.</w:t>
      </w:r>
    </w:p>
    <w:p>
      <w:pPr>
        <w:pStyle w:val="Normal"/>
        <w:spacing w:lineRule="auto" w:line="480" w:before="0" w:after="0"/>
        <w:ind w:firstLine="720"/>
        <w:jc w:val="both"/>
        <w:rPr/>
      </w:pPr>
      <w:r>
        <w:rPr>
          <w:rFonts w:cs="Times New Roman" w:cstheme="majorBidi"/>
          <w:color w:themeColor="text1" w:val="000000"/>
          <w:sz w:val="24"/>
          <w:szCs w:val="24"/>
        </w:rPr>
        <w:t>The techniques of dispossession and extraction deployed in the streets of Bardizag; forced liquidation, administrative fraud, extortion, and the mobilization of neighboring ethnic communities as instruments of dispossession, were not novel. They represented a highly coordinated form of the fiscal instrument that had already been practiced on the empire’s populations for decades. In 1915, the colonial boomerang returned to the heartland, converting the wealth generated through centuries of Armenian labor into foundational capital for the emerging national economy.</w:t>
      </w:r>
    </w:p>
    <w:p>
      <w:pPr>
        <w:pStyle w:val="Heading1"/>
        <w:spacing w:lineRule="auto" w:line="480" w:before="0" w:after="0"/>
        <w:ind w:firstLine="720"/>
        <w:rPr>
          <w:rFonts w:ascii="Times New Roman" w:hAnsi="Times New Roman" w:cs="Times New Roman" w:asciiTheme="majorBidi" w:cstheme="majorBidi" w:hAnsiTheme="majorBidi"/>
          <w:color w:themeColor="text1" w:val="000000"/>
        </w:rPr>
      </w:pPr>
      <w:r>
        <w:rPr/>
      </w:r>
    </w:p>
    <w:p>
      <w:pPr>
        <w:pStyle w:val="Heading1"/>
        <w:spacing w:lineRule="auto" w:line="480" w:before="0" w:after="0"/>
        <w:ind w:hanging="0"/>
        <w:rPr/>
      </w:pPr>
      <w:r>
        <w:rPr>
          <w:rFonts w:cs="Times New Roman" w:cstheme="majorBidi"/>
          <w:color w:themeColor="text1" w:val="000000"/>
        </w:rPr>
        <w:t>III. Gendered</w:t>
      </w:r>
      <w:r>
        <w:rPr>
          <w:rFonts w:cs="Times New Roman" w:cstheme="majorBidi"/>
          <w:color w:themeColor="text1" w:val="000000"/>
          <w:shd w:fill="FFFF00" w:val="clear"/>
        </w:rPr>
        <w:t xml:space="preserve"> </w:t>
      </w:r>
      <w:r>
        <w:rPr>
          <w:rFonts w:cs="Times New Roman" w:cstheme="majorBidi"/>
          <w:color w:themeColor="text1" w:val="000000"/>
          <w:shd w:fill="FFFF00" w:val="clear"/>
        </w:rPr>
        <w:t xml:space="preserve">and Racial </w:t>
      </w:r>
      <w:r>
        <w:rPr>
          <w:rFonts w:cs="Times New Roman" w:cstheme="majorBidi"/>
          <w:color w:themeColor="text1" w:val="000000"/>
        </w:rPr>
        <w:t>Forms of Expropriation</w:t>
      </w:r>
    </w:p>
    <w:p>
      <w:pPr>
        <w:pStyle w:val="Normal"/>
        <w:spacing w:lineRule="auto" w:line="480" w:before="0" w:after="0"/>
        <w:ind w:firstLine="720"/>
        <w:jc w:val="both"/>
        <w:rPr/>
      </w:pPr>
      <w:r>
        <w:rPr>
          <w:rFonts w:cs="Times New Roman" w:cstheme="majorBidi"/>
          <w:color w:themeColor="text1" w:val="000000"/>
          <w:sz w:val="24"/>
          <w:szCs w:val="24"/>
          <w:shd w:fill="FFFF00" w:val="clear"/>
        </w:rPr>
        <w:t xml:space="preserve">Expropriation in Bardizag </w:t>
      </w:r>
      <w:r>
        <w:rPr>
          <w:rFonts w:cs="Times New Roman" w:cstheme="majorBidi"/>
          <w:color w:themeColor="text1" w:val="000000"/>
          <w:sz w:val="24"/>
          <w:szCs w:val="24"/>
          <w:shd w:fill="FFFF00" w:val="clear"/>
        </w:rPr>
        <w:t>unfolded through a classifying logic that imposed both gendered and racial norms on the population.</w:t>
      </w:r>
      <w:r>
        <w:rPr>
          <w:rFonts w:cs="Times New Roman" w:cstheme="majorBidi"/>
          <w:color w:themeColor="text1" w:val="000000"/>
          <w:sz w:val="24"/>
          <w:szCs w:val="24"/>
        </w:rPr>
        <w:t xml:space="preserve"> The genocidal economy employed differentiating mechanisms</w:t>
      </w:r>
      <w:r>
        <w:rPr>
          <w:rFonts w:cs="Times New Roman" w:cstheme="majorBidi"/>
          <w:color w:themeColor="text1" w:val="000000"/>
          <w:sz w:val="24"/>
          <w:szCs w:val="24"/>
        </w:rPr>
        <w:t xml:space="preserve"> </w:t>
      </w:r>
      <w:r>
        <w:rPr>
          <w:rFonts w:cs="Times New Roman" w:cstheme="majorBidi"/>
          <w:color w:themeColor="text1" w:val="000000"/>
          <w:sz w:val="24"/>
          <w:szCs w:val="24"/>
        </w:rPr>
        <w:t>to</w:t>
      </w:r>
      <w:r>
        <w:rPr>
          <w:rFonts w:cs="Times New Roman" w:cstheme="majorBidi"/>
          <w:color w:themeColor="text1" w:val="000000"/>
          <w:sz w:val="24"/>
          <w:szCs w:val="24"/>
        </w:rPr>
        <w:t xml:space="preserve"> assign Armenian bodies different forms of extractive value according to gender and age: men’s labor was conscripted into the state’s logistical apparatus arrest, conscription, labor battalions, later military factories, productive labor, while women and children were absorbed </w:t>
      </w:r>
      <w:r>
        <w:rPr>
          <w:rFonts w:cs="Times New Roman" w:cstheme="majorBidi"/>
          <w:color w:themeColor="text1" w:val="000000"/>
          <w:sz w:val="24"/>
          <w:szCs w:val="24"/>
        </w:rPr>
        <w:t xml:space="preserve">as captives </w:t>
      </w:r>
      <w:r>
        <w:rPr>
          <w:rFonts w:cs="Times New Roman" w:cstheme="majorBidi"/>
          <w:color w:themeColor="text1" w:val="000000"/>
          <w:sz w:val="24"/>
          <w:szCs w:val="24"/>
        </w:rPr>
        <w:t xml:space="preserve">into households, </w:t>
      </w:r>
      <w:r>
        <w:rPr>
          <w:rFonts w:cs="Times New Roman" w:cstheme="majorBidi"/>
          <w:color w:themeColor="text1" w:val="000000"/>
          <w:sz w:val="24"/>
          <w:szCs w:val="24"/>
        </w:rPr>
        <w:t xml:space="preserve">and pressed into </w:t>
      </w:r>
      <w:r>
        <w:rPr>
          <w:rFonts w:cs="Times New Roman" w:cstheme="majorBidi"/>
          <w:color w:themeColor="text1" w:val="000000"/>
          <w:sz w:val="24"/>
          <w:szCs w:val="24"/>
        </w:rPr>
        <w:t xml:space="preserve">domestic labor, forced </w:t>
      </w:r>
      <w:r>
        <w:rPr>
          <w:rFonts w:cs="Times New Roman" w:cstheme="majorBidi"/>
          <w:color w:themeColor="text1" w:val="000000"/>
          <w:sz w:val="24"/>
          <w:szCs w:val="24"/>
        </w:rPr>
        <w:t>assimilation</w:t>
      </w:r>
      <w:r>
        <w:rPr>
          <w:rFonts w:cs="Times New Roman" w:cstheme="majorBidi"/>
          <w:color w:themeColor="text1" w:val="000000"/>
          <w:sz w:val="24"/>
          <w:szCs w:val="24"/>
        </w:rPr>
        <w:t xml:space="preserve">, marriage, reproductive and care work, </w:t>
      </w:r>
      <w:r>
        <w:rPr>
          <w:rFonts w:cs="Times New Roman" w:cstheme="majorBidi"/>
          <w:color w:themeColor="text1" w:val="000000"/>
          <w:sz w:val="24"/>
          <w:szCs w:val="24"/>
        </w:rPr>
        <w:t xml:space="preserve">and </w:t>
      </w:r>
      <w:r>
        <w:rPr>
          <w:rFonts w:cs="Times New Roman" w:cstheme="majorBidi"/>
          <w:color w:themeColor="text1" w:val="000000"/>
          <w:sz w:val="24"/>
          <w:szCs w:val="24"/>
        </w:rPr>
        <w:t xml:space="preserve">household production. This was not a secondary effect of a gender-neutral process of destruction; it was one of the primary mechanisms through which destruction was converted into accumulation. </w:t>
      </w:r>
      <w:r>
        <w:rPr>
          <w:rFonts w:cs="Times New Roman" w:cstheme="majorBidi"/>
          <w:color w:themeColor="text1" w:val="000000"/>
          <w:sz w:val="24"/>
          <w:szCs w:val="24"/>
          <w:shd w:fill="FFFF00" w:val="clear"/>
        </w:rPr>
        <w:t xml:space="preserve">This framework highlights the specific ways in which women </w:t>
      </w:r>
      <w:r>
        <w:rPr>
          <w:rFonts w:cs="Times New Roman" w:cstheme="majorBidi"/>
          <w:color w:themeColor="text1" w:val="000000"/>
          <w:sz w:val="24"/>
          <w:szCs w:val="24"/>
          <w:shd w:fill="FFFF00" w:val="clear"/>
        </w:rPr>
        <w:t xml:space="preserve">and children </w:t>
      </w:r>
      <w:r>
        <w:rPr>
          <w:rFonts w:cs="Times New Roman" w:cstheme="majorBidi"/>
          <w:color w:themeColor="text1" w:val="000000"/>
          <w:sz w:val="24"/>
          <w:szCs w:val="24"/>
          <w:shd w:fill="FFFF00" w:val="clear"/>
        </w:rPr>
        <w:t>were made to be victims</w:t>
      </w:r>
      <w:r>
        <w:rPr>
          <w:rFonts w:cs="Times New Roman" w:cstheme="majorBidi"/>
          <w:color w:themeColor="text1" w:val="000000"/>
          <w:sz w:val="24"/>
          <w:szCs w:val="24"/>
          <w:shd w:fill="FFFF00" w:val="clear"/>
        </w:rPr>
        <w:t xml:space="preserve"> through the differentiated extractive value that was assigned according to their gender and age</w:t>
      </w:r>
      <w:r>
        <w:rPr>
          <w:rFonts w:cs="Times New Roman" w:cstheme="majorBidi"/>
          <w:color w:themeColor="text1" w:val="000000"/>
          <w:sz w:val="24"/>
          <w:szCs w:val="24"/>
          <w:shd w:fill="FFFF00" w:val="clear"/>
        </w:rPr>
        <w:t>.</w:t>
      </w:r>
    </w:p>
    <w:p>
      <w:pPr>
        <w:pStyle w:val="Normal"/>
        <w:spacing w:lineRule="auto" w:line="480" w:before="0" w:after="0"/>
        <w:ind w:firstLine="720"/>
        <w:jc w:val="both"/>
        <w:rPr>
          <w:rFonts w:asciiTheme="majorBidi" w:cstheme="majorBidi" w:hAnsiTheme="majorBidi"/>
          <w:highlight w:val="none"/>
          <w:shd w:fill="FFFF00" w:val="clear"/>
        </w:rPr>
      </w:pPr>
      <w:commentRangeStart w:id="3"/>
      <w:r>
        <w:rPr>
          <w:rFonts w:cs="Times New Roman" w:cstheme="majorBidi"/>
          <w:color w:themeColor="text1" w:val="000000"/>
          <w:sz w:val="24"/>
          <w:szCs w:val="24"/>
          <w:shd w:fill="FFFF00" w:val="clear"/>
        </w:rPr>
        <w:t xml:space="preserve">The genocidal economy also imposed a </w:t>
      </w:r>
      <w:r>
        <w:rPr>
          <w:rFonts w:cs="Times New Roman" w:cstheme="majorBidi"/>
          <w:color w:themeColor="text1" w:val="000000"/>
          <w:sz w:val="24"/>
          <w:szCs w:val="24"/>
          <w:shd w:fill="FFFF00" w:val="clear"/>
        </w:rPr>
        <w:t xml:space="preserve">historically specific mechanism of racial classification on the Armenians of Bardizag. </w:t>
      </w:r>
      <w:r>
        <w:rPr>
          <w:rFonts w:cs="Times New Roman" w:cstheme="majorBidi"/>
          <w:color w:themeColor="text1" w:val="000000"/>
          <w:sz w:val="24"/>
          <w:szCs w:val="24"/>
          <w:shd w:fill="FFFF00" w:val="clear"/>
        </w:rPr>
        <w:t>This sections examines the juridical institutions that enforced the stark differentiation between free and unfree subjects of the Ottoman state. By critically engaging with Saidiya Hartman's work on American slavery, this section highlights the ways in which states of coercion and unfreedom were "juridically disappeared" and reframed as moments of rescue or assimilation.</w:t>
      </w:r>
      <w:r>
        <w:rPr>
          <w:rFonts w:cs="Times New Roman" w:cstheme="majorBidi"/>
          <w:color w:themeColor="text1" w:val="000000"/>
          <w:sz w:val="24"/>
          <w:szCs w:val="24"/>
          <w:shd w:fill="FFFF00" w:val="clear"/>
        </w:rPr>
        <w:t>Through a legal sleight of hand, the concrete racial distinction between the free and unfree citizens of empire was obscured.</w:t>
      </w:r>
      <w:commentRangeEnd w:id="3"/>
      <w:r>
        <w:commentReference w:id="3"/>
      </w:r>
      <w:r>
        <w:rPr>
          <w:rFonts w:cs="Times New Roman" w:cstheme="majorBidi"/>
          <w:color w:themeColor="text1" w:val="000000"/>
          <w:sz w:val="24"/>
          <w:szCs w:val="24"/>
          <w:shd w:fill="FFFF00" w:val="clear"/>
        </w:rPr>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Men: conscription and labor battalions</w:t>
      </w:r>
    </w:p>
    <w:p>
      <w:pPr>
        <w:pStyle w:val="Normal"/>
        <w:spacing w:lineRule="auto" w:line="480" w:before="0" w:after="0"/>
        <w:ind w:firstLine="720"/>
        <w:jc w:val="both"/>
        <w:rPr/>
      </w:pPr>
      <w:r>
        <w:rPr>
          <w:rFonts w:cs="Times New Roman" w:cstheme="majorBidi"/>
          <w:color w:themeColor="text1" w:val="000000"/>
          <w:sz w:val="24"/>
          <w:szCs w:val="24"/>
        </w:rPr>
        <w:t>With the onset of mobilization, the Ottoman state conscripted nearly all of Bardizag’s young men, approximately one thousand individuals, into auxiliary, unarmed labor battalions (</w:t>
      </w:r>
      <w:r>
        <w:rPr>
          <w:rFonts w:cs="Times New Roman" w:cstheme="majorBidi"/>
          <w:i/>
          <w:iCs/>
          <w:color w:themeColor="text1" w:val="000000"/>
          <w:sz w:val="24"/>
          <w:szCs w:val="24"/>
        </w:rPr>
        <w:t>amele taburları</w:t>
      </w:r>
      <w:r>
        <w:rPr>
          <w:rFonts w:cs="Times New Roman" w:cstheme="majorBidi"/>
          <w:color w:themeColor="text1" w:val="000000"/>
          <w:sz w:val="24"/>
          <w:szCs w:val="24"/>
        </w:rPr>
        <w:t>) in May 1915.</w:t>
      </w:r>
      <w:r>
        <w:rPr>
          <w:rStyle w:val="FootnoteReference"/>
          <w:rFonts w:cs="Times New Roman" w:cstheme="majorBidi"/>
          <w:color w:themeColor="text1" w:val="000000"/>
          <w:sz w:val="24"/>
          <w:szCs w:val="24"/>
        </w:rPr>
        <w:footnoteReference w:id="19"/>
      </w:r>
      <w:r>
        <w:rPr>
          <w:rFonts w:cs="Times New Roman" w:cstheme="majorBidi"/>
          <w:color w:themeColor="text1" w:val="000000"/>
          <w:sz w:val="24"/>
          <w:szCs w:val="24"/>
        </w:rPr>
        <w:t xml:space="preserve"> In August, nineteen-year-old conscripts were also drafted and transferred to Constantinople. Reflecting the state’s deep structural mistrust of its Christian subjects, these men were kept entirely unarmed and assigned to grueling logistical tasks: road construction, railway repair, agricultural labor, and the transportation of military provisions over long distances on foot. Lacking basic shelter, clothing, and adequate food, these conscripts endured extreme suffering in what survivors called “camps of shadows,” where their bodies were ravaged by disease, starvation, and exposure. By draining Bardizag of its young, able-bodied male population, the Ottoman state effectively eliminated the possibility of armed resistance and initiated the economic devaluation of Armenian labor;  productive labor extracted from men under conditions designed to exhaust rather than sustain them.</w:t>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Women and children: a conceptual framework</w:t>
      </w:r>
    </w:p>
    <w:p>
      <w:pPr>
        <w:pStyle w:val="Normal"/>
        <w:spacing w:lineRule="auto" w:line="480" w:before="0" w:after="0"/>
        <w:ind w:firstLine="720"/>
        <w:jc w:val="both"/>
        <w:rPr/>
      </w:pPr>
      <w:r>
        <w:rPr>
          <w:rFonts w:cs="Times New Roman" w:cstheme="majorBidi"/>
          <w:color w:themeColor="text1" w:val="000000"/>
          <w:sz w:val="24"/>
          <w:szCs w:val="24"/>
        </w:rPr>
        <w:t>For women and children, expropriation operated differently: not through conscription into state labor but through household captivity. Three concepts, developed more fully in Section IV through the case of Arshalous Patoogian, describe how this worked. Recursive expropriation treats expropriation not as a single originary act but as a repeating, serial structure. A captive sold and resold across successive households had the relation of domination reset with each transfer, stripping away whatever relational capital, local knowledge, and fragile social ties she had begun to accumulate, and foreclosing the possibility of escape.</w:t>
      </w:r>
    </w:p>
    <w:p>
      <w:pPr>
        <w:pStyle w:val="Normal"/>
        <w:spacing w:lineRule="auto" w:line="480" w:before="0" w:after="0"/>
        <w:ind w:firstLine="720"/>
        <w:jc w:val="both"/>
        <w:rPr/>
      </w:pPr>
      <w:r>
        <w:rPr>
          <w:rFonts w:cs="Times New Roman" w:cstheme="majorBidi"/>
          <w:color w:themeColor="text1" w:val="000000"/>
          <w:sz w:val="24"/>
          <w:szCs w:val="24"/>
        </w:rPr>
        <w:t>Coerced incorporation describes captives’ absorption into intimate household categories — wife, maid, rescued orphan, protected person. These legible classifications naturalized their dependency and co-opted social structures to obscure what was, in substance, an unfree and unwaged labor relation. Domination, in other words, does not always operate by keeping someone visibly outside society; sometimes it works by absorbing them into social categories that conceal coercion, making it harder to see.</w:t>
      </w:r>
    </w:p>
    <w:p>
      <w:pPr>
        <w:pStyle w:val="Normal"/>
        <w:spacing w:lineRule="auto" w:line="480" w:before="0" w:after="0"/>
        <w:ind w:firstLine="720"/>
        <w:jc w:val="both"/>
        <w:rPr/>
      </w:pPr>
      <w:r>
        <w:rPr>
          <w:rFonts w:cs="Times New Roman" w:cstheme="majorBidi"/>
          <w:color w:themeColor="text1" w:val="000000"/>
          <w:sz w:val="24"/>
          <w:szCs w:val="24"/>
        </w:rPr>
        <w:t>Hollow freedom names the colonization of respected legal and social forms, most notably the legal registration of marriage (</w:t>
      </w:r>
      <w:r>
        <w:rPr>
          <w:rFonts w:cs="Times New Roman" w:cstheme="majorBidi"/>
          <w:i/>
          <w:iCs/>
          <w:color w:themeColor="text1" w:val="000000"/>
          <w:sz w:val="24"/>
          <w:szCs w:val="24"/>
        </w:rPr>
        <w:t>pasakadrutyun</w:t>
      </w:r>
      <w:r>
        <w:rPr>
          <w:rFonts w:cs="Times New Roman" w:cstheme="majorBidi"/>
          <w:color w:themeColor="text1" w:val="000000"/>
          <w:sz w:val="24"/>
          <w:szCs w:val="24"/>
        </w:rPr>
        <w:t>). It describes a condition in which a formal or socially recognized status associated with consent; particularly marriage exists without the material conditions necessary for meaningful choice. As exemplified by Taguhi Seferian-Antonyan, known as Hikmet Hanım after her marriage to Ali Şuuri Bey, ordinary institutions were co-opted as instruments of possession, rendering captivity invisible while demanding total identity renunciation as the price of physical survival.</w:t>
      </w:r>
      <w:r>
        <w:rPr>
          <w:rStyle w:val="FootnoteReference"/>
          <w:rFonts w:cs="Times New Roman" w:cstheme="majorBidi"/>
          <w:color w:themeColor="text1" w:val="000000"/>
          <w:sz w:val="24"/>
          <w:szCs w:val="24"/>
        </w:rPr>
        <w:footnoteReference w:id="20"/>
      </w:r>
    </w:p>
    <w:p>
      <w:pPr>
        <w:pStyle w:val="Normal"/>
        <w:spacing w:lineRule="auto" w:line="480" w:before="0" w:after="0"/>
        <w:ind w:firstLine="720"/>
        <w:jc w:val="both"/>
        <w:rPr>
          <w:rFonts w:ascii="Times New Roman" w:hAnsi="Times New Roman" w:cs="Times New Roman" w:asciiTheme="majorBidi" w:cstheme="majorBidi" w:hAnsiTheme="majorBidi"/>
          <w:b/>
          <w:bCs/>
          <w:i/>
          <w:i/>
          <w:iCs/>
          <w:color w:themeColor="text1" w:val="000000"/>
          <w:sz w:val="24"/>
          <w:szCs w:val="24"/>
        </w:rPr>
      </w:pPr>
      <w:r>
        <w:rPr/>
      </w:r>
    </w:p>
    <w:p>
      <w:pPr>
        <w:pStyle w:val="Normal"/>
        <w:spacing w:lineRule="auto" w:line="480" w:before="0" w:after="0"/>
        <w:ind w:hanging="0"/>
        <w:jc w:val="both"/>
        <w:rPr/>
      </w:pPr>
      <w:r>
        <w:rPr>
          <w:rFonts w:cs="Times New Roman" w:cstheme="majorBidi"/>
          <w:b/>
          <w:bCs/>
          <w:i/>
          <w:iCs/>
          <w:color w:themeColor="text1" w:val="000000"/>
          <w:sz w:val="24"/>
          <w:szCs w:val="24"/>
        </w:rPr>
        <w:t>Racial capitalism</w:t>
      </w:r>
    </w:p>
    <w:p>
      <w:pPr>
        <w:pStyle w:val="Normal"/>
        <w:spacing w:lineRule="auto" w:line="480" w:before="0" w:after="0"/>
        <w:ind w:firstLine="720"/>
        <w:jc w:val="both"/>
        <w:rPr/>
      </w:pPr>
      <w:r>
        <w:rPr>
          <w:rFonts w:cs="Times New Roman" w:cstheme="majorBidi"/>
          <w:color w:themeColor="text1" w:val="000000"/>
          <w:sz w:val="24"/>
          <w:szCs w:val="24"/>
        </w:rPr>
        <w:t>By focusing on the extraction of human capacity, this chapter enters into dialogue with Black radical feminist scholarship and theories of racial capitalism, which insist that capitalist relations have always depended on a relational, racialized, gendered division of labor: the formal freedom of the favored population is relationally distributed across unequal social fields and remains structurally dependent upon the violent, unfree subjection of others. Saidiya Hartman’s analysis in Scenes of Subjection is useful for elaborating this dynamic, but it must be used carefully; as a conceptual tool, not as an equivalence between the Ottoman Armenian case and the history of African American enslavement. Hartman demonstrates that the U.S. postbellum order reconciled freedom and bondage within the grammar of liberal legality: the state legally recognized formerly enslaved Black subjects in order to discipline and manage them through contract law and new legal codes. In the American case, the master-slave dynamic was codified, and its violence was subsequently administered through the very institutions of freedom; contract, wage, juridical personhood, that nominally superseded it.</w:t>
      </w:r>
      <w:r>
        <w:rPr>
          <w:rStyle w:val="FootnoteReference"/>
          <w:rFonts w:cs="Times New Roman" w:cstheme="majorBidi"/>
          <w:color w:themeColor="text1" w:val="000000"/>
          <w:sz w:val="24"/>
          <w:szCs w:val="24"/>
        </w:rPr>
        <w:footnoteReference w:id="21"/>
      </w:r>
      <w:r>
        <w:rPr>
          <w:rFonts w:cs="Times New Roman" w:cstheme="majorBidi"/>
          <w:color w:themeColor="text1" w:val="000000"/>
          <w:sz w:val="24"/>
          <w:szCs w:val="24"/>
        </w:rPr>
        <w:t xml:space="preserve"> Even after emancipation, Black subjects remained visible to the law as subjects whose freedom required management; bondage and liberty were not oppositional categories but were reconciled within the grammar of liberal legality itself. Hartman’s intervention thus fundamentally reframes the relationship between freedom and domination: the production of free subjects has historically depended upon expropriative relations that remain structurally obscured.</w:t>
      </w:r>
    </w:p>
    <w:p>
      <w:pPr>
        <w:pStyle w:val="Normal"/>
        <w:spacing w:lineRule="auto" w:line="480" w:before="0" w:after="0"/>
        <w:ind w:firstLine="720"/>
        <w:jc w:val="both"/>
        <w:rPr/>
      </w:pPr>
      <w:r>
        <w:rPr>
          <w:rFonts w:cs="Times New Roman" w:cstheme="majorBidi"/>
          <w:color w:themeColor="text1" w:val="000000"/>
          <w:sz w:val="24"/>
          <w:szCs w:val="24"/>
        </w:rPr>
        <w:t>The Armenian case both confirms Hartman’s insight into freedom’s constitutive dependence on unfreedom and demands a crucial analytical extension. Unlike the postbellum American context, the late Ottoman domestic space in which Armenian women and children were held captive operated through a regime this chapter calls juridical disappearance, which persisted until the Armistice of Mudros. There were no Ottoman slave codes naming the condition of a captive Armenian woman or child, no formal emancipation to be administered, and no legal category through which her captivity could become publicly legible or contestable. In the absence of slave codes, the captivity of Armenian women and children was rendered legally and socially invisible. The Ottoman state did not manage the captive through legal recognition; instead, it actively inverted the violence of captivity through the naturalizing, benevolent languages of “rescue,” charity, and domestic kinship; she was framed not as enslaved but as rescued, saved from genocide, charitably integrated into Muslim domestic life through the language of protection. This distinction is historically significant because it reveals a different modality of expropriative power. If Hartman demonstrates how domination survived through juridical recognition, the Armenian case demonstrates how domination could persist through juridical disappearance. Rather than reconciling freedom and bondage through law, Ottoman domestic structures dissolved the contradiction by rendering bondage socially invisible until, that is, the collapse of the CUP regime and the Allied occupation finally forced an acknowledgment. Following the end of the First World War, the Ministry of Interior of the new Ottoman government, acting under orders from the Allied forces, issued directives beginning in November 1918 for the release of Armenian slaves, political prisoners, orphan girls, and women, as Nazan Maksudyan has shown.</w:t>
      </w:r>
      <w:r>
        <w:rPr>
          <w:rStyle w:val="FootnoteReference"/>
          <w:rFonts w:cs="Times New Roman" w:cstheme="majorBidi"/>
          <w:color w:themeColor="text1" w:val="000000"/>
          <w:sz w:val="24"/>
          <w:szCs w:val="24"/>
        </w:rPr>
        <w:footnoteReference w:id="22"/>
      </w:r>
      <w:r>
        <w:rPr>
          <w:rFonts w:cs="Times New Roman" w:cstheme="majorBidi"/>
          <w:color w:themeColor="text1" w:val="000000"/>
          <w:sz w:val="24"/>
          <w:szCs w:val="24"/>
        </w:rPr>
        <w:t xml:space="preserve"> Lerna Ekmekcioglu has also shown that the Ministry’s directive specifically addressed the detention of Armenian women and children, explicitly acknowledging their status as “slaves,” and instructed that Christian girls and children who had been kept by force (</w:t>
      </w:r>
      <w:r>
        <w:rPr>
          <w:rFonts w:cs="Times New Roman" w:cstheme="majorBidi"/>
          <w:i/>
          <w:iCs/>
          <w:color w:themeColor="text1" w:val="000000"/>
          <w:sz w:val="24"/>
          <w:szCs w:val="24"/>
        </w:rPr>
        <w:t>cebren</w:t>
      </w:r>
      <w:r>
        <w:rPr>
          <w:rFonts w:cs="Times New Roman" w:cstheme="majorBidi"/>
          <w:color w:themeColor="text1" w:val="000000"/>
          <w:sz w:val="24"/>
          <w:szCs w:val="24"/>
        </w:rPr>
        <w:t>) in Muslim households be freed and returned to their relatives, or handed over to local Armenian religious authorities — an acknowledgment that arrived only after the fact, and only under Allied pressure.</w:t>
      </w:r>
      <w:r>
        <w:rPr>
          <w:rStyle w:val="FootnoteReference"/>
          <w:rFonts w:cs="Times New Roman" w:cstheme="majorBidi"/>
          <w:color w:themeColor="text1" w:val="000000"/>
          <w:sz w:val="24"/>
          <w:szCs w:val="24"/>
        </w:rPr>
        <w:footnoteReference w:id="23"/>
      </w:r>
    </w:p>
    <w:p>
      <w:pPr>
        <w:pStyle w:val="Normal"/>
        <w:spacing w:lineRule="auto" w:line="480" w:before="0" w:after="0"/>
        <w:ind w:firstLine="720"/>
        <w:jc w:val="both"/>
        <w:rPr/>
      </w:pPr>
      <w:r>
        <w:rPr>
          <w:rFonts w:cs="Times New Roman" w:cstheme="majorBidi"/>
          <w:color w:themeColor="text1" w:val="000000"/>
          <w:sz w:val="24"/>
          <w:szCs w:val="24"/>
        </w:rPr>
        <w:t>It is worth being precise about the vocabulary this chapter uses for that condition. Forced labor, or unfree labor, describes any form of work performed against a person’s will (</w:t>
      </w:r>
      <w:r>
        <w:rPr>
          <w:rFonts w:cs="Times New Roman" w:cstheme="majorBidi"/>
          <w:i/>
          <w:iCs/>
          <w:color w:themeColor="text1" w:val="000000"/>
          <w:sz w:val="24"/>
          <w:szCs w:val="24"/>
        </w:rPr>
        <w:t>cebren</w:t>
      </w:r>
      <w:r>
        <w:rPr>
          <w:rFonts w:cs="Times New Roman" w:cstheme="majorBidi"/>
          <w:color w:themeColor="text1" w:val="000000"/>
          <w:sz w:val="24"/>
          <w:szCs w:val="24"/>
        </w:rPr>
        <w:t>), under the constant threat of death, violence, detention, destitution, or other extreme hardship affecting the person or their family, relatives, or community. Slavery is often distinguished from this by the fact that the enslaved person’s place of work and residence is dictated by whoever holds them in bondage, such that the person is treated as the property of an owner. The Armenian women and children of Bardizag experienced both registers simultaneously, which is precisely why the Ottoman state’s refusal to name their condition in law — until the very end of the war — mattered so much: it was not simply a legal oversight but an active, sustained mechanism of concealment.</w:t>
      </w:r>
    </w:p>
    <w:p>
      <w:pPr>
        <w:pStyle w:val="Heading2"/>
        <w:spacing w:lineRule="auto" w:line="480" w:before="0" w:after="0"/>
        <w:ind w:firstLine="720"/>
        <w:rPr>
          <w:rFonts w:ascii="Times New Roman" w:hAnsi="Times New Roman" w:asciiTheme="majorBidi" w:hAnsiTheme="majorBidi"/>
          <w:b/>
          <w:bCs/>
          <w:i/>
          <w:i/>
          <w:iCs/>
          <w:color w:themeColor="text1" w:val="000000"/>
          <w:sz w:val="24"/>
          <w:szCs w:val="24"/>
        </w:rPr>
      </w:pPr>
      <w:r>
        <w:rPr/>
      </w:r>
    </w:p>
    <w:p>
      <w:pPr>
        <w:pStyle w:val="Heading2"/>
        <w:spacing w:lineRule="auto" w:line="480" w:before="0" w:after="0"/>
        <w:ind w:hanging="0"/>
        <w:rPr/>
      </w:pPr>
      <w:r>
        <w:rPr>
          <w:rFonts w:ascii="Times New Roman" w:hAnsi="Times New Roman" w:asciiTheme="majorBidi" w:hAnsiTheme="majorBidi"/>
          <w:b/>
          <w:bCs/>
          <w:i/>
          <w:iCs/>
          <w:color w:themeColor="text1" w:val="000000"/>
          <w:sz w:val="24"/>
          <w:szCs w:val="24"/>
        </w:rPr>
        <w:t>A constitutive silence</w:t>
      </w:r>
    </w:p>
    <w:p>
      <w:pPr>
        <w:pStyle w:val="Normal"/>
        <w:spacing w:lineRule="auto" w:line="480" w:before="0" w:after="0"/>
        <w:ind w:firstLine="720"/>
        <w:jc w:val="both"/>
        <w:rPr/>
      </w:pPr>
      <w:r>
        <w:rPr>
          <w:rFonts w:cs="Times New Roman" w:cstheme="majorBidi"/>
          <w:color w:themeColor="text1" w:val="000000"/>
          <w:sz w:val="24"/>
          <w:szCs w:val="24"/>
        </w:rPr>
        <w:t>Holding these gendered sites of extraction together in a single analytical frame exposes what might be called a constitutive silence in Ottoman labor and gender historiography. Ezgi Akyol’s recent work powerfully reframes the First World War as a process of “total destruction,” arguing that wartime capitalism transformed Ottoman society far beyond the Armenian case alone: faced with bankruptcy and the demands of total war, the empire mobilized women and children into the war economy, accelerating processes of primitive accumulation, proletarianization, and social dislocation.</w:t>
      </w:r>
      <w:r>
        <w:rPr>
          <w:rStyle w:val="FootnoteReference"/>
          <w:rFonts w:cs="Times New Roman" w:cstheme="majorBidi"/>
          <w:color w:themeColor="text1" w:val="000000"/>
          <w:sz w:val="24"/>
          <w:szCs w:val="24"/>
        </w:rPr>
        <w:footnoteReference w:id="24"/>
      </w:r>
      <w:r>
        <w:rPr>
          <w:rFonts w:cs="Times New Roman" w:cstheme="majorBidi"/>
          <w:color w:themeColor="text1" w:val="000000"/>
          <w:sz w:val="24"/>
          <w:szCs w:val="24"/>
        </w:rPr>
        <w:t xml:space="preserve"> Small producers lost autonomy, rural populations were uprooted, and wartime economic pressures drove mass movement into urban labor structures. Recent scholarship has extensively documented this wartime mobilization of Muslim women into public workshops and state agencies such as the Islamic Organization for the Employment of Women. It remains silent, however, on the simultaneous, genocidal domestic captivity of Armenian women. This chapter’s account of Akyol’s framework is not a rejection of it; total war did reorganize Ottoman society at every level; but an insistence that even within this expansive framework, Armenian women and children remain largely absent. The category of wartime labor mobilization has been analyzed without sustained attention to the fact that another population was simultaneously being transformed into expropriated and captive labor through genocidal violence.</w:t>
      </w:r>
    </w:p>
    <w:p>
      <w:pPr>
        <w:pStyle w:val="Normal"/>
        <w:spacing w:lineRule="auto" w:line="480" w:before="0" w:after="0"/>
        <w:ind w:firstLine="720"/>
        <w:jc w:val="both"/>
        <w:rPr/>
      </w:pPr>
      <w:r>
        <w:rPr>
          <w:rFonts w:cs="Times New Roman" w:cstheme="majorBidi"/>
          <w:color w:themeColor="text1" w:val="000000"/>
          <w:sz w:val="24"/>
          <w:szCs w:val="24"/>
        </w:rPr>
        <w:t>Patriotic labor mobilization and genocidal domestic captivity were, this chapter argues, two sides of the exact same wartime political economy. The unfree, unwaged domestic labor of Armenian women and children, alongside the unfree labor of the male “productive remnant” conscripted into labor battalions and, later, Cemal Pasha’s military factories in Syria, served as the hidden precondition for the social reproduction and relative freedom of the favored population in the emerging national order. The micro-history of Bardizag thus reveals that the Armenian Genocide was not merely a project of physical elimination: by mobilizing the full administrative, military, and legal machinery of the state, the Ottoman government converted the destruction of a proximate community into a self-renewing engine of capital accumulation, class restructuring, and national consolidation that outlived the empire itself.</w:t>
      </w:r>
    </w:p>
    <w:p>
      <w:pPr>
        <w:pStyle w:val="NormalWeb"/>
        <w:spacing w:lineRule="auto" w:line="480" w:before="0" w:after="0"/>
        <w:ind w:firstLine="720"/>
        <w:rPr>
          <w:rStyle w:val="Strong"/>
          <w:rFonts w:ascii="Times New Roman" w:hAnsi="Times New Roman" w:cs="Times New Roman" w:asciiTheme="majorBidi" w:cstheme="majorBidi" w:hAnsiTheme="majorBidi"/>
          <w:color w:themeColor="text1" w:val="000000"/>
        </w:rPr>
      </w:pPr>
      <w:r>
        <w:rPr/>
      </w:r>
    </w:p>
    <w:p>
      <w:pPr>
        <w:pStyle w:val="NormalWeb"/>
        <w:spacing w:lineRule="auto" w:line="480" w:before="0" w:after="0"/>
        <w:ind w:hanging="0"/>
        <w:rPr/>
      </w:pPr>
      <w:r>
        <w:rPr>
          <w:rStyle w:val="Strong"/>
          <w:rFonts w:cs="Times New Roman" w:cstheme="majorBidi"/>
          <w:color w:themeColor="text1" w:val="000000"/>
        </w:rPr>
        <w:t>IV. Recursive Expropriation: Arshalous Patoogian</w:t>
      </w:r>
    </w:p>
    <w:p>
      <w:pPr>
        <w:pStyle w:val="NormalWeb"/>
        <w:spacing w:lineRule="auto" w:line="480" w:before="0" w:after="0"/>
        <w:ind w:firstLine="720"/>
        <w:rPr/>
      </w:pPr>
      <w:r>
        <w:rPr>
          <w:color w:val="000000"/>
        </w:rPr>
        <w:t>The archives of the Ottoman Ministry of Interior are filled with documents recording such “adoptions.” The Directorate of Public Security explicitly stated that the state had</w:t>
      </w:r>
      <w:r>
        <w:rPr>
          <w:rStyle w:val="apple-converted-space"/>
          <w:color w:val="000000"/>
        </w:rPr>
        <w:t> </w:t>
      </w:r>
      <w:r>
        <w:rPr>
          <w:rStyle w:val="Strong"/>
          <w:b w:val="false"/>
          <w:bCs w:val="false"/>
          <w:color w:val="000000"/>
        </w:rPr>
        <w:t>no objection to officials adopting Armenian girls</w:t>
      </w:r>
      <w:r>
        <w:rPr>
          <w:b/>
          <w:bCs/>
          <w:color w:val="000000"/>
        </w:rPr>
        <w:t xml:space="preserve">. </w:t>
      </w:r>
      <w:r>
        <w:rPr>
          <w:color w:val="000000"/>
        </w:rPr>
        <w:t>In practice, these policies were carried out on a massive scale. According to the</w:t>
      </w:r>
      <w:r>
        <w:rPr>
          <w:rStyle w:val="apple-converted-space"/>
          <w:b/>
          <w:bCs/>
          <w:color w:val="000000"/>
        </w:rPr>
        <w:t> </w:t>
      </w:r>
      <w:r>
        <w:rPr>
          <w:rStyle w:val="Strong"/>
          <w:b w:val="false"/>
          <w:bCs w:val="false"/>
          <w:color w:val="000000"/>
        </w:rPr>
        <w:t>personal registers of Talat Pasha</w:t>
      </w:r>
      <w:r>
        <w:rPr>
          <w:b/>
          <w:bCs/>
          <w:color w:val="000000"/>
        </w:rPr>
        <w:t xml:space="preserve">, </w:t>
      </w:r>
      <w:r>
        <w:rPr>
          <w:color w:val="000000"/>
        </w:rPr>
        <w:t>as later published by Murat Bardakçı, out of</w:t>
      </w:r>
      <w:r>
        <w:rPr>
          <w:rStyle w:val="apple-converted-space"/>
          <w:b/>
          <w:bCs/>
          <w:color w:val="000000"/>
        </w:rPr>
        <w:t> </w:t>
      </w:r>
      <w:r>
        <w:rPr>
          <w:rStyle w:val="Strong"/>
          <w:b w:val="false"/>
          <w:bCs w:val="false"/>
          <w:color w:val="000000"/>
        </w:rPr>
        <w:t>10,314 Armenian orphans reported by provincial authorities</w:t>
      </w:r>
      <w:r>
        <w:rPr>
          <w:b/>
          <w:bCs/>
          <w:color w:val="000000"/>
        </w:rPr>
        <w:t>,</w:t>
      </w:r>
      <w:r>
        <w:rPr>
          <w:rStyle w:val="apple-converted-space"/>
          <w:b/>
          <w:bCs/>
          <w:color w:val="000000"/>
        </w:rPr>
        <w:t> </w:t>
      </w:r>
      <w:r>
        <w:rPr>
          <w:rStyle w:val="Strong"/>
          <w:b w:val="false"/>
          <w:bCs w:val="false"/>
          <w:color w:val="000000"/>
        </w:rPr>
        <w:t>6,858</w:t>
      </w:r>
      <w:r>
        <w:rPr>
          <w:rStyle w:val="apple-converted-space"/>
          <w:b/>
          <w:bCs/>
          <w:color w:val="000000"/>
        </w:rPr>
        <w:t> </w:t>
      </w:r>
      <w:r>
        <w:rPr>
          <w:color w:val="000000"/>
        </w:rPr>
        <w:t>were distributed to Muslim families, while</w:t>
      </w:r>
      <w:r>
        <w:rPr>
          <w:rStyle w:val="apple-converted-space"/>
          <w:color w:val="000000"/>
        </w:rPr>
        <w:t> </w:t>
      </w:r>
      <w:r>
        <w:rPr>
          <w:rStyle w:val="Strong"/>
          <w:b w:val="false"/>
          <w:bCs w:val="false"/>
          <w:color w:val="000000"/>
        </w:rPr>
        <w:t>3,456</w:t>
      </w:r>
      <w:r>
        <w:rPr>
          <w:rStyle w:val="apple-converted-space"/>
          <w:color w:val="000000"/>
        </w:rPr>
        <w:t> </w:t>
      </w:r>
      <w:r>
        <w:rPr>
          <w:color w:val="000000"/>
        </w:rPr>
        <w:t>were placed in state orphanages.</w:t>
      </w:r>
      <w:r>
        <w:rPr>
          <w:rStyle w:val="FootnoteReference"/>
          <w:color w:val="000000"/>
        </w:rPr>
        <w:footnoteReference w:id="25"/>
      </w:r>
      <w:r>
        <w:rPr>
          <w:b/>
          <w:bCs/>
          <w:color w:val="000000"/>
        </w:rPr>
        <w:t xml:space="preserve"> </w:t>
      </w:r>
      <w:r>
        <w:rPr>
          <w:color w:val="000000"/>
        </w:rPr>
        <w:t>These figures, while incomplete, underscore the institutionalized character of child expropriation; what might be termed the</w:t>
      </w:r>
      <w:r>
        <w:rPr>
          <w:rStyle w:val="apple-converted-space"/>
          <w:color w:val="000000"/>
        </w:rPr>
        <w:t> </w:t>
      </w:r>
      <w:r>
        <w:rPr>
          <w:rStyle w:val="Strong"/>
          <w:b w:val="false"/>
          <w:bCs w:val="false"/>
          <w:color w:val="000000"/>
        </w:rPr>
        <w:t>bureaucratization of abduction</w:t>
      </w:r>
      <w:r>
        <w:rPr>
          <w:color w:val="000000"/>
        </w:rPr>
        <w:t>, a process through which the Ottoman state transformed Armenian children into objects of demographic engineering and social assimilation. Hundreds of additional children were later transferred from Anatolia to Istanbul through the</w:t>
      </w:r>
      <w:r>
        <w:rPr>
          <w:rStyle w:val="apple-converted-space"/>
          <w:b/>
          <w:bCs/>
          <w:color w:val="000000"/>
        </w:rPr>
        <w:t> </w:t>
      </w:r>
      <w:r>
        <w:rPr>
          <w:rStyle w:val="Strong"/>
          <w:b w:val="false"/>
          <w:bCs w:val="false"/>
          <w:color w:val="000000"/>
        </w:rPr>
        <w:t>Islamic Society for the Employment of Women</w:t>
      </w:r>
      <w:r>
        <w:rPr>
          <w:rStyle w:val="apple-converted-space"/>
          <w:b/>
          <w:bCs/>
          <w:color w:val="000000"/>
        </w:rPr>
        <w:t> </w:t>
      </w:r>
      <w:r>
        <w:rPr>
          <w:b/>
          <w:bCs/>
          <w:color w:val="000000"/>
        </w:rPr>
        <w:t>(</w:t>
      </w:r>
      <w:r>
        <w:rPr>
          <w:rStyle w:val="Emphasis"/>
          <w:color w:val="000000"/>
        </w:rPr>
        <w:t>Kadınları Çalıştırma Cemiyet-i İslamiyesi</w:t>
      </w:r>
      <w:r>
        <w:rPr>
          <w:color w:val="000000"/>
        </w:rPr>
        <w:t>).</w:t>
      </w:r>
      <w:r>
        <w:rPr>
          <w:b/>
          <w:bCs/>
          <w:color w:val="000000"/>
        </w:rPr>
        <w:t xml:space="preserve"> </w:t>
      </w:r>
      <w:r>
        <w:rPr>
          <w:color w:val="000000"/>
        </w:rPr>
        <w:t xml:space="preserve">Girls were distributed to Muslim households chosen by the Ministry, and boys were sent to workshops and small businesses, blurring the lines between humanitarian welfare, forced labor, and cultural erasure. </w:t>
      </w:r>
      <w:r>
        <w:rPr>
          <w:b/>
          <w:bCs/>
          <w:color w:val="000000"/>
        </w:rPr>
        <w:drawing>
          <wp:anchor behindDoc="0" distT="0" distB="0" distL="114300" distR="114300" simplePos="0" locked="0" layoutInCell="0" allowOverlap="1" relativeHeight="3">
            <wp:simplePos x="0" y="0"/>
            <wp:positionH relativeFrom="page">
              <wp:align>center</wp:align>
            </wp:positionH>
            <wp:positionV relativeFrom="paragraph">
              <wp:posOffset>3154680</wp:posOffset>
            </wp:positionV>
            <wp:extent cx="5550535" cy="3502025"/>
            <wp:effectExtent l="0" t="0" r="0" b="0"/>
            <wp:wrapTopAndBottom/>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5550535" cy="3502025"/>
                    </a:xfrm>
                    <a:prstGeom prst="rect">
                      <a:avLst/>
                    </a:prstGeom>
                  </pic:spPr>
                </pic:pic>
              </a:graphicData>
            </a:graphic>
          </wp:anchor>
        </w:drawing>
      </w:r>
      <w:r>
        <w:rPr>
          <w:b/>
          <w:bCs/>
          <w:color w:val="000000"/>
        </w:rPr>
        <w:t>(transition needed here)</w:t>
      </w:r>
    </w:p>
    <w:p>
      <w:pPr>
        <w:pStyle w:val="NormalWeb"/>
        <w:spacing w:lineRule="auto" w:line="480" w:before="0" w:after="0"/>
        <w:ind w:firstLine="720"/>
        <w:rPr/>
      </w:pPr>
      <w:r>
        <w:rPr>
          <w:rFonts w:cs="Times New Roman" w:cstheme="majorBidi"/>
          <w:color w:themeColor="text1" w:val="000000"/>
        </w:rPr>
        <w:tab/>
      </w:r>
      <w:r>
        <w:rPr>
          <w:rFonts w:cs="Times New Roman" w:cstheme="majorBidi"/>
          <w:color w:themeColor="text1" w:val="000000"/>
        </w:rPr>
        <w:t>he concepts developed above — recursive expropriation, coerced incorporation, hollow freedom — are not abstractions. They describe the actual trajectory of one Bardizag woman, Arshalous Patoogian, whose case runs through the rest of this chapter as its human thread. Her story is not presented here as an uncomplicated tale of survival: her testimony was mediated by humanitarian institutions, and this section treats that mediation with methodological care rather than treating her as a straightforward witness to her own past. Born and raised in Bardizag, Arshalous was deported with her parents and younger brother in August 1915.</w:t>
      </w:r>
      <w:r>
        <w:rPr>
          <w:rStyle w:val="FootnoteReference"/>
          <w:rFonts w:cs="Times New Roman" w:cstheme="majorBidi"/>
          <w:color w:themeColor="text1" w:val="000000"/>
        </w:rPr>
        <w:footnoteReference w:id="26"/>
      </w:r>
      <w:r>
        <w:rPr>
          <w:rFonts w:cs="Times New Roman" w:cstheme="majorBidi"/>
          <w:color w:themeColor="text1" w:val="000000"/>
        </w:rPr>
        <w:t xml:space="preserve"> By the time the caravan reached Meskene, her parents had died of starvation and disease. Her brother was taken by an Arab man, and Arshalous, now orphaned, was seized into captivity.</w:t>
      </w:r>
    </w:p>
    <w:p>
      <w:pPr>
        <w:pStyle w:val="NormalWeb"/>
        <w:spacing w:lineRule="auto" w:line="480" w:before="0" w:after="0"/>
        <w:ind w:firstLine="720"/>
        <w:rPr/>
      </w:pPr>
      <w:r>
        <w:rPr>
          <w:rFonts w:cs="Times New Roman" w:cstheme="majorBidi"/>
          <w:color w:themeColor="text1" w:val="000000"/>
        </w:rPr>
        <w:t>What followed was not a single act of expropriation but a recursive one. She was sold and resold across households, each transfer resetting the relation of domination under new hands and conditions. After two years with her first captor, she was sold again; mistreated, she attempted to flee, but was recaptured at Deir ez-Zor by a man named Abou Djmeyd and compelled into a five-year forced marriage with one of his relatives. Each sale broke her social connections, changed who controlled her labor, destroyed accumulated local knowledge, and reset her vulnerability — converting her again into an object of exchange. The captive market she moved through was not incidental to her subjection but its sustaining mechanism: no site of captivity ever became familiar enough to be navigated toward escape.</w:t>
      </w:r>
    </w:p>
    <w:p>
      <w:pPr>
        <w:pStyle w:val="NormalWeb"/>
        <w:spacing w:lineRule="auto" w:line="480" w:before="0" w:after="0"/>
        <w:ind w:firstLine="720"/>
        <w:rPr>
          <w:rStyle w:val="Emphasis"/>
          <w:rFonts w:ascii="Times New Roman" w:hAnsi="Times New Roman" w:cs="Times New Roman" w:asciiTheme="majorBidi" w:cstheme="majorBidi" w:hAnsiTheme="majorBidi"/>
          <w:b/>
          <w:bCs/>
          <w:color w:themeColor="text1" w:val="000000"/>
        </w:rPr>
      </w:pPr>
      <w:r>
        <w:rPr/>
      </w:r>
    </w:p>
    <w:p>
      <w:pPr>
        <w:pStyle w:val="NormalWeb"/>
        <w:spacing w:lineRule="auto" w:line="480" w:before="0" w:after="0"/>
        <w:ind w:hanging="0"/>
        <w:rPr/>
      </w:pPr>
      <w:r>
        <w:rPr>
          <w:rStyle w:val="Emphasis"/>
          <w:rFonts w:cs="Times New Roman" w:cstheme="majorBidi"/>
          <w:b/>
          <w:bCs/>
          <w:color w:themeColor="text1" w:val="000000"/>
        </w:rPr>
        <w:t>Marriage as hollow freedom</w:t>
      </w:r>
    </w:p>
    <w:p>
      <w:pPr>
        <w:pStyle w:val="NormalWeb"/>
        <w:spacing w:lineRule="auto" w:line="480" w:before="0" w:after="0"/>
        <w:ind w:firstLine="720"/>
        <w:rPr/>
      </w:pPr>
      <w:r>
        <w:rPr>
          <w:rFonts w:cs="Times New Roman" w:cstheme="majorBidi"/>
          <w:color w:themeColor="text1" w:val="000000"/>
        </w:rPr>
        <w:t>The forced marriage crystallizes this dynamic with clarity. Her earlier captivities operated through direct, visible force; marriage instead appropriated one of the central institutions through which societies reproduce free subjects, subjecting her through a juridical form ordinarily associated with consent. Domination here did not operate outside the law but through it: she entered the household not as a subject requiring management, but as a wife — dependent, and simultaneously cast as a beneficiary of rescue. Unlike the postbellum U.S. order Hartman analyzes, where law named and disciplined the subject it claimed to free, Ottoman domestic institutions absorbed Arshalous without ever recognizing her captivity as such. What remained constant across her captivities, from informal seizure to juridically formalized marriage, was not their legal character but their structural function: the conversion of her person into a resource, her labor into unwaged service, her unfreedom into the condition of others' relative freedom.</w:t>
      </w:r>
    </w:p>
    <w:p>
      <w:pPr>
        <w:pStyle w:val="NormalWeb"/>
        <w:spacing w:lineRule="auto" w:line="480" w:before="0" w:after="0"/>
        <w:ind w:firstLine="720"/>
        <w:rPr/>
      </w:pPr>
      <w:r>
        <w:rPr>
          <w:rFonts w:cs="Times New Roman" w:cstheme="majorBidi"/>
          <w:color w:themeColor="text1" w:val="000000"/>
        </w:rPr>
        <w:t>Her case suggests an afterlife of genocide analogous to what Hartman calls slavery's afterlife: expropriation survived mass death by reorganizing itself within domestic institutions and kinship structures rather than disappearing with it. When escape finally came, it depended not on the restoration of any right but on external intervention; Armenian rescue agents in Syria facilitated her removal to the orphanage run by Karen Jeppe, from where relatives in Greece attempted to reclaim her. Arshalous's case confirms Fraser's insight that freedom is not a condition individuals simply possess but one distributed unevenly across a social field, underwritten by others' confiscation; it also demands an additional category beyond Hartman's: an expropriative power that operates not through the legal codification of bondage, nor through the disciplinary management of emancipation, but through the active concealment of domination within the ordinary institutions of domestic freedom itself.</w:t>
      </w:r>
    </w:p>
    <w:p>
      <w:pPr>
        <w:pStyle w:val="NormalWeb"/>
        <w:spacing w:lineRule="auto" w:line="480" w:before="0" w:after="0"/>
        <w:ind w:firstLine="720"/>
        <w:rPr/>
      </w:pPr>
      <w:r>
        <w:rPr>
          <w:rFonts w:cs="Times New Roman" w:cstheme="majorBidi"/>
          <w:color w:themeColor="text1" w:val="000000"/>
        </w:rPr>
        <w:t>Arshalous's testimony survives within the humanitarian archive created by the Danish relief worker Karen Jeppe, who established the Reception Home in Aleppo in 1921 to locate, identify, and where possible reunite Armenians absorbed into Muslim households.</w:t>
      </w:r>
      <w:r>
        <w:rPr>
          <w:rStyle w:val="FootnoteReference"/>
          <w:rFonts w:cs="Times New Roman" w:cstheme="majorBidi"/>
          <w:color w:themeColor="text1" w:val="000000"/>
        </w:rPr>
        <w:footnoteReference w:id="27"/>
      </w:r>
      <w:r>
        <w:rPr>
          <w:rFonts w:cs="Times New Roman" w:cstheme="majorBidi"/>
          <w:color w:themeColor="text1" w:val="000000"/>
        </w:rPr>
        <w:t xml:space="preserve"> Rescued Armenians received a medical exam and were entered into a register , each given a number, along with whatever remained of their name, their parents, birthplace, remembered relatives, and account of captivity, with a photograph attached, so they could be matched with relatives searching for them as far away as Europe or the United States. This provenance matters. Arshalous's testimony is not an unmediated transcript of her past but an artifact of a rescue institution's documentary purpose: Jeppe's staff needed to establish who a survivor was and whether she could be identified and reunited, so her testimony functioned simultaneously as personal narrative and as an instrument of identification. That context does not diminish its value; it deepens it, because the register is itself evidence of a historical reversal. During the genocide, women like Arshalous were rendered administratively disposable: deported, separated from relatives, renamed, absorbed into households in ways that obscured who they had been. At the Reception Home, the same documentary techniques were redeployed to make an individual legible again. Read this way, Arshalous's case shows that recursive expropriation had an archival dimension as well as an economic one: where the household sought to incorporate her by suppressing her previous identity, the humanitarian archive sought to make that identity recoverable. The full institutional consequences of this contrast; a genocidal administration that made Armenians disappear from the record, set against a humanitarian one that worked to make them legible again are taken up further in Section VI.</w:t>
      </w:r>
    </w:p>
    <w:p>
      <w:pPr>
        <w:pStyle w:val="Normal"/>
        <w:spacing w:lineRule="auto" w:line="480" w:before="0" w:after="0"/>
        <w:ind w:firstLine="720"/>
        <w:rPr/>
      </w:pPr>
      <w:r>
        <w:rPr>
          <w:rFonts w:cs="Times New Roman" w:cstheme="majorBidi"/>
          <w:color w:val="000000"/>
          <w:sz w:val="24"/>
          <w:szCs w:val="24"/>
          <w:shd w:fill="FFFF00" w:val="clear"/>
        </w:rPr>
        <w:t>(transition needed here).</w:t>
      </w:r>
      <w:r>
        <w:rPr>
          <w:rFonts w:cs="Times New Roman" w:cstheme="majorBidi"/>
          <w:color w:val="000000"/>
          <w:sz w:val="24"/>
          <w:szCs w:val="24"/>
        </w:rPr>
        <w:t xml:space="preserve"> Edita Gzoyan and Regina Galustyan examined 1,464 intake files of rescued Armenian women and children archived by the League of Nations. In their article, </w:t>
      </w:r>
      <w:r>
        <w:rPr>
          <w:rFonts w:cs="Times New Roman" w:cstheme="majorBidi"/>
          <w:i/>
          <w:iCs/>
          <w:color w:val="000000"/>
          <w:sz w:val="24"/>
          <w:szCs w:val="24"/>
        </w:rPr>
        <w:t>Forced Marriages as a Tool of Genocide: The Armenian Case,</w:t>
      </w:r>
      <w:r>
        <w:rPr>
          <w:rFonts w:cs="Times New Roman" w:cstheme="majorBidi"/>
          <w:color w:val="000000"/>
          <w:sz w:val="24"/>
          <w:szCs w:val="24"/>
        </w:rPr>
        <w:t xml:space="preserve"> the authors reveal that 577 of these files document women; most of whom were subjected to sexual violence.</w:t>
      </w:r>
      <w:r>
        <w:rPr>
          <w:rStyle w:val="FootnoteReference"/>
          <w:rFonts w:cs="Times New Roman" w:cstheme="majorBidi"/>
          <w:color w:val="000000"/>
          <w:sz w:val="24"/>
          <w:szCs w:val="24"/>
        </w:rPr>
        <w:footnoteReference w:id="28"/>
      </w:r>
      <w:r>
        <w:rPr>
          <w:rFonts w:cs="Times New Roman" w:cstheme="majorBidi"/>
          <w:color w:val="000000"/>
          <w:sz w:val="24"/>
          <w:szCs w:val="24"/>
        </w:rPr>
        <w:t xml:space="preserve"> The interviews consistently point to a systematic pattern of genocide, including deportations, massacres, rape, enslavement, and forced marriage. Nearly half of the files concerning rescued women (238 in total) referenced coerced   marriages to Muslim men—Turks, Kurds, Arabs, Chechens, and others. These marriages often involved girls as young as nine or ten, while some husbands were as old as sixty. In many cases, girls were initially adopted and later sold, married off, or married by their adoptive “guardians,”. Some files even describe situations where mothers and daughters or sisters were forced to marry the same man. Others were taken into harems.</w:t>
      </w:r>
    </w:p>
    <w:p>
      <w:pPr>
        <w:pStyle w:val="Heading1"/>
        <w:spacing w:lineRule="auto" w:line="480" w:before="0" w:after="0"/>
        <w:ind w:firstLine="720"/>
        <w:rPr>
          <w:rFonts w:ascii="Times New Roman" w:hAnsi="Times New Roman" w:cs="Times New Roman" w:asciiTheme="majorBidi" w:cstheme="majorBidi" w:hAnsiTheme="majorBidi"/>
          <w:color w:themeColor="text1" w:val="000000"/>
        </w:rPr>
      </w:pPr>
      <w:r>
        <w:rPr/>
      </w:r>
    </w:p>
    <w:p>
      <w:pPr>
        <w:pStyle w:val="Heading1"/>
        <w:spacing w:lineRule="auto" w:line="480" w:before="0" w:after="0"/>
        <w:ind w:hanging="0"/>
        <w:rPr/>
      </w:pPr>
      <w:r>
        <w:rPr>
          <w:rFonts w:cs="Times New Roman" w:cstheme="majorBidi"/>
          <w:color w:themeColor="text1" w:val="000000"/>
        </w:rPr>
        <w:t>V. Deportation as Relocation, Not Termination</w:t>
      </w:r>
    </w:p>
    <w:p>
      <w:pPr>
        <w:pStyle w:val="Normal"/>
        <w:spacing w:lineRule="auto" w:line="480" w:before="0" w:after="0"/>
        <w:ind w:firstLine="720"/>
        <w:jc w:val="both"/>
        <w:rPr/>
      </w:pPr>
      <w:r>
        <w:rPr>
          <w:rFonts w:cs="Times New Roman" w:cstheme="majorBidi"/>
          <w:color w:themeColor="text1" w:val="000000"/>
          <w:sz w:val="24"/>
          <w:szCs w:val="24"/>
        </w:rPr>
        <w:t>As the deportations of August 13–15, 1915, emptied the homes, vineyards, and workshops of Bardizag, the primary phase of genocidal destruction and material confiscation appeared complete. The Armenian community’s material world had been dismantled, and its surviving members were driven down the forced routes toward the Syrian desert. However, the political economy of the Armenian Genocide did not conclude with the physical seizure of property and the removal of bodies from the Marmara region. Deportation did not end the extraction of Armenian labor; it relocated it. As the survivors of Bardizag, Adapazarı, and other provincial towns crossed into the southern and eastern frontiers of the empire, they were subjected to a new phase of extraction, organized by the same administrative logic that had dismantled their communities at home, now redeployed in the transit camps, desert outposts, and state factories of Syria. Here, the Committee of Union and Progress state engineered a system that reorganized the “productive remnant” of the Armenian population: the surviving bodies and technical skills of Armenian artisans were conscripted into military provisioning, converting survivors into unfree, unwaged producers for the very state apparatus that had destroyed their families and communities.</w:t>
      </w:r>
    </w:p>
    <w:p>
      <w:pPr>
        <w:pStyle w:val="Heading2"/>
        <w:spacing w:lineRule="auto" w:line="480" w:before="0" w:after="0"/>
        <w:ind w:firstLine="720"/>
        <w:rPr>
          <w:rFonts w:ascii="Times New Roman" w:hAnsi="Times New Roman" w:asciiTheme="majorBidi" w:hAnsiTheme="majorBidi"/>
          <w:b/>
          <w:bCs/>
          <w:i/>
          <w:i/>
          <w:iCs/>
          <w:color w:themeColor="text1" w:val="000000"/>
          <w:sz w:val="24"/>
          <w:szCs w:val="24"/>
        </w:rPr>
      </w:pPr>
      <w:r>
        <w:rPr/>
      </w:r>
    </w:p>
    <w:p>
      <w:pPr>
        <w:pStyle w:val="Heading2"/>
        <w:spacing w:lineRule="auto" w:line="480" w:before="0" w:after="0"/>
        <w:ind w:hanging="0"/>
        <w:rPr/>
      </w:pPr>
      <w:r>
        <w:rPr>
          <w:rFonts w:ascii="Times New Roman" w:hAnsi="Times New Roman" w:asciiTheme="majorBidi" w:hAnsiTheme="majorBidi"/>
          <w:b/>
          <w:bCs/>
          <w:i/>
          <w:iCs/>
          <w:color w:themeColor="text1" w:val="000000"/>
          <w:sz w:val="24"/>
          <w:szCs w:val="24"/>
        </w:rPr>
        <w:t>A weaponized landscape</w:t>
      </w:r>
    </w:p>
    <w:p>
      <w:pPr>
        <w:pStyle w:val="Normal"/>
        <w:spacing w:lineRule="auto" w:line="480" w:before="0" w:after="0"/>
        <w:ind w:firstLine="720"/>
        <w:jc w:val="both"/>
        <w:rPr/>
      </w:pPr>
      <w:r>
        <w:rPr>
          <w:rFonts w:cs="Times New Roman" w:cstheme="majorBidi"/>
          <w:color w:themeColor="text1" w:val="000000"/>
          <w:sz w:val="24"/>
          <w:szCs w:val="24"/>
        </w:rPr>
        <w:t>To understand the specific vulnerability that enabled the extraction of unfree Armenian labor in Syria, it is worth first considering the environmental conditions of the deportation itself. As survivors left the Marmara region, they were thrust into an environment deliberately mobilized as an instrument of state violence. In his exploration of the environmental history of the genocide, Samuel Dolbee demonstrates how the state utilized the desert’s climate and geography as an active tool of killing and concealment, maintaining a veneer of natural inevitability over what was a highly calculated state program. Drawing on Elyse Semerdjian’s concept of the “weaponized environment,” Dolbee argues that Ottoman authorities did not merely deport Armenians to the desert; they enlisted the desert itself; its extreme heat and endemic diseases, as nonhuman agents to perform the “dirty work” of mass execution while preserving state deniability.</w:t>
      </w:r>
      <w:r>
        <w:rPr>
          <w:rStyle w:val="FootnoteReference"/>
          <w:rFonts w:cs="Times New Roman" w:cstheme="majorBidi"/>
          <w:color w:themeColor="text1" w:val="000000"/>
          <w:sz w:val="24"/>
          <w:szCs w:val="24"/>
        </w:rPr>
        <w:footnoteReference w:id="29"/>
      </w:r>
    </w:p>
    <w:p>
      <w:pPr>
        <w:pStyle w:val="Normal"/>
        <w:spacing w:lineRule="auto" w:line="480" w:before="0" w:after="0"/>
        <w:ind w:firstLine="720"/>
        <w:jc w:val="both"/>
        <w:rPr/>
      </w:pPr>
      <w:r>
        <w:rPr>
          <w:rFonts w:cs="Times New Roman" w:cstheme="majorBidi"/>
          <w:color w:themeColor="text1" w:val="000000"/>
          <w:sz w:val="24"/>
          <w:szCs w:val="24"/>
        </w:rPr>
        <w:t xml:space="preserve">For the deportees of Bardizag, the journey through the Syrian desert consumed everything. Arshalous Patoogian’s parents died of starvation and disease before their caravan even reached Meskene, leaving her orphaned and entirely defenseless. Other survivors, such as Abraham Aghbasian of Tomarza, Kayseri, record the desperate measures required to sustain physical existence in this weaponized landscape: foraging for wild dandelions, drinking rainwater, and a constant search for sustenance in inhospitable terrain that frequently resulted in accidental poisoning and death — underscoring the absolute material deprivation endured by deportees. </w:t>
      </w:r>
      <w:r>
        <w:rPr>
          <w:rStyle w:val="FootnoteReference"/>
          <w:rFonts w:cs="Times New Roman" w:cstheme="majorBidi"/>
          <w:color w:themeColor="text1" w:val="000000"/>
          <w:sz w:val="24"/>
          <w:szCs w:val="24"/>
        </w:rPr>
        <w:footnoteReference w:id="30"/>
      </w:r>
      <w:r>
        <w:rPr>
          <w:rFonts w:cs="Times New Roman" w:cstheme="majorBidi"/>
          <w:color w:themeColor="text1" w:val="000000"/>
          <w:sz w:val="24"/>
          <w:szCs w:val="24"/>
        </w:rPr>
        <w:t xml:space="preserve"> As Jason De León argues in his study of state-engineered border violence, nonhuman agents mask human responsibility, transforming political crimes into natural tragedies. The state-sponsored attack on Armenian communal solidarity and infrastructure, the intentional withholding of food and water, and the stripping of deportees’ tools reduced Bardizag’s Armenian population to something approaching Agamben’s “bare life,” creating a condition of absolute dependency.</w:t>
      </w:r>
      <w:r>
        <w:rPr>
          <w:rStyle w:val="FootnoteReference"/>
          <w:rFonts w:cs="Times New Roman" w:cstheme="majorBidi"/>
          <w:color w:themeColor="text1" w:val="000000"/>
          <w:sz w:val="24"/>
          <w:szCs w:val="24"/>
        </w:rPr>
        <w:footnoteReference w:id="31"/>
      </w:r>
      <w:r>
        <w:rPr>
          <w:rFonts w:cs="Times New Roman" w:cstheme="majorBidi"/>
          <w:color w:themeColor="text1" w:val="000000"/>
          <w:sz w:val="24"/>
          <w:szCs w:val="24"/>
        </w:rPr>
        <w:t xml:space="preserve"> By the time surviving remnants of Bardizag reached the transit camps of northern Syria, their survival was entirely contingent on the arbitrary decisions of state officials. This environmental dimension is best understood as evidence of how the state’s violence was administered — the specific mechanism that stripped survivors of any remaining leverage — rather than as a separate theoretical pillar in its own right; what it produced, materially, was a population with nothing left to bargain with, and it was under exactly these conditions of vulnerability that Cemal Pasha, commander of the Ottoman Fourth Army and governor of Syria, implemented a distinct policy of labor mobilization functioning as a biopolitical labor regime.</w:t>
      </w:r>
    </w:p>
    <w:p>
      <w:pPr>
        <w:pStyle w:val="Heading2"/>
        <w:spacing w:lineRule="auto" w:line="480" w:before="0" w:after="0"/>
        <w:ind w:hanging="0"/>
        <w:rPr>
          <w:rFonts w:ascii="Times New Roman" w:hAnsi="Times New Roman" w:asciiTheme="majorBidi" w:hAnsiTheme="majorBidi"/>
          <w:b/>
          <w:bCs/>
          <w:i/>
          <w:i/>
          <w:iCs/>
          <w:color w:themeColor="text1" w:val="000000"/>
          <w:sz w:val="24"/>
          <w:szCs w:val="24"/>
        </w:rPr>
      </w:pPr>
      <w:r>
        <w:rPr/>
      </w:r>
    </w:p>
    <w:p>
      <w:pPr>
        <w:pStyle w:val="Heading2"/>
        <w:spacing w:lineRule="auto" w:line="480" w:before="0" w:after="0"/>
        <w:ind w:hanging="0"/>
        <w:rPr/>
      </w:pPr>
      <w:r>
        <w:rPr>
          <w:rFonts w:ascii="Times New Roman" w:hAnsi="Times New Roman" w:asciiTheme="majorBidi" w:hAnsiTheme="majorBidi"/>
          <w:b/>
          <w:bCs/>
          <w:i/>
          <w:iCs/>
          <w:color w:themeColor="text1" w:val="000000"/>
          <w:sz w:val="24"/>
          <w:szCs w:val="24"/>
        </w:rPr>
        <w:t>Artisan permits and Cemal Pasha’s factories</w:t>
      </w:r>
    </w:p>
    <w:p>
      <w:pPr>
        <w:pStyle w:val="NormalWeb"/>
        <w:spacing w:lineRule="auto" w:line="480" w:before="0" w:after="0"/>
        <w:ind w:firstLine="720"/>
        <w:rPr/>
      </w:pPr>
      <w:r>
        <w:rPr>
          <w:rFonts w:cs="Times New Roman" w:cstheme="majorBidi"/>
          <w:color w:themeColor="text1" w:val="000000"/>
        </w:rPr>
        <w:t xml:space="preserve">For the deportees of western Anatolia, the city of Aleppo and its surrounding environment represented the primary node of the genocidal administrative network. When the journalist Yervant Odian reached Sebil, a vast, barren plain lying east of Aleppo, he entered what survivors would later call “the gateway to hell,”. </w:t>
      </w:r>
      <w:r>
        <w:rPr>
          <w:rStyle w:val="FootnoteReference"/>
          <w:rFonts w:cs="Times New Roman" w:cstheme="majorBidi"/>
          <w:color w:themeColor="text1" w:val="000000"/>
        </w:rPr>
        <w:footnoteReference w:id="32"/>
      </w:r>
      <w:r>
        <w:rPr>
          <w:rFonts w:cs="Times New Roman" w:cstheme="majorBidi"/>
          <w:color w:themeColor="text1" w:val="000000"/>
        </w:rPr>
        <w:t xml:space="preserve"> Sebil functioned as a massive, open-air transit camp where thousands of deportees from Bardizag, Adapazarı, Edirne, and other regions were forced to wait under the open sky, suspended between the immediate threat of further deportation to the killing fields of Deir ez-Zor and the hunger and disease around them, constructing a temporary tent city. </w:t>
      </w:r>
      <w:r>
        <w:rPr>
          <w:rFonts w:cs="Times New Roman" w:cstheme="majorBidi"/>
          <w:color w:val="000000"/>
        </w:rPr>
        <w:t>Odian’s account of Sebil also exposes one of the most horrific dimensions of the deportation: the systematic trade and exploitation of Armenian children. He writes that he saw, for the first time, “the dreadful, heart-rending trade in children” in the camp. Arab, Turkish, and Jewish women traveled from Aleppo in carriages, going from tent to tent asking, “</w:t>
      </w:r>
      <w:r>
        <w:rPr>
          <w:rFonts w:cs="Times New Roman" w:cstheme="majorBidi"/>
          <w:i/>
          <w:iCs/>
          <w:color w:val="000000"/>
        </w:rPr>
        <w:t>Satılık çocuk var mı</w:t>
      </w:r>
      <w:r>
        <w:rPr>
          <w:rFonts w:cs="Times New Roman" w:cstheme="majorBidi"/>
          <w:color w:val="000000"/>
        </w:rPr>
        <w:t>?” (Are there children for sale?).</w:t>
      </w:r>
      <w:r>
        <w:rPr>
          <w:rStyle w:val="FootnoteReference"/>
          <w:rFonts w:cs="Times New Roman" w:cstheme="majorBidi"/>
          <w:color w:val="000000"/>
        </w:rPr>
        <w:footnoteReference w:id="33"/>
      </w:r>
      <w:r>
        <w:rPr>
          <w:rFonts w:cs="Times New Roman" w:cstheme="majorBidi"/>
          <w:color w:val="000000"/>
        </w:rPr>
        <w:t xml:space="preserve"> Odian recounts witnessing a mother lose her sanity only hours after selling her two children; others sank into a state of stupor, their gaze distant, sitting silently on the ground for hours. This testimony underscores the psychological toll of enforced dispossession and the commodification of Armenian children, who were treated as objects to be bought and sold.</w:t>
      </w:r>
    </w:p>
    <w:p>
      <w:pPr>
        <w:pStyle w:val="Normal"/>
        <w:spacing w:lineRule="auto" w:line="480" w:before="0" w:after="0"/>
        <w:ind w:firstLine="720"/>
        <w:jc w:val="both"/>
        <w:rPr/>
      </w:pPr>
      <w:r>
        <w:rPr>
          <w:rFonts w:cs="Times New Roman" w:cstheme="majorBidi"/>
          <w:color w:themeColor="text1" w:val="000000"/>
          <w:sz w:val="24"/>
          <w:szCs w:val="24"/>
        </w:rPr>
        <w:t>In his memoirs, Karnig Bodourian, a teacher from Bardizag, confirms that many families from his home village were clustered in these tents, waiting for their fate to be decided. It was in this setting that Odian and his companions sought shelter in the tent of a Bardizag family. The head of this household revealed a crucial piece of administrative information: they had managed to arrange a transfer to Damascus, escaping the death marches to Deir ez-Zor, because Cemal Pasha had issued a decree allowing certain artisans to be separated from the main deportation convoys and sent to Damascus to work in government-run military factories.</w:t>
      </w:r>
    </w:p>
    <w:p>
      <w:pPr>
        <w:pStyle w:val="Normal"/>
        <w:spacing w:lineRule="auto" w:line="480" w:before="0" w:after="0"/>
        <w:ind w:firstLine="720"/>
        <w:jc w:val="both"/>
        <w:rPr/>
      </w:pPr>
      <w:r>
        <w:rPr>
          <w:rFonts w:cs="Times New Roman" w:cstheme="majorBidi"/>
          <w:color w:themeColor="text1" w:val="000000"/>
          <w:sz w:val="24"/>
          <w:szCs w:val="24"/>
        </w:rPr>
        <w:t>According to this Bardizag survivor, the authorities were actively seeking tailors, shoemakers, metalworkers, carpenters, and weavers. In theory, this order provided a small window of survival for a fraction of the deported population. In practice, it established a highly coercive system of selection that reorganized Armenian productive capacity to serve the needs of the Ottoman military economy. As the Bardizag man explained to Odian, the factories established by Cemal Pasha in Aleppo and Damascus represented a new dimension of the colonial boomerang: the direct conversion of expropriated, dispossessed persons into unfree, military producers for the very state that had destroyed their communities. This labor mobilization was structurally continuous with the earlier moments of the boomerang that had dismantled Bardizag. The same state apparatus that had dispatched Ibrahim Bey to disarm the village’s artisans, confiscate their tools, and deport them into the desert now found those same tailors, weavers, and carpenters useful again. This time, however, they were not independent economic agents operating within a prosperous Armenian town; they were captive, unfree laborers stripped of their tools, their mobility, and their legal protections, whose survival was entirely dependent on their continued productivity for the Ottoman military. The boomerang had not simply returned violence inward to the heartland; it returned the dispossessed labor force inward to the state’s military-industrial apparatus in the Arab provinces.</w:t>
      </w:r>
    </w:p>
    <w:p>
      <w:pPr>
        <w:pStyle w:val="Normal"/>
        <w:spacing w:lineRule="auto" w:line="480" w:before="0" w:after="0"/>
        <w:ind w:firstLine="720"/>
        <w:jc w:val="both"/>
        <w:rPr/>
      </w:pPr>
      <w:r>
        <w:rPr>
          <w:rFonts w:cs="Times New Roman" w:cstheme="majorBidi"/>
          <w:color w:themeColor="text1" w:val="000000"/>
          <w:sz w:val="24"/>
          <w:szCs w:val="24"/>
        </w:rPr>
        <w:t>Under Cemal Pasha’s military administration, the Fourth Army established six major army-run factories in Aleppo alone, alongside a similar workshop in Damascus. These factories functioned as highly extractive spaces where Armenian survivors; predominantly widows and young girls, were put to work producing clothing, tents, and bedding for the Ottoman troops. Reports from the American consul in Aleppo estimated that within just two months, these factories employed approximately 6,500 women, mostly widows, 3,000 young girls, and 650 men and older boys.</w:t>
      </w:r>
      <w:r>
        <w:rPr>
          <w:rStyle w:val="FootnoteReference"/>
          <w:rFonts w:cs="Times New Roman" w:cstheme="majorBidi"/>
          <w:color w:themeColor="text1" w:val="000000"/>
          <w:sz w:val="24"/>
          <w:szCs w:val="24"/>
        </w:rPr>
        <w:footnoteReference w:id="34"/>
      </w:r>
      <w:r>
        <w:rPr>
          <w:rFonts w:cs="Times New Roman" w:cstheme="majorBidi"/>
          <w:color w:themeColor="text1" w:val="000000"/>
          <w:sz w:val="24"/>
          <w:szCs w:val="24"/>
        </w:rPr>
        <w:t xml:space="preserve"> For this workforce of over ten thousand survivors, compensation was reduced to the barest minimum required to prevent starvation: a single loaf of bread and a bowl of soup each day. Yet under the constant threat of deportation to Deir ez-Zor, this minimal sustenance represented the difference between life and death.</w:t>
      </w:r>
    </w:p>
    <w:p>
      <w:pPr>
        <w:pStyle w:val="Normal"/>
        <w:spacing w:lineRule="auto" w:line="480" w:before="0" w:after="0"/>
        <w:ind w:firstLine="720"/>
        <w:jc w:val="both"/>
        <w:rPr/>
      </w:pPr>
      <w:r>
        <w:rPr>
          <w:rFonts w:cs="Times New Roman" w:cstheme="majorBidi"/>
          <w:color w:themeColor="text1" w:val="000000"/>
          <w:sz w:val="24"/>
          <w:szCs w:val="24"/>
        </w:rPr>
        <w:t>This system is best read as a biopolitical labor regime. The artisan permits circulating through the transit camps of Meskene, Sebil, and Aleppo were not gestures of humanitarian mercy or inclusion; they were administrative instruments of selection. Through this permit system, the Ottoman state systematically sorted the surviving remnant of the Armenian population by its remaining extractable value. The state discarded those from whom nothing further could be taken, allowing the elderly, the sick, and the very young to perish in the desert, while conscripting those whose technical skills could be actively utilized to reduce the costs of social reproduction and military provisioning for the state. Armenian weavers who had once operated within the commercial networks of Bardizag were now forced to stitch Ottoman military uniforms to clothe the soldiers administering their dispossession. The unfree, uncompensated labor of these widows and artisans became the hidden precondition for the survival and relative freedom of the favored populations within the wartime national order. Survival under Cemal Pasha’s system required complete submission to the machinery of one’s own dispossession: a survivor’s life was preserved only as long as their body could be converted into unfree military capital.</w:t>
      </w:r>
    </w:p>
    <w:p>
      <w:pPr>
        <w:pStyle w:val="Heading2"/>
        <w:spacing w:lineRule="auto" w:line="480" w:before="0" w:after="0"/>
        <w:ind w:firstLine="720"/>
        <w:rPr>
          <w:rFonts w:ascii="Times New Roman" w:hAnsi="Times New Roman" w:asciiTheme="majorBidi" w:hAnsiTheme="majorBidi"/>
          <w:b/>
          <w:bCs/>
          <w:i/>
          <w:i/>
          <w:iCs/>
          <w:color w:themeColor="text1" w:val="000000"/>
          <w:sz w:val="24"/>
          <w:szCs w:val="24"/>
        </w:rPr>
      </w:pPr>
      <w:r>
        <w:rPr/>
      </w:r>
    </w:p>
    <w:p>
      <w:pPr>
        <w:pStyle w:val="Heading2"/>
        <w:spacing w:lineRule="auto" w:line="480" w:before="0" w:after="0"/>
        <w:ind w:hanging="0"/>
        <w:rPr/>
      </w:pPr>
      <w:r>
        <w:rPr>
          <w:rFonts w:ascii="Times New Roman" w:hAnsi="Times New Roman" w:asciiTheme="majorBidi" w:hAnsiTheme="majorBidi"/>
          <w:b/>
          <w:bCs/>
          <w:i/>
          <w:iCs/>
          <w:color w:themeColor="text1" w:val="000000"/>
          <w:sz w:val="24"/>
          <w:szCs w:val="24"/>
        </w:rPr>
        <w:t>Manipulating the categories of selection</w:t>
      </w:r>
    </w:p>
    <w:p>
      <w:pPr>
        <w:pStyle w:val="Normal"/>
        <w:spacing w:lineRule="auto" w:line="480" w:before="0" w:after="0"/>
        <w:ind w:firstLine="720"/>
        <w:jc w:val="both"/>
        <w:rPr/>
      </w:pPr>
      <w:r>
        <w:rPr>
          <w:rFonts w:cs="Times New Roman" w:cstheme="majorBidi"/>
          <w:color w:themeColor="text1" w:val="000000"/>
          <w:sz w:val="24"/>
          <w:szCs w:val="24"/>
        </w:rPr>
        <w:t>Confronted with this biopolitical labor regime, where the lack of an artisan permit meant certain death, Armenian survivors engaged in sophisticated tactics of deception, mimicry, and collective solidarity to subvert the state’s categorization. Because the permit system established a rigid boundary between the “useful” artisan and the “disposable” deportee, survivors actively sought to blur these categories through bribery, forgery, and mutual aid. This resistance evidence matters because, left out, the chapter would risk making Armenians appear only as objects of state power; even within a highly coercive system, survivors actively manipulated the bureaucratic categories through which the state attempted to control them.</w:t>
      </w:r>
    </w:p>
    <w:p>
      <w:pPr>
        <w:pStyle w:val="Normal"/>
        <w:spacing w:lineRule="auto" w:line="480" w:before="0" w:after="0"/>
        <w:ind w:firstLine="720"/>
        <w:jc w:val="both"/>
        <w:rPr/>
      </w:pPr>
      <w:r>
        <w:rPr>
          <w:rFonts w:cs="Times New Roman" w:cstheme="majorBidi"/>
          <w:color w:themeColor="text1" w:val="000000"/>
          <w:sz w:val="24"/>
          <w:szCs w:val="24"/>
        </w:rPr>
        <w:t>When Yervant Odian asked the Bardizag man in the Sebil camp whether all the families granted transfers to Damascus were truly skilled artisans, the man admitted frankly that many had secured their exemptions “by bribery or deception.” Inside the crowded tents of Sebil, a remarkable scene unfolded: actual weavers and tailors from Bardizag spent their nights patiently teaching untrained neighbors, friends, and fellow deportees how to sew, stitch, and hold needles. Guided by their wives and skilled companions, these “artisans-in-making” hastily rehearsed the technical gestures of tailoring under the dim light of oil lamps, preparing to perform their newly claimed identities before the inspecting Ottoman officers the following morning. These fragile efforts at improvisation were profound acts of resistance, subverting the state’s attempts to measure and exploit only pre-existing human capacity.</w:t>
      </w:r>
    </w:p>
    <w:p>
      <w:pPr>
        <w:pStyle w:val="Normal"/>
        <w:spacing w:lineRule="auto" w:line="480" w:before="0" w:after="0"/>
        <w:ind w:firstLine="720"/>
        <w:jc w:val="both"/>
        <w:rPr/>
      </w:pPr>
      <w:r>
        <w:rPr>
          <w:rFonts w:cs="Times New Roman" w:cstheme="majorBidi"/>
          <w:color w:themeColor="text1" w:val="000000"/>
          <w:sz w:val="24"/>
          <w:szCs w:val="24"/>
        </w:rPr>
        <w:t xml:space="preserve">Furthermore, a shadow market in identity documents and permits emerged within the camps. Because the state kept no centralized, biometric records of the shifting mass of deportees, permits and identity cards became highly valuable, liquid assets that could be detached from their original owners. The Bardizag men eventually helped Odian’s group purchase two artisan permits belonging to deceased deportees for one Turkish lira each. Later, Odian himself acquired a </w:t>
      </w:r>
      <w:r>
        <w:rPr>
          <w:rFonts w:cs="Times New Roman" w:cstheme="majorBidi"/>
          <w:i/>
          <w:iCs/>
          <w:color w:themeColor="text1" w:val="000000"/>
          <w:sz w:val="24"/>
          <w:szCs w:val="24"/>
        </w:rPr>
        <w:t>nüfus tezkiresi</w:t>
      </w:r>
      <w:r>
        <w:rPr>
          <w:rFonts w:cs="Times New Roman" w:cstheme="majorBidi"/>
          <w:color w:themeColor="text1" w:val="000000"/>
          <w:sz w:val="24"/>
          <w:szCs w:val="24"/>
        </w:rPr>
        <w:t>, an official Ottoman identity card belonging to a recently deceased Armenian from Bardizag, paying half a lira to a camp intermediary. This document identified the cosmopolitan Constantinople journalist as “Asadour from Bardizag,” a fifty-two-year-old builder, married with two children. Though entirely false, this paper provided Odian with the protective social legibility of a “useful” builder from the Marmara, shielding him from the immediate threat of deportation. This counter-market in papers reveals a striking paradox: while the Ottoman state mobilized its bureaucratic resources to register, classify, and dispossess the Armenian population, survivors co-opted these very same bureaucratic instruments, turning the names and papers of the dead into protective shields for the living.</w:t>
      </w:r>
    </w:p>
    <w:p>
      <w:pPr>
        <w:pStyle w:val="Heading2"/>
        <w:spacing w:lineRule="auto" w:line="480" w:before="0" w:after="0"/>
        <w:ind w:firstLine="720"/>
        <w:rPr>
          <w:rFonts w:ascii="Times New Roman" w:hAnsi="Times New Roman" w:asciiTheme="majorBidi" w:hAnsiTheme="majorBidi"/>
          <w:b/>
          <w:bCs/>
          <w:i/>
          <w:i/>
          <w:iCs/>
          <w:color w:themeColor="text1" w:val="000000"/>
          <w:sz w:val="24"/>
          <w:szCs w:val="24"/>
        </w:rPr>
      </w:pPr>
      <w:r>
        <w:rPr/>
      </w:r>
    </w:p>
    <w:p>
      <w:pPr>
        <w:pStyle w:val="Heading2"/>
        <w:spacing w:lineRule="auto" w:line="480" w:before="0" w:after="0"/>
        <w:ind w:hanging="0"/>
        <w:rPr/>
      </w:pPr>
      <w:r>
        <w:rPr>
          <w:rFonts w:ascii="Times New Roman" w:hAnsi="Times New Roman" w:asciiTheme="majorBidi" w:hAnsiTheme="majorBidi"/>
          <w:b/>
          <w:bCs/>
          <w:i/>
          <w:iCs/>
          <w:color w:themeColor="text1" w:val="000000"/>
          <w:sz w:val="24"/>
          <w:szCs w:val="24"/>
        </w:rPr>
        <w:t>The contradiction of Cemal Pasha</w:t>
      </w:r>
    </w:p>
    <w:p>
      <w:pPr>
        <w:pStyle w:val="Normal"/>
        <w:spacing w:lineRule="auto" w:line="480" w:before="0" w:after="0"/>
        <w:ind w:firstLine="720"/>
        <w:jc w:val="both"/>
        <w:rPr/>
      </w:pPr>
      <w:r>
        <w:rPr>
          <w:rFonts w:cs="Times New Roman" w:cstheme="majorBidi"/>
          <w:color w:themeColor="text1" w:val="000000"/>
          <w:sz w:val="24"/>
          <w:szCs w:val="24"/>
        </w:rPr>
        <w:t>At the center of this extractive system stood the contradictory figure of Cemal Pasha, whose wartime policies in Syria have frequently been cited by apologists to project an image of moral authority and humanitarian exceptionalism. Publicly, Cemal Pasha declared that the Ottoman military authorities bore full responsibility for the “life, honor, and well-being” of all Armenians under their jurisdiction. He went so far as to order the public execution of a gendarmerie officer accused of mistreating Armenian refugees, a performance designed to signal his commitment to justice and distance himself from the overt violence of Talat and Enver in Istanbul.</w:t>
      </w:r>
    </w:p>
    <w:p>
      <w:pPr>
        <w:pStyle w:val="Normal"/>
        <w:spacing w:lineRule="auto" w:line="480" w:before="0" w:after="0"/>
        <w:ind w:firstLine="720"/>
        <w:jc w:val="both"/>
        <w:rPr/>
      </w:pPr>
      <w:r>
        <w:rPr>
          <w:rFonts w:cs="Times New Roman" w:cstheme="majorBidi"/>
          <w:color w:themeColor="text1" w:val="000000"/>
          <w:sz w:val="24"/>
          <w:szCs w:val="24"/>
        </w:rPr>
        <w:t>However, analyzing his policies through the lens of political economy reveals that this “protection” was deeply embedded within the broader machinery of genocidal displacement and control. The six army-run factories in Aleppo and the workshops of Damascus were not acts of altruism; they were highly organized, state-administered sweatshops designed to exploit a captive, desperate, and completely dispossessed population. By providing a minimal, sub-subsistence ration of a single loaf of bread and a bowl of soup, Cemal Pasha managed to keep a workforce of over ten thousand women and children alive while extracting their labor at zero wage cost to the Ottoman state. This was not a departure from the logic of primitive accumulation established in Bardizag but its ultimate institutionalization. The Fourth Army systematically capitalized on the destruction of Armenian independent economic life, converting the survival instinct of the “productive remnant” into a highly efficient military-industrial asset. As Nancy Fraser argues, the relative security of those within the recognized political community is materially underwritten by the violent, uncompensated confiscation of the racialized, excluded subject. In Cemal Pasha’s Syria, this relationship was laid bare: the survival of the Ottoman military apparatus on the southern front was stitched together by the unfree, uncompensated labor of Armenian widows and children, whose independent social reproduction had first been thoroughly annihilated by the state.</w:t>
      </w:r>
    </w:p>
    <w:p>
      <w:pPr>
        <w:pStyle w:val="Normal"/>
        <w:spacing w:lineRule="auto" w:line="480" w:before="0" w:after="0"/>
        <w:ind w:firstLine="720"/>
        <w:jc w:val="both"/>
        <w:rPr>
          <w:rFonts w:ascii="Times New Roman" w:hAnsi="Times New Roman" w:cs="Times New Roman" w:asciiTheme="majorBidi" w:cstheme="majorBidi" w:hAnsiTheme="majorBidi"/>
          <w:color w:themeColor="text1" w:val="000000"/>
          <w:sz w:val="24"/>
          <w:szCs w:val="24"/>
        </w:rPr>
      </w:pPr>
      <w:r>
        <w:rPr>
          <w:rFonts w:cs="Times New Roman" w:cstheme="majorBidi"/>
          <w:color w:themeColor="text1" w:val="000000"/>
          <w:sz w:val="24"/>
          <w:szCs w:val="24"/>
        </w:rPr>
      </w:r>
    </w:p>
    <w:p>
      <w:pPr>
        <w:pStyle w:val="Heading1"/>
        <w:spacing w:lineRule="auto" w:line="480" w:before="0" w:after="0"/>
        <w:ind w:hanging="0"/>
        <w:rPr/>
      </w:pPr>
      <w:r>
        <w:rPr>
          <w:rFonts w:cs="Times New Roman" w:cstheme="majorBidi"/>
          <w:color w:themeColor="text1" w:val="000000"/>
        </w:rPr>
        <w:t>VI. Afterlives of Expropriation</w:t>
      </w:r>
    </w:p>
    <w:p>
      <w:pPr>
        <w:pStyle w:val="Normal"/>
        <w:spacing w:lineRule="auto" w:line="480" w:before="0" w:after="0"/>
        <w:ind w:firstLine="720"/>
        <w:jc w:val="both"/>
        <w:rPr/>
      </w:pPr>
      <w:r>
        <w:rPr>
          <w:rFonts w:cs="Times New Roman" w:cstheme="majorBidi"/>
          <w:color w:themeColor="text1" w:val="000000"/>
          <w:sz w:val="24"/>
          <w:szCs w:val="24"/>
        </w:rPr>
        <w:t>Expropriation in Bardizag did not end with deportation, and it did not end with the war. It persisted in the social destruction wrought by unresolved disappearance, in the postwar institutions that attempted, imperfectly, to reverse that destruction, and in the political and material continuities that carried individual perpetrators and confiscated property forward into the Turkish Republic.</w:t>
      </w:r>
    </w:p>
    <w:p>
      <w:pPr>
        <w:pStyle w:val="Normal"/>
        <w:spacing w:lineRule="auto" w:line="480" w:before="0" w:after="0"/>
        <w:ind w:firstLine="720"/>
        <w:jc w:val="both"/>
        <w:rPr/>
      </w:pPr>
      <w:r>
        <w:rPr>
          <w:rFonts w:cs="Times New Roman" w:cstheme="majorBidi"/>
          <w:color w:themeColor="text1" w:val="000000"/>
          <w:sz w:val="24"/>
          <w:szCs w:val="24"/>
        </w:rPr>
        <w:t>Disappearance, as a category of violence, is not merely incidental to genocide; it constitutes a deliberate tactic designed to terrorize communities, eliminate leadership, and obstruct the possibility of mourning and justice. It describes how state apparatuses or irregular units, often at the state’s encouragement, cause individuals to vanish; whether in official state spaces such as police stations and detention centers, or in remote locations beyond public visibility, such as deep forests or desolate interior regions; such that their fate remains denied and unacknowledged. When carried out with genocidal intent, disappearance becomes a constitutive act of genocide itself, and Bardizag demonstrates this at every stage, from the arrest of communal leaders in Section II to the fate of families deported into Syria in Section V.</w:t>
      </w:r>
    </w:p>
    <w:p>
      <w:pPr>
        <w:pStyle w:val="Normal"/>
        <w:spacing w:lineRule="auto" w:line="480" w:before="0" w:after="0"/>
        <w:ind w:firstLine="720"/>
        <w:jc w:val="both"/>
        <w:rPr/>
      </w:pPr>
      <w:r>
        <w:rPr>
          <w:rFonts w:cs="Times New Roman" w:cstheme="majorBidi"/>
          <w:color w:themeColor="text1" w:val="000000"/>
          <w:sz w:val="24"/>
          <w:szCs w:val="24"/>
        </w:rPr>
        <w:t xml:space="preserve">This process continued long after the deportations themselves. Following the First World War and the collapse of the CUP regime, survivors scattered across the globe struggled to establish the fate of relatives who had disappeared during the genocide. Armenian-language newspapers such as </w:t>
      </w:r>
      <w:r>
        <w:rPr>
          <w:rFonts w:cs="Times New Roman" w:cstheme="majorBidi"/>
          <w:i/>
          <w:iCs/>
          <w:color w:themeColor="text1" w:val="000000"/>
          <w:sz w:val="24"/>
          <w:szCs w:val="24"/>
        </w:rPr>
        <w:t xml:space="preserve">Hairenik </w:t>
      </w:r>
      <w:r>
        <w:rPr>
          <w:rFonts w:cs="Times New Roman" w:cstheme="majorBidi"/>
          <w:color w:themeColor="text1" w:val="000000"/>
          <w:sz w:val="24"/>
          <w:szCs w:val="24"/>
        </w:rPr>
        <w:t xml:space="preserve">became important spaces for these searches. The notices published there reveal the afterlife of disappearance: violence persisted through missing information, fragmented families, and the absence of graves or definitive accounts of death. Nicholas Petoyan’s 1919 notice provides a particularly revealing example. A native of Bardizag and graduate of its American missionary high school, Petoyan had moved to Constantinople before being conscripted into the Ottoman army. During the August 1915 deportations, he witnessed the destruction of his community. Four years later, he placed a notice in Hairenik seeking information about his father Sarkis, mother Yerani, sister Araksi, and relative Yervant. </w:t>
      </w:r>
      <w:r>
        <w:rPr>
          <w:rStyle w:val="FootnoteReference"/>
          <w:rFonts w:cs="Times New Roman" w:cstheme="majorBidi"/>
          <w:color w:themeColor="text1" w:val="000000"/>
          <w:sz w:val="24"/>
          <w:szCs w:val="24"/>
        </w:rPr>
        <w:footnoteReference w:id="35"/>
      </w:r>
    </w:p>
    <w:p>
      <w:pPr>
        <w:pStyle w:val="Normal"/>
        <w:spacing w:lineRule="auto" w:line="480" w:before="0" w:after="0"/>
        <w:ind w:firstLine="720"/>
        <w:jc w:val="center"/>
        <w:rPr/>
      </w:pPr>
      <w:r>
        <w:rPr/>
        <w:drawing>
          <wp:inline distT="0" distB="0" distL="0" distR="0">
            <wp:extent cx="3937635" cy="2074545"/>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3937635" cy="2074545"/>
                    </a:xfrm>
                    <a:prstGeom prst="rect">
                      <a:avLst/>
                    </a:prstGeom>
                  </pic:spPr>
                </pic:pic>
              </a:graphicData>
            </a:graphic>
          </wp:inline>
        </w:drawing>
      </w:r>
    </w:p>
    <w:p>
      <w:pPr>
        <w:pStyle w:val="Normal"/>
        <w:spacing w:lineRule="auto" w:line="480" w:before="0" w:after="0"/>
        <w:ind w:firstLine="720"/>
        <w:jc w:val="both"/>
        <w:rPr>
          <w:rFonts w:ascii="Times New Roman" w:hAnsi="Times New Roman" w:cs="Times New Roman" w:asciiTheme="majorBidi" w:cstheme="majorBidi" w:hAnsiTheme="majorBidi"/>
          <w:color w:themeColor="text1" w:val="000000"/>
          <w:sz w:val="24"/>
          <w:szCs w:val="24"/>
        </w:rPr>
      </w:pPr>
      <w:r>
        <w:rPr>
          <w:rFonts w:cs="Times New Roman" w:cstheme="majorBidi"/>
          <w:color w:themeColor="text1" w:val="000000"/>
          <w:sz w:val="24"/>
          <w:szCs w:val="24"/>
        </w:rPr>
      </w:r>
    </w:p>
    <w:p>
      <w:pPr>
        <w:pStyle w:val="Normal"/>
        <w:spacing w:lineRule="auto" w:line="480" w:before="0" w:after="0"/>
        <w:ind w:firstLine="720"/>
        <w:jc w:val="both"/>
        <w:rPr/>
      </w:pPr>
      <w:r>
        <w:rPr>
          <w:rFonts w:cs="Times New Roman" w:cstheme="majorBidi"/>
          <w:color w:themeColor="text1" w:val="000000"/>
          <w:sz w:val="24"/>
          <w:szCs w:val="24"/>
        </w:rPr>
        <w:t>By publicly naming his relatives and identifying them with Bardizag, Petoyan was attempting to reconstruct a social world that deportation had violently dispersed. His search illustrates how disappearance outlasted physical violence: the problem was not simply that his relatives had been killed, but that their deaths had been rendered uncertain and inaccessible. The search notice became an attempt to produce knowledge where the state had produced silence. Petoyan’s later testimony established that his family, including his sister Mary, had been killed during the deportation, but this later certainty could not erase the years of uncertainty that preceded it.</w:t>
      </w:r>
      <w:r>
        <w:rPr>
          <w:rStyle w:val="FootnoteReference"/>
          <w:rFonts w:cs="Times New Roman" w:cstheme="majorBidi"/>
          <w:color w:themeColor="text1" w:val="000000"/>
          <w:sz w:val="24"/>
          <w:szCs w:val="24"/>
        </w:rPr>
        <w:footnoteReference w:id="36"/>
      </w:r>
    </w:p>
    <w:p>
      <w:pPr>
        <w:pStyle w:val="Normal"/>
        <w:spacing w:lineRule="auto" w:line="480" w:before="0" w:after="0"/>
        <w:ind w:firstLine="720"/>
        <w:jc w:val="both"/>
        <w:rPr/>
      </w:pPr>
      <w:r>
        <w:rPr>
          <w:rFonts w:cs="Times New Roman" w:cstheme="majorBidi"/>
          <w:color w:themeColor="text1" w:val="000000"/>
          <w:sz w:val="24"/>
          <w:szCs w:val="24"/>
        </w:rPr>
        <w:t>Bardizag therefore demonstrates disappearance as a process extending from the destruction of communal leadership to the fragmentation of families and the postwar struggle to recover their histories. By removing leaders, dispersing populations, and withholding information about the dead, the state attacked not only the physical survival of the community but also the relationships and forms of knowledge through which it organized, mourned, and remembered itself. Disappearance destroyed not only individuals but the social networks through which Armenian society reproduced memory, authority, kinship, and claims to property.</w:t>
      </w:r>
    </w:p>
    <w:p>
      <w:pPr>
        <w:pStyle w:val="Normal"/>
        <w:spacing w:lineRule="auto" w:line="480" w:before="0" w:after="0"/>
        <w:ind w:firstLine="720"/>
        <w:jc w:val="both"/>
        <w:rPr/>
      </w:pPr>
      <w:r>
        <w:rPr>
          <w:rFonts w:cs="Times New Roman" w:cstheme="majorBidi"/>
          <w:color w:themeColor="text1" w:val="000000"/>
          <w:sz w:val="24"/>
          <w:szCs w:val="24"/>
        </w:rPr>
        <w:t>Karen Jeppe’s Reception Home, discussed at length in Section IV, was one institutional response to exactly this problem. The contrast between the two processes is analytically striking: genocidal administration made Armenians disappear from the record, while humanitarian documentation worked to make survivors legible again. That contrast should not be mistaken for a claim that humanitarian archives simply restored the truth. As Section IV emphasized, the record Jeppe’s institution produced was shaped by the categories and purposes of rescue, identification, and reunification, and testimony collected there was simultaneously personal narrative and administrative instrument. But the underlying contrast; disappearance engineered by the state, legibility reconstructed by a private relief effort, remains one of the clearest afterlives of the expropriation this chapter traces.</w:t>
      </w:r>
    </w:p>
    <w:p>
      <w:pPr>
        <w:pStyle w:val="Normal"/>
        <w:spacing w:lineRule="auto" w:line="480" w:before="0" w:after="0"/>
        <w:ind w:firstLine="720"/>
        <w:jc w:val="both"/>
        <w:rPr>
          <w:rFonts w:ascii="Times New Roman" w:hAnsi="Times New Roman" w:cs="Times New Roman" w:asciiTheme="majorBidi" w:cstheme="majorBidi" w:hAnsiTheme="majorBidi"/>
          <w:b/>
          <w:bCs/>
          <w:color w:themeColor="text1" w:val="000000"/>
          <w:sz w:val="24"/>
          <w:szCs w:val="24"/>
        </w:rPr>
      </w:pPr>
      <w:r>
        <w:rPr/>
      </w:r>
    </w:p>
    <w:p>
      <w:pPr>
        <w:pStyle w:val="Normal"/>
        <w:spacing w:lineRule="auto" w:line="480" w:before="0" w:after="0"/>
        <w:ind w:hanging="0"/>
        <w:jc w:val="both"/>
        <w:rPr/>
      </w:pPr>
      <w:r>
        <w:rPr>
          <w:rFonts w:cs="Times New Roman" w:cstheme="majorBidi"/>
          <w:b/>
          <w:bCs/>
          <w:color w:themeColor="text1" w:val="000000"/>
          <w:sz w:val="24"/>
          <w:szCs w:val="24"/>
        </w:rPr>
        <w:t>Conclusion</w:t>
      </w:r>
    </w:p>
    <w:p>
      <w:pPr>
        <w:pStyle w:val="Normal"/>
        <w:spacing w:lineRule="auto" w:line="480" w:before="0" w:after="0"/>
        <w:ind w:firstLine="720"/>
        <w:jc w:val="both"/>
        <w:rPr/>
      </w:pPr>
      <w:r>
        <w:rPr>
          <w:rFonts w:cs="Times New Roman" w:cstheme="majorBidi"/>
          <w:bCs/>
          <w:sz w:val="24"/>
          <w:szCs w:val="24"/>
        </w:rPr>
        <w:t xml:space="preserve">The microhistory of Bardizag demonstrates that the Armenian Genocide was not solely a project of physical annihilation, but also a coordinated process of violent economic reorganization and capital transfer. </w:t>
      </w:r>
      <w:r>
        <w:rPr>
          <w:rFonts w:cs="Times New Roman" w:cstheme="majorBidi"/>
          <w:color w:val="000000"/>
          <w:sz w:val="24"/>
          <w:szCs w:val="24"/>
          <w:shd w:fill="FFFFFF" w:val="clear"/>
        </w:rPr>
        <w:t>By tracing the trajectory of this prosperous Marmara community, this chapter has proposed a critical revision of the standard formulation of the</w:t>
      </w:r>
      <w:r>
        <w:rPr>
          <w:rStyle w:val="gmail-apple-converted-space"/>
          <w:rFonts w:cs="Times New Roman" w:cstheme="majorBidi"/>
          <w:color w:val="000000"/>
          <w:sz w:val="24"/>
          <w:szCs w:val="24"/>
        </w:rPr>
        <w:t> </w:t>
      </w:r>
      <w:r>
        <w:rPr>
          <w:rStyle w:val="Strong"/>
          <w:rFonts w:cs="Times New Roman" w:cstheme="majorBidi"/>
          <w:b w:val="false"/>
          <w:bCs w:val="false"/>
          <w:color w:val="000000"/>
          <w:sz w:val="24"/>
          <w:szCs w:val="24"/>
        </w:rPr>
        <w:t>colonial boomerang</w:t>
      </w:r>
      <w:r>
        <w:rPr>
          <w:rFonts w:cs="Times New Roman" w:cstheme="majorBidi"/>
          <w:color w:val="000000"/>
          <w:sz w:val="24"/>
          <w:szCs w:val="24"/>
          <w:shd w:fill="FFFFFF" w:val="clear"/>
        </w:rPr>
        <w:t xml:space="preserve">. Rather than conceptualizing imperial violence as a force that merely travels from a distant geographical frontier back to the metropole, the Ottoman case reveals a more insidious domestic trajectory: the state actively turned frontier-style techniques of demographic engineering, irregular warfare, and selective dispossession inward, rendering a higly integrated and proximate population peripheral within the very heartland of the empire. Through the “three moments” of this boomerang forged on frontiers, carried by specialized perpetrators such as Ibrahim Bey, and applied to the interior region of the Marmara ; the Ottoman state and local forces gradually dismantled the defensive, social, political, and economic infrastructures of Armenian life, clearing the ground for mass plunder. </w:t>
      </w:r>
    </w:p>
    <w:p>
      <w:pPr>
        <w:pStyle w:val="Normal"/>
        <w:spacing w:lineRule="auto" w:line="480" w:before="0" w:after="0"/>
        <w:ind w:firstLine="720"/>
        <w:jc w:val="both"/>
        <w:rPr/>
      </w:pPr>
      <w:r>
        <w:rPr>
          <w:rFonts w:cs="Times New Roman" w:cstheme="majorBidi"/>
          <w:color w:val="000000"/>
          <w:sz w:val="24"/>
          <w:szCs w:val="24"/>
          <w:shd w:fill="FFFFFF" w:val="clear"/>
        </w:rPr>
        <w:t xml:space="preserve">By analyzing this destruction through the lens of primitive accumulation, in this chapter, I argued that the extermination of the Armenians and confiscation of their material world including the expropriation of bodies and labor force, were structurally inseparable. The systematic confiscation of Armenian lands, vineyards, homes, and wealth was not an incidental byproduct of wartime panic, but a foundational, state-led intervention designed to underwrite the emerging Turkish national economy and consolidate a loyal national bourgeoise. In the streets of Bardizag, this process materialized first through “staged disarmament” and administrative extortion which rendered the community entirely defenseless, and culminated in a “coerced marketplace” in which Ottoman state official and neighboring populations liquidated Armenian assets under conditions of extreme duress. </w:t>
      </w:r>
      <w:r>
        <w:rPr>
          <w:rFonts w:cs="Times New Roman" w:cstheme="majorBidi"/>
          <w:bCs/>
        </w:rPr>
        <w:t xml:space="preserve">Crucially, this primitive accumulation was not limited to land and property; it extended directly to human capacities, bodies, and labor. The political economy of the genocide relied on heavily segmented and gendered logic of extraction. For the male “productive remnant,” survival was conditioned on unfree, conscripted labor- first in grueling auxiliary labor battalions and later as captive artisans stitching military uniforms in Cemal Pasha’s factories in Aleppo and Damascus. </w:t>
      </w:r>
    </w:p>
    <w:p>
      <w:pPr>
        <w:pStyle w:val="BodyText"/>
        <w:spacing w:lineRule="auto" w:line="480" w:before="0" w:after="0"/>
        <w:ind w:firstLine="720" w:right="69"/>
        <w:jc w:val="both"/>
        <w:rPr/>
      </w:pPr>
      <w:r>
        <w:rPr>
          <w:rFonts w:cs="Times New Roman" w:cstheme="majorBidi"/>
        </w:rPr>
        <w:t>The case of Bardizag thus illustrates in concrete terms how violence, legality, and economy converged to produce both material profit and political legitimacy. These dynamic challenges conventional</w:t>
      </w:r>
      <w:r>
        <w:rPr>
          <w:rFonts w:cs="Times New Roman" w:cstheme="majorBidi"/>
          <w:spacing w:val="-4"/>
        </w:rPr>
        <w:t xml:space="preserve"> </w:t>
      </w:r>
      <w:r>
        <w:rPr>
          <w:rFonts w:cs="Times New Roman" w:cstheme="majorBidi"/>
        </w:rPr>
        <w:t>distinctions</w:t>
      </w:r>
      <w:r>
        <w:rPr>
          <w:rFonts w:cs="Times New Roman" w:cstheme="majorBidi"/>
          <w:spacing w:val="-4"/>
        </w:rPr>
        <w:t xml:space="preserve"> </w:t>
      </w:r>
      <w:r>
        <w:rPr>
          <w:rFonts w:cs="Times New Roman" w:cstheme="majorBidi"/>
        </w:rPr>
        <w:t>between</w:t>
      </w:r>
      <w:r>
        <w:rPr>
          <w:rFonts w:cs="Times New Roman" w:cstheme="majorBidi"/>
          <w:spacing w:val="-4"/>
        </w:rPr>
        <w:t xml:space="preserve"> </w:t>
      </w:r>
      <w:r>
        <w:rPr>
          <w:rFonts w:cs="Times New Roman" w:cstheme="majorBidi"/>
        </w:rPr>
        <w:t>destruction</w:t>
      </w:r>
      <w:r>
        <w:rPr>
          <w:rFonts w:cs="Times New Roman" w:cstheme="majorBidi"/>
          <w:spacing w:val="-4"/>
        </w:rPr>
        <w:t xml:space="preserve"> </w:t>
      </w:r>
      <w:r>
        <w:rPr>
          <w:rFonts w:cs="Times New Roman" w:cstheme="majorBidi"/>
        </w:rPr>
        <w:t>and</w:t>
      </w:r>
      <w:r>
        <w:rPr>
          <w:rFonts w:cs="Times New Roman" w:cstheme="majorBidi"/>
          <w:spacing w:val="-4"/>
        </w:rPr>
        <w:t xml:space="preserve"> </w:t>
      </w:r>
      <w:r>
        <w:rPr>
          <w:rFonts w:cs="Times New Roman" w:cstheme="majorBidi"/>
        </w:rPr>
        <w:t>production,</w:t>
      </w:r>
      <w:r>
        <w:rPr>
          <w:rFonts w:cs="Times New Roman" w:cstheme="majorBidi"/>
          <w:spacing w:val="-4"/>
        </w:rPr>
        <w:t xml:space="preserve"> </w:t>
      </w:r>
      <w:r>
        <w:rPr>
          <w:rFonts w:cs="Times New Roman" w:cstheme="majorBidi"/>
        </w:rPr>
        <w:t>showing</w:t>
      </w:r>
      <w:r>
        <w:rPr>
          <w:rFonts w:cs="Times New Roman" w:cstheme="majorBidi"/>
          <w:spacing w:val="-4"/>
        </w:rPr>
        <w:t xml:space="preserve"> </w:t>
      </w:r>
      <w:r>
        <w:rPr>
          <w:rFonts w:cs="Times New Roman" w:cstheme="majorBidi"/>
        </w:rPr>
        <w:t>that</w:t>
      </w:r>
      <w:r>
        <w:rPr>
          <w:rFonts w:cs="Times New Roman" w:cstheme="majorBidi"/>
          <w:spacing w:val="-4"/>
        </w:rPr>
        <w:t xml:space="preserve"> </w:t>
      </w:r>
      <w:r>
        <w:rPr>
          <w:rFonts w:cs="Times New Roman" w:cstheme="majorBidi"/>
        </w:rPr>
        <w:t>the</w:t>
      </w:r>
      <w:r>
        <w:rPr>
          <w:rFonts w:cs="Times New Roman" w:cstheme="majorBidi"/>
          <w:spacing w:val="-5"/>
        </w:rPr>
        <w:t xml:space="preserve"> </w:t>
      </w:r>
      <w:r>
        <w:rPr>
          <w:rFonts w:cs="Times New Roman" w:cstheme="majorBidi"/>
        </w:rPr>
        <w:t>annihilation</w:t>
      </w:r>
      <w:r>
        <w:rPr>
          <w:rFonts w:cs="Times New Roman" w:cstheme="majorBidi"/>
          <w:spacing w:val="-4"/>
        </w:rPr>
        <w:t xml:space="preserve"> </w:t>
      </w:r>
      <w:r>
        <w:rPr>
          <w:rFonts w:cs="Times New Roman" w:cstheme="majorBidi"/>
        </w:rPr>
        <w:t>of</w:t>
      </w:r>
      <w:r>
        <w:rPr>
          <w:rFonts w:cs="Times New Roman" w:cstheme="majorBidi"/>
          <w:spacing w:val="-4"/>
        </w:rPr>
        <w:t xml:space="preserve"> </w:t>
      </w:r>
      <w:r>
        <w:rPr>
          <w:rFonts w:cs="Times New Roman" w:cstheme="majorBidi"/>
        </w:rPr>
        <w:t xml:space="preserve">a people was inseparable from the creation of a new social order. The interplay between violence and labor is crucial to understanding this period. The very process of mass deportation, through dispossession, starvation, and terror, transformed Armenians into a source of cheap and compliant labor. Violence functioned not only as an instrument of destruction but also as a mechanism of control, stripping individuals of property, mobility, and bargaining power. Under Cemal Pasha’s administration in Syria, this violence was rechanneled into a system of coerced productivity: artisans, workers, and even widows were rendered dependent on military, provisioning and subject to the state’s authority through labor. </w:t>
      </w:r>
      <w:r>
        <w:rPr>
          <w:rFonts w:cs="Times New Roman" w:cstheme="majorBidi"/>
          <w:color w:val="000000"/>
        </w:rPr>
        <w:t xml:space="preserve">In this sense, the factories and road projects that Cemal oversaw in Aleppo and Damascus were exploitative spaces where survival was possible only through submission to a regime that had first annihilated the means of independent existence. The colonial boomerang provided the operational machinery for the systemic expropriation of gendered labor by turning the techniques of frontier counterinsurgency inward against the Armenian heartland. The state-sponsored breakdown of community defense created the specific vulnerability required for what the chapter identifies as “recursive expropriation,” exemplified by the experience of Arshalous, who was repeatedly seized and resold as a confiscated resource across multiple households. The colonial logic of treating subjects as “spoils of war” was thus institutionalized within the domestic sphere through the concept of “hollow freedom” where juridical forms like marriage were repurposed as instruments of possession to absorb Armenian labor into Muslim-Turkish household. Ultimately, the boomerang did not eliminate populations; it converted the expropriated bodies and “unwaged service” of women into the “hidden precondition” for the relative freedom and social reproduction of the favored populations within the emerging national economy. Through “recursive expropriation” women were repeatedly seized and sold across households, their bodies and labors treated as “spoils of war”. </w:t>
      </w:r>
      <w:r>
        <w:rPr>
          <w:rFonts w:cs="Times New Roman" w:cstheme="majorBidi"/>
        </w:rPr>
        <w:t xml:space="preserve">The sources from Bardizag remind us that expropriation was not confined to property alone; it extended to bodies, in, and the very capacity to sustain life. Attending these intertwined histories of gender, labor, and dispossession allows us to grasp how capitalism, nationalism, and state violence operated together to reshape both space and society in the early twentieth century. </w:t>
      </w:r>
    </w:p>
    <w:sectPr>
      <w:footerReference w:type="even" r:id="rId4"/>
      <w:footerReference w:type="default" r:id="rId5"/>
      <w:footerReference w:type="first" r:id="rId6"/>
      <w:footnotePr>
        <w:numFmt w:val="decimal"/>
      </w:footnotePr>
      <w:type w:val="nextPage"/>
      <w:pgSz w:w="12240" w:h="15840"/>
      <w:pgMar w:left="1440" w:right="1440" w:gutter="0" w:header="0" w:top="1440" w:footer="1440" w:bottom="1497"/>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9-12T12:56:21Z" w:initials="">
    <w:p>
      <w:pPr>
        <w:overflowPunct w:val="false"/>
        <w:rPr/>
      </w:pPr>
      <w:r>
        <w:rPr>
          <w:rFonts w:ascii="Liberation Serif" w:hAnsi="Liberation Serif" w:eastAsia="DejaVu Sans" w:cs="Noto Sans Arabic"/>
          <w:sz w:val="24"/>
          <w:szCs w:val="24"/>
          <w:lang w:val="en-US" w:eastAsia="en-US" w:bidi="en-US"/>
        </w:rPr>
        <w:t>Internal periphery created in previous chapter. Find a new way to describe this. Applied to existing internal peripheries. Talk about frontier style violence.</w:t>
      </w:r>
    </w:p>
  </w:comment>
  <w:comment w:id="1" w:author="Unknown Author" w:date="2026-09-12T16:14:56Z" w:initials="">
    <w:p>
      <w:pPr>
        <w:overflowPunct w:val="false"/>
        <w:rPr/>
      </w:pPr>
      <w:r>
        <w:rPr>
          <w:rFonts w:ascii="Liberation Serif" w:hAnsi="Liberation Serif" w:eastAsia="DejaVu Sans" w:cs="Noto Sans Arabic"/>
          <w:sz w:val="24"/>
          <w:szCs w:val="24"/>
          <w:lang w:val="en-US" w:eastAsia="en-US" w:bidi="en-US"/>
        </w:rPr>
        <w:t>You need something like this that established what the point is of includign Ali Suuri. Maybe something abt his farm in the footnote.</w:t>
      </w:r>
    </w:p>
  </w:comment>
  <w:comment w:id="2" w:author="Unknown Author" w:date="2026-09-12T16:54:55Z" w:initials="">
    <w:p>
      <w:pPr>
        <w:overflowPunct w:val="false"/>
        <w:rPr/>
      </w:pPr>
      <w:r>
        <w:rPr>
          <w:rFonts w:ascii="Liberation Serif" w:hAnsi="Liberation Serif" w:eastAsia="DejaVu Sans" w:cs="Noto Sans Arabic"/>
          <w:sz w:val="24"/>
          <w:szCs w:val="24"/>
          <w:lang w:val="en-US" w:eastAsia="en-US" w:bidi="en-US"/>
        </w:rPr>
        <w:t>Mention this sooner</w:t>
      </w:r>
    </w:p>
  </w:comment>
  <w:comment w:id="3" w:author="Unknown Author" w:date="2026-09-12T18:18:56Z" w:initials="">
    <w:p>
      <w:pPr>
        <w:overflowPunct w:val="false"/>
        <w:rPr/>
      </w:pPr>
      <w:r>
        <w:rPr>
          <w:rFonts w:ascii="Liberation Serif" w:hAnsi="Liberation Serif" w:eastAsia="DejaVu Sans" w:cs="Noto Sans Arabic"/>
          <w:sz w:val="24"/>
          <w:szCs w:val="24"/>
          <w:lang w:val="en-US" w:eastAsia="en-US" w:bidi="en-US"/>
        </w:rPr>
        <w:t>This paragraph might not be good, but you need something here to justify why you include racial capitalism in this section.</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Helvetica">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1907674502"/>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1907674502"/>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40335" cy="160655"/>
              <wp:effectExtent l="0" t="0" r="0" b="0"/>
              <wp:wrapNone/>
              <wp:docPr id="4"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sdt>
                          <w:sdtPr>
                            <w:docPartObj>
                              <w:docPartGallery w:val="Page Numbers (Bottom of Page)"/>
                              <w:docPartUnique w:val="true"/>
                            </w:docPartObj>
                            <w:id w:val="394555394"/>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456.95pt;mso-position-horizontal:right;mso-position-horizontal-relative:margin">
              <v:fill opacity="0f"/>
              <v:textbox inset="0in,0in,0in,0in">
                <w:txbxContent>
                  <w:sdt>
                    <w:sdtPr>
                      <w:docPartObj>
                        <w:docPartGallery w:val="Page Numbers (Bottom of Page)"/>
                        <w:docPartUnique w:val="true"/>
                      </w:docPartObj>
                      <w:id w:val="394555394"/>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140335" cy="160655"/>
              <wp:effectExtent l="0" t="0" r="0" b="0"/>
              <wp:wrapNone/>
              <wp:docPr id="5"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sdt>
                          <w:sdtPr>
                            <w:docPartObj>
                              <w:docPartGallery w:val="Page Numbers (Bottom of Page)"/>
                              <w:docPartUnique w:val="true"/>
                            </w:docPartObj>
                            <w:id w:val="394555394"/>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456.95pt;mso-position-horizontal:right;mso-position-horizontal-relative:margin">
              <v:fill opacity="0f"/>
              <v:textbox inset="0in,0in,0in,0in">
                <w:txbxContent>
                  <w:sdt>
                    <w:sdtPr>
                      <w:docPartObj>
                        <w:docPartGallery w:val="Page Numbers (Bottom of Page)"/>
                        <w:docPartUnique w:val="true"/>
                      </w:docPartObj>
                      <w:id w:val="394555394"/>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41</w:t>
                        </w:r>
                        <w:r>
                          <w:rPr>
                            <w:rStyle w:val="PageNumber"/>
                          </w:rPr>
                          <w:fldChar w:fldCharType="end"/>
                        </w:r>
                      </w:p>
                    </w:sdtContent>
                  </w:sdt>
                </w:txbxContent>
              </v:textbox>
              <w10:wrap type="non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rFonts w:ascii="Times New Roman" w:hAnsi="Times New Roman" w:cs="Times New Roman" w:asciiTheme="majorBidi" w:cstheme="majorBidi" w:hAnsiTheme="majorBidi"/>
          <w:i/>
          <w:i/>
          <w:iCs/>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color w:themeColor="text1" w:val="000000"/>
        </w:rPr>
        <w:t xml:space="preserve">Aimé Césaire, </w:t>
      </w:r>
      <w:r>
        <w:rPr>
          <w:rFonts w:cs="Times New Roman" w:ascii="Times New Roman" w:hAnsi="Times New Roman" w:asciiTheme="majorBidi" w:cstheme="majorBidi" w:hAnsiTheme="majorBidi"/>
          <w:i/>
          <w:iCs/>
          <w:color w:themeColor="text1" w:val="000000"/>
        </w:rPr>
        <w:t xml:space="preserve">Discourse on Colonialism. </w:t>
      </w:r>
      <w:r>
        <w:rPr>
          <w:rFonts w:cs="Times New Roman" w:ascii="Times New Roman" w:hAnsi="Times New Roman" w:asciiTheme="majorBidi" w:cstheme="majorBidi" w:hAnsiTheme="majorBidi"/>
          <w:color w:themeColor="text1" w:val="000000"/>
        </w:rPr>
        <w:t xml:space="preserve">(New York, NYU Press, 2000). Hannah Arendt, </w:t>
      </w:r>
      <w:r>
        <w:rPr>
          <w:rFonts w:cs="Times New Roman" w:ascii="Times New Roman" w:hAnsi="Times New Roman" w:asciiTheme="majorBidi" w:cstheme="majorBidi" w:hAnsiTheme="majorBidi"/>
          <w:i/>
          <w:iCs/>
          <w:color w:themeColor="text1" w:val="000000"/>
        </w:rPr>
        <w:t>The Origins of Totalitarianism.</w:t>
      </w:r>
    </w:p>
  </w:footnote>
  <w:footnote w:id="3">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Nahiye Bardizag (BAHCECIK), </w:t>
      </w:r>
      <w:r>
        <w:rPr>
          <w:rFonts w:cs="Times New Roman" w:ascii="Times New Roman" w:hAnsi="Times New Roman" w:asciiTheme="majorBidi" w:cstheme="majorBidi" w:hAnsiTheme="majorBidi"/>
          <w:i/>
          <w:iCs/>
        </w:rPr>
        <w:t>Virtual Genocide Memorial</w:t>
      </w:r>
      <w:r>
        <w:rPr>
          <w:rFonts w:cs="Times New Roman" w:ascii="Times New Roman" w:hAnsi="Times New Roman" w:asciiTheme="majorBidi" w:cstheme="majorBidi" w:hAnsiTheme="majorBidi"/>
        </w:rPr>
        <w:t xml:space="preserve">, </w:t>
      </w:r>
      <w:hyperlink r:id="rId1">
        <w:r>
          <w:rPr>
            <w:rStyle w:val="Hyperlink"/>
            <w:rFonts w:cs="Times New Roman" w:ascii="Times New Roman" w:hAnsi="Times New Roman" w:asciiTheme="majorBidi" w:cstheme="majorBidi" w:hAnsiTheme="majorBidi"/>
          </w:rPr>
          <w:t>https://www.virtual-genocide-memorial.de/region/the-black-sea-marmara-and-aegean-littorals-eastern-thrace-and-central-anatolia/bursa-prousa-vilayet-province/mutesarifat-izmit/kaza-izmit-nicomedia/nahiye-bardizag-bahcecik/</w:t>
        </w:r>
      </w:hyperlink>
      <w:r>
        <w:rPr>
          <w:rFonts w:cs="Times New Roman" w:ascii="Times New Roman" w:hAnsi="Times New Roman" w:asciiTheme="majorBidi" w:cstheme="majorBidi" w:hAnsiTheme="majorBidi"/>
        </w:rPr>
        <w:t xml:space="preserve"> (accessed date: 09/04/2026). </w:t>
      </w:r>
      <w:r>
        <w:rPr>
          <w:rStyle w:val="Emphasis"/>
          <w:rFonts w:cs="Times New Roman" w:ascii="Times New Roman" w:hAnsi="Times New Roman" w:asciiTheme="majorBidi" w:cstheme="majorBidi" w:hAnsiTheme="majorBidi"/>
          <w:i w:val="false"/>
          <w:iCs w:val="false"/>
          <w:color w:themeColor="text1" w:val="000000"/>
        </w:rPr>
        <w:t xml:space="preserve">Richard G. Hovannisian and Manuk-Khaloyan, Armen, </w:t>
      </w:r>
      <w:r>
        <w:rPr>
          <w:rStyle w:val="Emphasis"/>
          <w:rFonts w:cs="Times New Roman" w:ascii="Times New Roman" w:hAnsi="Times New Roman" w:asciiTheme="majorBidi" w:cstheme="majorBidi" w:hAnsiTheme="majorBidi"/>
          <w:color w:themeColor="text1" w:val="000000"/>
        </w:rPr>
        <w:t>The Armenian Communities of Asia Minor: A Pictorial Essay; in: The Armenian Communities of Asia Minor</w:t>
      </w:r>
      <w:r>
        <w:rPr>
          <w:rStyle w:val="Emphasis"/>
          <w:rFonts w:cs="Times New Roman" w:ascii="Times New Roman" w:hAnsi="Times New Roman" w:asciiTheme="majorBidi" w:cstheme="majorBidi" w:hAnsiTheme="majorBidi"/>
          <w:i w:val="false"/>
          <w:iCs w:val="false"/>
          <w:color w:themeColor="text1" w:val="000000"/>
        </w:rPr>
        <w:t>, ed. R.G. Hovannisian (Costa Mesa, CA: Mazda Publishers, 2014), p.16.</w:t>
      </w:r>
    </w:p>
  </w:footnote>
  <w:footnote w:id="4">
    <w:p>
      <w:pPr>
        <w:pStyle w:val="Heading1"/>
        <w:rPr>
          <w:rFonts w:ascii="Times New Roman" w:hAnsi="Times New Roman" w:cs="Times New Roman" w:asciiTheme="majorBidi" w:cstheme="majorBidi" w:hAnsiTheme="majorBidi"/>
          <w:b w:val="false"/>
          <w:bCs w:val="false"/>
          <w:color w:val="212529"/>
          <w:sz w:val="20"/>
          <w:szCs w:val="20"/>
        </w:rPr>
      </w:pPr>
      <w:r>
        <w:rPr>
          <w:rStyle w:val="FootnoteCharacters"/>
        </w:rPr>
        <w:footnoteRef/>
      </w:r>
      <w:r>
        <w:rPr>
          <w:rFonts w:cs="Times New Roman" w:cstheme="majorBidi"/>
          <w:b w:val="false"/>
          <w:bCs w:val="false"/>
          <w:sz w:val="20"/>
          <w:szCs w:val="20"/>
        </w:rPr>
        <w:t xml:space="preserve"> </w:t>
      </w:r>
      <w:r>
        <w:rPr>
          <w:rFonts w:cs="Times New Roman" w:cstheme="majorBidi"/>
          <w:b w:val="false"/>
          <w:bCs w:val="false"/>
          <w:sz w:val="20"/>
          <w:szCs w:val="20"/>
        </w:rPr>
        <w:t xml:space="preserve">Vekillerimiz </w:t>
      </w:r>
      <w:r>
        <w:rPr>
          <w:rFonts w:cs="Times New Roman" w:cstheme="majorBidi"/>
          <w:b w:val="false"/>
          <w:bCs w:val="false"/>
          <w:color w:val="212529"/>
          <w:sz w:val="20"/>
          <w:szCs w:val="20"/>
        </w:rPr>
        <w:t xml:space="preserve">Şuuri Hoşafcı, </w:t>
      </w:r>
      <w:r>
        <w:rPr>
          <w:rFonts w:cs="Times New Roman" w:cstheme="majorBidi"/>
          <w:b w:val="false"/>
          <w:bCs w:val="false"/>
          <w:i/>
          <w:iCs/>
          <w:color w:val="212529"/>
          <w:sz w:val="20"/>
          <w:szCs w:val="20"/>
        </w:rPr>
        <w:t>TBMM</w:t>
      </w:r>
      <w:r>
        <w:rPr>
          <w:rFonts w:cs="Times New Roman" w:cstheme="majorBidi"/>
          <w:b w:val="false"/>
          <w:bCs w:val="false"/>
          <w:color w:val="212529"/>
          <w:sz w:val="20"/>
          <w:szCs w:val="20"/>
        </w:rPr>
        <w:t xml:space="preserve">, </w:t>
      </w:r>
      <w:hyperlink r:id="rId2">
        <w:r>
          <w:rPr>
            <w:rStyle w:val="Hyperlink"/>
            <w:rFonts w:cs="Times New Roman" w:cstheme="majorBidi"/>
            <w:b w:val="false"/>
            <w:bCs w:val="false"/>
            <w:sz w:val="20"/>
            <w:szCs w:val="20"/>
          </w:rPr>
          <w:t>https://vekillerimiz.com/vekil/ali-suuri-bey-suuri-hosafci-624/</w:t>
        </w:r>
      </w:hyperlink>
      <w:r>
        <w:rPr>
          <w:rFonts w:cs="Times New Roman" w:cstheme="majorBidi"/>
          <w:b w:val="false"/>
          <w:bCs w:val="false"/>
          <w:sz w:val="20"/>
          <w:szCs w:val="20"/>
        </w:rPr>
        <w:t xml:space="preserve"> (accessed date: 09/04/2026).</w:t>
      </w:r>
    </w:p>
  </w:footnote>
  <w:footnote w:id="5">
    <w:p>
      <w:pPr>
        <w:pStyle w:val="NormalWeb"/>
        <w:spacing w:before="280" w:after="280"/>
        <w:rPr>
          <w:rFonts w:ascii="Times New Roman" w:hAnsi="Times New Roman" w:cs="Times New Roman" w:asciiTheme="majorBidi" w:cstheme="majorBidi" w:hAnsiTheme="majorBidi"/>
          <w:color w:val="000000"/>
          <w:sz w:val="20"/>
          <w:szCs w:val="20"/>
        </w:rPr>
      </w:pPr>
      <w:r>
        <w:rPr>
          <w:rStyle w:val="FootnoteCharacters"/>
        </w:rPr>
        <w:footnoteRef/>
      </w:r>
      <w:r>
        <w:rPr>
          <w:rFonts w:cs="Times New Roman" w:cstheme="majorBidi"/>
          <w:sz w:val="20"/>
          <w:szCs w:val="20"/>
        </w:rPr>
        <w:t xml:space="preserve"> </w:t>
      </w:r>
      <w:r>
        <w:rPr>
          <w:rFonts w:cs="Times New Roman" w:cstheme="majorBidi"/>
          <w:color w:val="000000"/>
          <w:sz w:val="20"/>
          <w:szCs w:val="20"/>
        </w:rPr>
        <w:t>Kazım Öztürk,</w:t>
      </w:r>
      <w:r>
        <w:rPr>
          <w:rStyle w:val="apple-converted-space"/>
          <w:rFonts w:cs="Times New Roman" w:cstheme="majorBidi"/>
          <w:color w:val="000000"/>
          <w:sz w:val="20"/>
          <w:szCs w:val="20"/>
        </w:rPr>
        <w:t> </w:t>
      </w:r>
      <w:r>
        <w:rPr>
          <w:rStyle w:val="Emphasis"/>
          <w:rFonts w:cs="Times New Roman" w:cstheme="majorBidi"/>
          <w:color w:val="000000"/>
          <w:sz w:val="20"/>
          <w:szCs w:val="20"/>
        </w:rPr>
        <w:t>Turkish Parliamentary History, TBMM – 2nd Term 1923–1927</w:t>
      </w:r>
      <w:r>
        <w:rPr>
          <w:rFonts w:cs="Times New Roman" w:cstheme="majorBidi"/>
          <w:color w:val="000000"/>
          <w:sz w:val="20"/>
          <w:szCs w:val="20"/>
        </w:rPr>
        <w:t>, Vol. 3, Ankara, 1995, pp. 455–456; Fahri Çoker,</w:t>
      </w:r>
      <w:r>
        <w:rPr>
          <w:rStyle w:val="apple-converted-space"/>
          <w:rFonts w:cs="Times New Roman" w:cstheme="majorBidi"/>
          <w:color w:val="000000"/>
          <w:sz w:val="20"/>
          <w:szCs w:val="20"/>
        </w:rPr>
        <w:t> </w:t>
      </w:r>
      <w:r>
        <w:rPr>
          <w:rStyle w:val="Emphasis"/>
          <w:rFonts w:cs="Times New Roman" w:cstheme="majorBidi"/>
          <w:color w:val="000000"/>
          <w:sz w:val="20"/>
          <w:szCs w:val="20"/>
        </w:rPr>
        <w:t>Turkish Parliamentary History, TBMM – 4th Term 1931–1935</w:t>
      </w:r>
      <w:r>
        <w:rPr>
          <w:rFonts w:cs="Times New Roman" w:cstheme="majorBidi"/>
          <w:color w:val="000000"/>
          <w:sz w:val="20"/>
          <w:szCs w:val="20"/>
        </w:rPr>
        <w:t>, Vol. 2, Ankara, 1996, p. 85; Mücellidoğlu Ali Çankaya, “With Important Events of the Last Century of Turkish History,”</w:t>
      </w:r>
      <w:r>
        <w:rPr>
          <w:rStyle w:val="apple-converted-space"/>
          <w:rFonts w:cs="Times New Roman" w:cstheme="majorBidi"/>
          <w:color w:val="000000"/>
          <w:sz w:val="20"/>
          <w:szCs w:val="20"/>
        </w:rPr>
        <w:t> </w:t>
      </w:r>
      <w:r>
        <w:rPr>
          <w:rStyle w:val="Emphasis"/>
          <w:rFonts w:cs="Times New Roman" w:cstheme="majorBidi"/>
          <w:color w:val="000000"/>
          <w:sz w:val="20"/>
          <w:szCs w:val="20"/>
        </w:rPr>
        <w:t>Yeni Mülkiye Tarihi ve Mülkiyeliler (Mülkiye Honor Book)</w:t>
      </w:r>
      <w:r>
        <w:rPr>
          <w:rFonts w:cs="Times New Roman" w:cstheme="majorBidi"/>
          <w:color w:val="000000"/>
          <w:sz w:val="20"/>
          <w:szCs w:val="20"/>
        </w:rPr>
        <w:t>, Vol. 4, Ankara, 1968–1969, p. 1545.</w:t>
      </w:r>
    </w:p>
    <w:p>
      <w:pPr>
        <w:pStyle w:val="FootnoteText"/>
        <w:rPr>
          <w:rFonts w:ascii="Times New Roman" w:hAnsi="Times New Roman" w:cs="Times New Roman" w:asciiTheme="majorBidi" w:cstheme="majorBidi" w:hAnsiTheme="majorBidi"/>
        </w:rPr>
      </w:pPr>
      <w:r>
        <w:rPr/>
      </w:r>
    </w:p>
  </w:footnote>
  <w:footnote w:id="6">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Ryan Gingeras, “Beyond Istanbul’s ‘Laz Underworld’: Ottoman Paramilitarism and the Rise of Turkish Organized Crime, 1908-1950,” Contemporary European History, Vol.19, No.3.</w:t>
      </w:r>
      <w:r>
        <w:rPr>
          <w:rFonts w:cs="Times New Roman" w:ascii="Times New Roman" w:hAnsi="Times New Roman" w:asciiTheme="majorBidi" w:cstheme="majorBidi" w:hAnsiTheme="majorBidi"/>
          <w:color w:val="000000"/>
          <w:spacing w:val="-5"/>
        </w:rPr>
        <w:t xml:space="preserve"> </w:t>
      </w:r>
      <w:r>
        <w:rPr>
          <w:rFonts w:cs="Times New Roman" w:ascii="Times New Roman" w:hAnsi="Times New Roman" w:asciiTheme="majorBidi" w:cstheme="majorBidi" w:hAnsiTheme="majorBidi"/>
          <w:i/>
          <w:iCs/>
          <w:color w:val="000000"/>
          <w:spacing w:val="-5"/>
        </w:rPr>
        <w:t>Aftershocks: Violence in Dissolving Empires after the First World War</w:t>
      </w:r>
      <w:r>
        <w:rPr>
          <w:rFonts w:cs="Times New Roman" w:ascii="Times New Roman" w:hAnsi="Times New Roman" w:asciiTheme="majorBidi" w:cstheme="majorBidi" w:hAnsiTheme="majorBidi"/>
          <w:color w:val="000000"/>
          <w:spacing w:val="-5"/>
        </w:rPr>
        <w:t xml:space="preserve"> (August 2010), pp. 215-230.</w:t>
      </w:r>
    </w:p>
  </w:footnote>
  <w:footnote w:id="7">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Nejdet Bilgi, “Izmit Tehciri Davasi,” </w:t>
      </w:r>
    </w:p>
  </w:footnote>
  <w:footnote w:id="8">
    <w:p>
      <w:pPr>
        <w:pStyle w:val="Normal"/>
        <w:rPr>
          <w:rFonts w:ascii="Times New Roman" w:hAnsi="Times New Roman" w:cs="Times New Roman" w:asciiTheme="majorBidi" w:cstheme="majorBidi" w:hAnsiTheme="majorBidi"/>
          <w:color w:val="595959"/>
          <w:spacing w:val="2"/>
          <w:sz w:val="20"/>
          <w:szCs w:val="20"/>
        </w:rPr>
      </w:pPr>
      <w:r>
        <w:rPr>
          <w:rStyle w:val="FootnoteCharacters"/>
        </w:rPr>
        <w:footnoteRef/>
      </w:r>
      <w:r>
        <w:rPr>
          <w:rFonts w:cs="Times New Roman" w:cstheme="majorBidi"/>
          <w:sz w:val="20"/>
          <w:szCs w:val="20"/>
        </w:rPr>
        <w:t xml:space="preserve"> </w:t>
      </w:r>
      <w:r>
        <w:rPr>
          <w:rFonts w:cs="Times New Roman" w:cstheme="majorBidi"/>
          <w:color w:themeColor="text1" w:val="000000"/>
          <w:sz w:val="20"/>
          <w:szCs w:val="20"/>
        </w:rPr>
        <w:t xml:space="preserve">Nancy Fraser, “Expropriation and Exploitation in Racialized Capitalism: A Reply to Michael Dawson,” </w:t>
      </w:r>
      <w:r>
        <w:rPr>
          <w:rFonts w:cs="Times New Roman" w:cstheme="majorBidi"/>
          <w:i/>
          <w:iCs/>
          <w:color w:themeColor="text1" w:val="000000"/>
          <w:spacing w:val="2"/>
          <w:sz w:val="20"/>
          <w:szCs w:val="20"/>
        </w:rPr>
        <w:t>Critical Historical Studies,</w:t>
      </w:r>
      <w:r>
        <w:rPr>
          <w:rFonts w:cs="Times New Roman" w:cstheme="majorBidi"/>
          <w:color w:themeColor="text1" w:val="000000"/>
          <w:spacing w:val="2"/>
          <w:sz w:val="20"/>
          <w:szCs w:val="20"/>
        </w:rPr>
        <w:t xml:space="preserve"> Volume 3, Number 1, 2016. </w:t>
      </w:r>
      <w:r>
        <w:rPr>
          <w:rStyle w:val="inqyif"/>
          <w:rFonts w:cs="Times New Roman" w:cstheme="majorBidi"/>
          <w:i/>
          <w:iCs/>
          <w:color w:val="000000"/>
          <w:sz w:val="20"/>
          <w:szCs w:val="20"/>
        </w:rPr>
        <w:t xml:space="preserve">Cannibal Capitalism: How our System is Devouring Democracy, Care, and the Planet – and What We Can Do About It. </w:t>
      </w:r>
      <w:r>
        <w:rPr>
          <w:rStyle w:val="inqyif"/>
          <w:rFonts w:cs="Times New Roman" w:cstheme="majorBidi"/>
          <w:color w:val="000000"/>
          <w:sz w:val="20"/>
          <w:szCs w:val="20"/>
        </w:rPr>
        <w:t>(London: Verso Books, 2022).</w:t>
      </w:r>
    </w:p>
  </w:footnote>
  <w:footnote w:id="9">
    <w:p>
      <w:pPr>
        <w:pStyle w:val="Normal"/>
        <w:spacing w:before="200" w:after="0"/>
        <w:rPr>
          <w:rFonts w:ascii="Times New Roman" w:hAnsi="Times New Roman" w:cs="Times New Roman" w:asciiTheme="majorBidi" w:cstheme="majorBidi" w:hAnsiTheme="majorBidi"/>
          <w:sz w:val="20"/>
          <w:szCs w:val="20"/>
        </w:rPr>
      </w:pPr>
      <w:r>
        <w:rPr>
          <w:rStyle w:val="FootnoteCharacters"/>
        </w:rPr>
        <w:footnoteRef/>
      </w:r>
      <w:r>
        <w:rPr>
          <w:rFonts w:cs="Times New Roman" w:cstheme="majorBidi"/>
          <w:sz w:val="20"/>
          <w:szCs w:val="20"/>
        </w:rPr>
        <w:t xml:space="preserve"> </w:t>
      </w:r>
      <w:r>
        <w:rPr>
          <w:rFonts w:cs="Times New Roman" w:cstheme="majorBidi"/>
          <w:sz w:val="20"/>
          <w:szCs w:val="20"/>
        </w:rPr>
        <w:t xml:space="preserve">Karl Marx, </w:t>
      </w:r>
      <w:r>
        <w:rPr>
          <w:rFonts w:cs="Times New Roman" w:cstheme="majorBidi"/>
          <w:i/>
          <w:sz w:val="20"/>
          <w:szCs w:val="20"/>
        </w:rPr>
        <w:t>Capital: A Critique of Political Economy, Vol.1</w:t>
      </w:r>
      <w:r>
        <w:rPr>
          <w:rFonts w:cs="Times New Roman" w:cstheme="majorBidi"/>
          <w:sz w:val="20"/>
          <w:szCs w:val="20"/>
        </w:rPr>
        <w:t>, (Vintage: 1977),  p.875.</w:t>
      </w:r>
    </w:p>
  </w:footnote>
  <w:footnote w:id="10">
    <w:p>
      <w:pPr>
        <w:pStyle w:val="Heading1"/>
        <w:ind w:right="360"/>
        <w:textAlignment w:val="baseline"/>
        <w:rPr>
          <w:rFonts w:ascii="Times New Roman" w:hAnsi="Times New Roman" w:cs="Times New Roman" w:asciiTheme="majorBidi" w:cstheme="majorBidi" w:hAnsiTheme="majorBidi"/>
          <w:b w:val="false"/>
          <w:bCs w:val="false"/>
          <w:color w:themeColor="text1" w:val="000000"/>
          <w:sz w:val="20"/>
          <w:szCs w:val="20"/>
        </w:rPr>
      </w:pPr>
      <w:r>
        <w:rPr>
          <w:rStyle w:val="FootnoteCharacters"/>
        </w:rPr>
        <w:footnoteRef/>
      </w:r>
      <w:r>
        <w:rPr>
          <w:rFonts w:cs="Times New Roman" w:cstheme="majorBidi"/>
          <w:b w:val="false"/>
          <w:bCs w:val="false"/>
          <w:sz w:val="20"/>
          <w:szCs w:val="20"/>
        </w:rPr>
        <w:t xml:space="preserve"> </w:t>
      </w:r>
      <w:r>
        <w:rPr>
          <w:rFonts w:cs="Times New Roman" w:cstheme="majorBidi"/>
          <w:b w:val="false"/>
          <w:bCs w:val="false"/>
          <w:sz w:val="20"/>
          <w:szCs w:val="20"/>
        </w:rPr>
        <w:t>Anahit Astoyan,</w:t>
      </w:r>
      <w:r>
        <w:rPr>
          <w:rFonts w:cs="Times New Roman" w:cstheme="majorBidi"/>
          <w:sz w:val="20"/>
          <w:szCs w:val="20"/>
        </w:rPr>
        <w:t xml:space="preserve"> </w:t>
      </w:r>
      <w:r>
        <w:rPr>
          <w:rStyle w:val="main-heading"/>
          <w:rFonts w:cs="Times New Roman" w:cstheme="majorBidi"/>
          <w:b w:val="false"/>
          <w:bCs w:val="false"/>
          <w:i/>
          <w:iCs/>
          <w:color w:val="111111"/>
          <w:sz w:val="20"/>
          <w:szCs w:val="20"/>
        </w:rPr>
        <w:t xml:space="preserve">The Pillage of The Century. Expropriation of Armenians in The Ottoman Empire 1914-1923 (Դարի Կողոպուտը Հայերի ՈՒնեզրկումը Օսմանյան Կայսրությունում 1914-1923 թթ). </w:t>
      </w:r>
      <w:r>
        <w:rPr>
          <w:rStyle w:val="main-heading"/>
          <w:rFonts w:cs="Times New Roman" w:cstheme="majorBidi"/>
          <w:b w:val="false"/>
          <w:bCs w:val="false"/>
          <w:color w:val="111111"/>
          <w:sz w:val="20"/>
          <w:szCs w:val="20"/>
        </w:rPr>
        <w:t>(</w:t>
      </w:r>
      <w:r>
        <w:rPr>
          <w:rFonts w:cs="Times New Roman" w:cstheme="majorBidi"/>
          <w:b w:val="false"/>
          <w:bCs w:val="false"/>
          <w:color w:themeColor="text1" w:val="000000"/>
          <w:sz w:val="20"/>
          <w:szCs w:val="20"/>
          <w:shd w:fill="FFFFFF" w:val="clear"/>
        </w:rPr>
        <w:t>Yerevan : Nairi, Armenia, 2015).</w:t>
      </w:r>
    </w:p>
    <w:p>
      <w:pPr>
        <w:pStyle w:val="FootnoteText"/>
        <w:rPr>
          <w:rFonts w:ascii="Times New Roman" w:hAnsi="Times New Roman" w:cs="Times New Roman" w:asciiTheme="majorBidi" w:cstheme="majorBidi" w:hAnsiTheme="majorBidi"/>
          <w:color w:themeColor="text1" w:val="000000"/>
        </w:rPr>
      </w:pPr>
      <w:r>
        <w:rPr/>
      </w:r>
    </w:p>
  </w:footnote>
  <w:footnote w:id="11">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highlight w:val="white"/>
        </w:rPr>
        <w:t xml:space="preserve">Grigor Mkhalean, and Ara Stepan Melkonian. 2014. </w:t>
      </w:r>
      <w:r>
        <w:rPr>
          <w:rFonts w:cs="Times New Roman" w:ascii="Times New Roman" w:hAnsi="Times New Roman" w:asciiTheme="majorBidi" w:cstheme="majorBidi" w:hAnsiTheme="majorBidi"/>
          <w:i/>
          <w:iCs/>
        </w:rPr>
        <w:t>Bardizag and Its People</w:t>
      </w:r>
      <w:r>
        <w:rPr>
          <w:rFonts w:cs="Times New Roman" w:ascii="Times New Roman" w:hAnsi="Times New Roman" w:asciiTheme="majorBidi" w:cstheme="majorBidi" w:hAnsiTheme="majorBidi"/>
          <w:highlight w:val="white"/>
        </w:rPr>
        <w:t>. London: Gomidas Institute.</w:t>
      </w:r>
    </w:p>
  </w:footnote>
  <w:footnote w:id="12">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This episode may be understood through Özgür Sevgi Göral’s analysis of enforced disappearance in Kurdistan during 1990s, which highlights the deliberate production of uncertainty regarding victims’ fates as a mechanism of political violence. Viewed through this lens, Armenian Genocide was not only a history of mass killing and deportation but also a regime of disappearance in which families were denied knowledge about their loved ones. Özgür Sevgi Göral, “Waiting for the disappeared: waiting as a form of resilience and the limits of legal space in Turkey.,” </w:t>
      </w:r>
      <w:r>
        <w:rPr>
          <w:rFonts w:cs="Times New Roman" w:ascii="Times New Roman" w:hAnsi="Times New Roman" w:asciiTheme="majorBidi" w:cstheme="majorBidi" w:hAnsiTheme="majorBidi"/>
          <w:i/>
          <w:iCs/>
        </w:rPr>
        <w:t>Soc Anthropol</w:t>
      </w:r>
      <w:r>
        <w:rPr>
          <w:rFonts w:cs="Times New Roman" w:ascii="Times New Roman" w:hAnsi="Times New Roman" w:asciiTheme="majorBidi" w:cstheme="majorBidi" w:hAnsiTheme="majorBidi"/>
        </w:rPr>
        <w:t xml:space="preserve">, 29, 2021, 800-815. </w:t>
      </w:r>
      <w:hyperlink r:id="rId3">
        <w:r>
          <w:rPr>
            <w:rStyle w:val="Hyperlink"/>
            <w:rFonts w:cs="Times New Roman" w:ascii="Times New Roman" w:hAnsi="Times New Roman" w:asciiTheme="majorBidi" w:cstheme="majorBidi" w:hAnsiTheme="majorBidi"/>
          </w:rPr>
          <w:t>https://doi.org/10.1111/1469-8676.13096</w:t>
        </w:r>
      </w:hyperlink>
    </w:p>
  </w:footnote>
  <w:footnote w:id="13">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color w:themeColor="text1" w:val="000000"/>
        </w:rPr>
        <w:t xml:space="preserve">Selma Cetinkaya and Taner Bilgin, “Tehcir Kanunu ve Izmit Ermenileri,” </w:t>
      </w:r>
      <w:r>
        <w:rPr>
          <w:rFonts w:cs="Times New Roman" w:ascii="Times New Roman" w:hAnsi="Times New Roman" w:asciiTheme="majorBidi" w:cstheme="majorBidi" w:hAnsiTheme="majorBidi"/>
          <w:i/>
          <w:iCs/>
          <w:color w:themeColor="text1" w:val="000000"/>
          <w:shd w:fill="FFFFFF" w:val="clear"/>
        </w:rPr>
        <w:t>Uluslararası Kara Mürsel Alp ve Kocaeli Tarihi Sempozyumu -II = International Symposium on Kara Mürsel Alp &amp; History of Kocaeli -II.</w:t>
      </w:r>
      <w:r>
        <w:rPr>
          <w:rFonts w:cs="Times New Roman" w:ascii="Times New Roman" w:hAnsi="Times New Roman" w:asciiTheme="majorBidi" w:cstheme="majorBidi" w:hAnsiTheme="majorBidi"/>
          <w:color w:themeColor="text1" w:val="000000"/>
          <w:shd w:fill="FFFFFF" w:val="clear"/>
        </w:rPr>
        <w:t xml:space="preserve"> (Kocaeli: Kocaeli Büyükşehir Belediyesi, Kültür ve Sosyal İşler Dairesi Başkanlığı Yayınları, 2016), p.1313. </w:t>
      </w:r>
      <w:r>
        <w:rPr>
          <w:rFonts w:cs="Times New Roman" w:ascii="Times New Roman" w:hAnsi="Times New Roman" w:asciiTheme="majorBidi" w:cstheme="majorBidi" w:hAnsiTheme="majorBidi"/>
        </w:rPr>
        <w:t xml:space="preserve">Ari </w:t>
      </w:r>
      <w:r>
        <w:rPr>
          <w:rFonts w:cs="Times New Roman" w:ascii="Times New Roman" w:hAnsi="Times New Roman" w:asciiTheme="majorBidi" w:cstheme="majorBidi" w:hAnsiTheme="majorBidi"/>
          <w:shd w:fill="FFFFFF" w:val="clear"/>
        </w:rPr>
        <w:t>Şekeryan, 2023.</w:t>
      </w:r>
      <w:r>
        <w:rPr>
          <w:rStyle w:val="apple-converted-space"/>
          <w:rFonts w:cs="Times New Roman" w:ascii="Times New Roman" w:hAnsi="Times New Roman" w:asciiTheme="majorBidi" w:cstheme="majorBidi" w:hAnsiTheme="majorBidi"/>
          <w:shd w:fill="FFFFFF" w:val="clear"/>
        </w:rPr>
        <w:t> </w:t>
      </w:r>
      <w:r>
        <w:rPr>
          <w:rFonts w:cs="Times New Roman" w:ascii="Times New Roman" w:hAnsi="Times New Roman" w:asciiTheme="majorBidi" w:cstheme="majorBidi" w:hAnsiTheme="majorBidi"/>
          <w:i/>
          <w:iCs/>
        </w:rPr>
        <w:t>The Armenians and the Fall of the Ottoman Empire : After Genocide, 1918-1923</w:t>
      </w:r>
      <w:r>
        <w:rPr>
          <w:rFonts w:cs="Times New Roman" w:ascii="Times New Roman" w:hAnsi="Times New Roman" w:asciiTheme="majorBidi" w:cstheme="majorBidi" w:hAnsiTheme="majorBidi"/>
          <w:shd w:fill="FFFFFF" w:val="clear"/>
        </w:rPr>
        <w:t>. Cambridge, United Kingdom: Cambridge University Press, 2023, p.44.</w:t>
      </w:r>
    </w:p>
  </w:footnote>
  <w:footnote w:id="14">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Raymond Kevorkian</w:t>
      </w:r>
      <w:r>
        <w:rPr>
          <w:rFonts w:cs="Times New Roman" w:ascii="Times New Roman" w:hAnsi="Times New Roman" w:asciiTheme="majorBidi" w:cstheme="majorBidi" w:hAnsiTheme="majorBidi"/>
          <w:i/>
          <w:iCs/>
        </w:rPr>
        <w:t>, Armenian Genocide</w:t>
      </w:r>
      <w:r>
        <w:rPr>
          <w:rFonts w:cs="Times New Roman" w:ascii="Times New Roman" w:hAnsi="Times New Roman" w:asciiTheme="majorBidi" w:cstheme="majorBidi" w:hAnsiTheme="majorBidi"/>
        </w:rPr>
        <w:t>, p.552-555.</w:t>
      </w:r>
    </w:p>
  </w:footnote>
  <w:footnote w:id="15">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highlight w:val="white"/>
        </w:rPr>
        <w:t xml:space="preserve">Grigor Mkhalean, and Ara Stepan Melkonian. 2014. </w:t>
      </w:r>
      <w:r>
        <w:rPr>
          <w:rFonts w:cs="Times New Roman" w:ascii="Times New Roman" w:hAnsi="Times New Roman" w:asciiTheme="majorBidi" w:cstheme="majorBidi" w:hAnsiTheme="majorBidi"/>
          <w:i/>
          <w:iCs/>
        </w:rPr>
        <w:t>Bardizag and Its People</w:t>
      </w:r>
      <w:r>
        <w:rPr>
          <w:rFonts w:cs="Times New Roman" w:ascii="Times New Roman" w:hAnsi="Times New Roman" w:asciiTheme="majorBidi" w:cstheme="majorBidi" w:hAnsiTheme="majorBidi"/>
          <w:highlight w:val="white"/>
        </w:rPr>
        <w:t>. London: Gomidas Institute.</w:t>
      </w:r>
      <w:r>
        <w:rPr>
          <w:rFonts w:cs="Times New Roman" w:ascii="Times New Roman" w:hAnsi="Times New Roman" w:asciiTheme="majorBidi" w:cstheme="majorBidi" w:hAnsiTheme="majorBidi"/>
        </w:rPr>
        <w:t xml:space="preserve"> p.x.</w:t>
      </w:r>
    </w:p>
  </w:footnote>
  <w:footnote w:id="16">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i/>
          <w:iCs/>
        </w:rPr>
        <w:t>Ibid.</w:t>
      </w:r>
    </w:p>
  </w:footnote>
  <w:footnote w:id="17">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Yektan Turkyilmaz, p.337.</w:t>
      </w:r>
    </w:p>
  </w:footnote>
  <w:footnote w:id="18">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color w:themeColor="text1" w:val="000000"/>
        </w:rPr>
        <w:t>Harry Harootunian</w:t>
      </w:r>
    </w:p>
  </w:footnote>
  <w:footnote w:id="19">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lang w:val="en-US"/>
        </w:rPr>
        <w:t xml:space="preserve">Tigran Martirosyan, “Labour Battalions: Ottoman Empire/Middle East,” 1914-1918 International Encyclopedia of the First World War,” </w:t>
      </w:r>
      <w:hyperlink r:id="rId4">
        <w:r>
          <w:rPr>
            <w:rStyle w:val="Hyperlink"/>
            <w:rFonts w:cs="Times New Roman" w:ascii="Times New Roman" w:hAnsi="Times New Roman" w:asciiTheme="majorBidi" w:cstheme="majorBidi" w:hAnsiTheme="majorBidi"/>
            <w:lang w:val="en-US"/>
          </w:rPr>
          <w:t>https://encyclopedia.1914-1918-online.net/article/labour-battalions-ottoman-empiremiddle-east/</w:t>
        </w:r>
      </w:hyperlink>
      <w:r>
        <w:rPr>
          <w:rFonts w:cs="Times New Roman" w:ascii="Times New Roman" w:hAnsi="Times New Roman" w:asciiTheme="majorBidi" w:cstheme="majorBidi" w:hAnsiTheme="majorBidi"/>
          <w:lang w:val="en-US"/>
        </w:rPr>
        <w:t xml:space="preserve"> (accessed date: 09/04/2026).</w:t>
      </w:r>
    </w:p>
  </w:footnote>
  <w:footnote w:id="20">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eastAsia="Times New Roman" w:cs="Times New Roman" w:ascii="Times New Roman" w:hAnsi="Times New Roman" w:asciiTheme="majorBidi" w:cstheme="majorBidi" w:hAnsiTheme="majorBidi"/>
        </w:rPr>
        <w:t xml:space="preserve">Katharine Derderian, “Common Fate, Different Experience: Gender-specific Aspects of the Armenian Genocide, 1915-1917,” </w:t>
      </w:r>
      <w:r>
        <w:rPr>
          <w:rFonts w:eastAsia="Times New Roman" w:cs="Times New Roman" w:ascii="Times New Roman" w:hAnsi="Times New Roman" w:asciiTheme="majorBidi" w:cstheme="majorBidi" w:hAnsiTheme="majorBidi"/>
          <w:i/>
        </w:rPr>
        <w:t>Holocaust Genocide Studies.</w:t>
      </w:r>
      <w:r>
        <w:rPr>
          <w:rFonts w:eastAsia="Times New Roman" w:cs="Times New Roman" w:ascii="Times New Roman" w:hAnsi="Times New Roman" w:asciiTheme="majorBidi" w:cstheme="majorBidi" w:hAnsiTheme="majorBidi"/>
        </w:rPr>
        <w:t xml:space="preserve"> Vol.19, N.1, p.12. </w:t>
        <w:tab/>
      </w:r>
    </w:p>
  </w:footnote>
  <w:footnote w:id="21">
    <w:p>
      <w:pPr>
        <w:pStyle w:val="FootnoteText"/>
        <w:rPr>
          <w:rFonts w:ascii="Times New Roman" w:hAnsi="Times New Roman" w:cs="Times New Roman" w:asciiTheme="majorBidi" w:cstheme="majorBidi" w:hAnsiTheme="majorBidi"/>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Saidiya Hartman, </w:t>
      </w:r>
      <w:r>
        <w:rPr>
          <w:rFonts w:cs="Times New Roman" w:ascii="Times New Roman" w:hAnsi="Times New Roman" w:asciiTheme="majorBidi" w:cstheme="majorBidi" w:hAnsiTheme="majorBidi"/>
          <w:i/>
          <w:iCs/>
        </w:rPr>
        <w:t>Scenes of Subjction: Terror, Slavery and Self-Making in the Nineteenth Century America</w:t>
      </w:r>
      <w:r>
        <w:rPr>
          <w:rFonts w:cs="Times New Roman" w:ascii="Times New Roman" w:hAnsi="Times New Roman" w:asciiTheme="majorBidi" w:cstheme="majorBidi" w:hAnsiTheme="majorBidi"/>
        </w:rPr>
        <w:t>, p.X.</w:t>
      </w:r>
    </w:p>
  </w:footnote>
  <w:footnote w:id="22">
    <w:p>
      <w:pPr>
        <w:pStyle w:val="Normal"/>
        <w:spacing w:before="200" w:after="0"/>
        <w:rPr>
          <w:rFonts w:ascii="Times New Roman" w:hAnsi="Times New Roman" w:cs="Times New Roman" w:asciiTheme="majorBidi" w:cstheme="majorBidi" w:hAnsiTheme="majorBidi"/>
          <w:sz w:val="20"/>
          <w:szCs w:val="20"/>
        </w:rPr>
      </w:pPr>
      <w:r>
        <w:rPr>
          <w:rStyle w:val="FootnoteCharacters"/>
        </w:rPr>
        <w:footnoteRef/>
      </w:r>
      <w:r>
        <w:rPr>
          <w:rFonts w:cs="Times New Roman" w:cstheme="majorBidi"/>
          <w:sz w:val="20"/>
          <w:szCs w:val="20"/>
        </w:rPr>
        <w:t xml:space="preserve"> </w:t>
      </w:r>
      <w:r>
        <w:rPr>
          <w:rFonts w:cs="Times New Roman" w:cstheme="majorBidi"/>
          <w:sz w:val="20"/>
          <w:szCs w:val="20"/>
        </w:rPr>
        <w:t xml:space="preserve">Nazan Maksudyan, </w:t>
      </w:r>
      <w:r>
        <w:rPr>
          <w:rFonts w:cs="Times New Roman" w:cstheme="majorBidi"/>
          <w:i/>
          <w:sz w:val="20"/>
          <w:szCs w:val="20"/>
        </w:rPr>
        <w:t>Ottoman Children and Youth During World War One,</w:t>
      </w:r>
      <w:r>
        <w:rPr>
          <w:rFonts w:cs="Times New Roman" w:cstheme="majorBidi"/>
          <w:sz w:val="20"/>
          <w:szCs w:val="20"/>
        </w:rPr>
        <w:t xml:space="preserve"> p.114.</w:t>
      </w:r>
    </w:p>
    <w:p>
      <w:pPr>
        <w:pStyle w:val="FootnoteText"/>
        <w:rPr>
          <w:rFonts w:ascii="Times New Roman" w:hAnsi="Times New Roman" w:cs="Times New Roman" w:asciiTheme="majorBidi" w:cstheme="majorBidi" w:hAnsiTheme="majorBidi"/>
          <w:lang w:val="en-US"/>
        </w:rPr>
      </w:pPr>
      <w:r>
        <w:rPr/>
      </w:r>
    </w:p>
  </w:footnote>
  <w:footnote w:id="23">
    <w:p>
      <w:pPr>
        <w:pStyle w:val="Normal"/>
        <w:spacing w:before="200" w:after="0"/>
        <w:rPr>
          <w:rFonts w:ascii="Times New Roman" w:hAnsi="Times New Roman" w:cs="Times New Roman" w:asciiTheme="majorBidi" w:cstheme="majorBidi" w:hAnsiTheme="majorBidi"/>
          <w:sz w:val="20"/>
          <w:szCs w:val="20"/>
        </w:rPr>
      </w:pPr>
      <w:r>
        <w:rPr>
          <w:rStyle w:val="FootnoteCharacters"/>
        </w:rPr>
        <w:footnoteRef/>
      </w:r>
      <w:r>
        <w:rPr>
          <w:rFonts w:cs="Times New Roman" w:cstheme="majorBidi"/>
          <w:color w:themeColor="text1" w:val="000000"/>
          <w:sz w:val="20"/>
          <w:szCs w:val="20"/>
        </w:rPr>
        <w:t xml:space="preserve"> </w:t>
      </w:r>
      <w:r>
        <w:rPr>
          <w:rFonts w:cs="Times New Roman" w:cstheme="majorBidi"/>
          <w:color w:themeColor="text1" w:val="000000"/>
          <w:sz w:val="20"/>
          <w:szCs w:val="20"/>
        </w:rPr>
        <w:t>Lerna Ekmekçioğlu, “A Climate for Abduction,” p.533.</w:t>
      </w:r>
    </w:p>
  </w:footnote>
  <w:footnote w:id="24">
    <w:p>
      <w:pPr>
        <w:pStyle w:val="Normal"/>
        <w:spacing w:before="200" w:after="0"/>
        <w:rPr>
          <w:rFonts w:ascii="Times New Roman" w:hAnsi="Times New Roman" w:cs="Times New Roman" w:asciiTheme="majorBidi" w:cstheme="majorBidi" w:hAnsiTheme="majorBidi"/>
          <w:sz w:val="20"/>
          <w:szCs w:val="20"/>
        </w:rPr>
      </w:pPr>
      <w:r>
        <w:rPr>
          <w:rStyle w:val="FootnoteCharacters"/>
        </w:rPr>
        <w:footnoteRef/>
      </w:r>
      <w:r>
        <w:rPr>
          <w:rFonts w:cs="Times New Roman" w:cstheme="majorBidi"/>
          <w:sz w:val="20"/>
          <w:szCs w:val="20"/>
        </w:rPr>
        <w:t xml:space="preserve"> </w:t>
      </w:r>
      <w:r>
        <w:rPr>
          <w:rFonts w:cs="Times New Roman" w:cstheme="majorBidi"/>
          <w:sz w:val="20"/>
          <w:szCs w:val="20"/>
        </w:rPr>
        <w:t xml:space="preserve">Ezgi Akyol, </w:t>
      </w:r>
      <w:r>
        <w:rPr>
          <w:rFonts w:cs="Times New Roman" w:cstheme="majorBidi"/>
          <w:i/>
          <w:sz w:val="20"/>
          <w:szCs w:val="20"/>
        </w:rPr>
        <w:t xml:space="preserve">Birinci Dünya Savaşı'nda Osmanlı İmparatorluğu'nda İlksel Birikim ve  Kapitalist Devlet. </w:t>
      </w:r>
      <w:r>
        <w:rPr>
          <w:rFonts w:cs="Times New Roman" w:cstheme="majorBidi"/>
          <w:sz w:val="20"/>
          <w:szCs w:val="20"/>
        </w:rPr>
        <w:t>Unpublished PhD Dissertation (İstanbul Üniversitesi,Siyasal Bilgiler Fakültesi, Kamu Yönetimi Ve Siyaset Bilimi Bölümü, Istanbul, 2022).</w:t>
      </w:r>
    </w:p>
    <w:p>
      <w:pPr>
        <w:pStyle w:val="FootnoteText"/>
        <w:rPr>
          <w:rFonts w:ascii="Times New Roman" w:hAnsi="Times New Roman" w:cs="Times New Roman" w:asciiTheme="majorBidi" w:cstheme="majorBidi" w:hAnsiTheme="majorBidi"/>
          <w:lang w:val="en-US"/>
        </w:rPr>
      </w:pPr>
      <w:r>
        <w:rPr/>
      </w:r>
    </w:p>
  </w:footnote>
  <w:footnote w:id="25">
    <w:p>
      <w:pPr>
        <w:pStyle w:val="FootnoteText"/>
        <w:rPr>
          <w:rFonts w:ascii="Times New Roman" w:hAnsi="Times New Roman" w:cs="Times New Roman" w:asciiTheme="majorBidi" w:cstheme="majorBidi" w:hAnsiTheme="majorBidi"/>
          <w:color w:themeColor="text1" w:val="000000"/>
          <w:lang w:val="en-US"/>
        </w:rPr>
      </w:pPr>
      <w:r>
        <w:rPr>
          <w:rStyle w:val="FootnoteCharacters"/>
        </w:rPr>
        <w:footnoteRef/>
      </w:r>
      <w:r>
        <w:rPr>
          <w:rFonts w:cs="Times New Roman" w:ascii="Times New Roman" w:hAnsi="Times New Roman" w:asciiTheme="majorBidi" w:cstheme="majorBidi" w:hAnsiTheme="majorBidi"/>
          <w:color w:themeColor="text1" w:val="000000"/>
        </w:rPr>
        <w:t xml:space="preserve"> </w:t>
      </w:r>
      <w:r>
        <w:rPr>
          <w:rFonts w:cs="Times New Roman" w:ascii="Times New Roman" w:hAnsi="Times New Roman" w:asciiTheme="majorBidi" w:cstheme="majorBidi" w:hAnsiTheme="majorBidi"/>
          <w:color w:themeColor="text1" w:val="000000"/>
        </w:rPr>
        <w:t xml:space="preserve">Murat </w:t>
      </w:r>
      <w:r>
        <w:rPr>
          <w:rStyle w:val="Emphasis"/>
          <w:rFonts w:cs="Times New Roman" w:ascii="Times New Roman" w:hAnsi="Times New Roman" w:asciiTheme="majorBidi" w:cstheme="majorBidi" w:hAnsiTheme="majorBidi"/>
          <w:i w:val="false"/>
          <w:iCs w:val="false"/>
          <w:color w:themeColor="text1" w:val="000000"/>
        </w:rPr>
        <w:t>Bardakçı,</w:t>
      </w:r>
      <w:r>
        <w:rPr>
          <w:rStyle w:val="Emphasis"/>
          <w:rFonts w:cs="Times New Roman" w:ascii="Times New Roman" w:hAnsi="Times New Roman" w:asciiTheme="majorBidi" w:cstheme="majorBidi" w:hAnsiTheme="majorBidi"/>
          <w:color w:themeColor="text1" w:val="000000"/>
        </w:rPr>
        <w:t xml:space="preserve"> Talât Paşa’nın Evrak-ı Metrukesi</w:t>
      </w:r>
      <w:r>
        <w:rPr>
          <w:rFonts w:cs="Times New Roman" w:ascii="Times New Roman" w:hAnsi="Times New Roman" w:asciiTheme="majorBidi" w:cstheme="majorBidi" w:hAnsiTheme="majorBidi"/>
          <w:color w:themeColor="text1" w:val="000000"/>
        </w:rPr>
        <w:t>, p.88–89. Fuat Dündar,</w:t>
      </w:r>
      <w:r>
        <w:rPr>
          <w:rStyle w:val="apple-converted-space"/>
          <w:rFonts w:cs="Times New Roman" w:ascii="Times New Roman" w:hAnsi="Times New Roman" w:asciiTheme="majorBidi" w:cstheme="majorBidi" w:hAnsiTheme="majorBidi"/>
          <w:color w:themeColor="text1" w:val="000000"/>
        </w:rPr>
        <w:t> </w:t>
      </w:r>
      <w:r>
        <w:rPr>
          <w:rStyle w:val="Emphasis"/>
          <w:rFonts w:cs="Times New Roman" w:ascii="Times New Roman" w:hAnsi="Times New Roman" w:asciiTheme="majorBidi" w:cstheme="majorBidi" w:hAnsiTheme="majorBidi"/>
          <w:color w:themeColor="text1" w:val="000000"/>
        </w:rPr>
        <w:t>Modern Türkiye’nin Şifresi</w:t>
      </w:r>
      <w:r>
        <w:rPr>
          <w:rFonts w:cs="Times New Roman" w:ascii="Times New Roman" w:hAnsi="Times New Roman" w:asciiTheme="majorBidi" w:cstheme="majorBidi" w:hAnsiTheme="majorBidi"/>
          <w:color w:themeColor="text1" w:val="000000"/>
        </w:rPr>
        <w:t>, 30; Watenpaugh, “The League of Nations’ Rescue,” 1329.</w:t>
      </w:r>
    </w:p>
  </w:footnote>
  <w:footnote w:id="26">
    <w:p>
      <w:pPr>
        <w:pStyle w:val="NormalWeb"/>
        <w:spacing w:before="280" w:after="280"/>
        <w:rPr>
          <w:rFonts w:ascii="Times New Roman" w:hAnsi="Times New Roman" w:cs="Times New Roman" w:asciiTheme="majorBidi" w:cstheme="majorBidi" w:hAnsiTheme="majorBidi"/>
          <w:color w:val="000000"/>
          <w:sz w:val="20"/>
          <w:szCs w:val="20"/>
        </w:rPr>
      </w:pPr>
      <w:r>
        <w:rPr>
          <w:rStyle w:val="FootnoteCharacters"/>
        </w:rPr>
        <w:footnoteRef/>
      </w:r>
      <w:r>
        <w:rPr>
          <w:rFonts w:cs="Times New Roman" w:cstheme="majorBidi"/>
          <w:color w:themeColor="text1" w:val="000000"/>
          <w:sz w:val="20"/>
          <w:szCs w:val="20"/>
        </w:rPr>
        <w:t xml:space="preserve"> </w:t>
      </w:r>
      <w:r>
        <w:rPr>
          <w:rStyle w:val="citation-130"/>
          <w:rFonts w:cs="Times New Roman" w:cstheme="majorBidi"/>
          <w:color w:themeColor="text1" w:val="000000"/>
          <w:sz w:val="20"/>
          <w:szCs w:val="20"/>
        </w:rPr>
        <w:t xml:space="preserve">C1603-499-1101-1200, No:1121, </w:t>
      </w:r>
      <w:r>
        <w:rPr>
          <w:rFonts w:cs="Times New Roman" w:cstheme="majorBidi"/>
          <w:color w:themeColor="text1" w:val="000000"/>
          <w:sz w:val="20"/>
          <w:szCs w:val="20"/>
        </w:rPr>
        <w:t xml:space="preserve">Armenian Orphanage Aleppo of Registry of Inmates. </w:t>
      </w:r>
      <w:hyperlink r:id="rId5">
        <w:r>
          <w:rPr>
            <w:rStyle w:val="Hyperlink"/>
            <w:rFonts w:cs="Times New Roman" w:cstheme="majorBidi"/>
            <w:color w:themeColor="text1" w:val="000000"/>
            <w:sz w:val="20"/>
            <w:szCs w:val="20"/>
          </w:rPr>
          <w:t>https://archives.ungeneva.org/challenge-inline?url=/armenian-orphanage-aleppo-registry-of-inmates-n-1-100</w:t>
        </w:r>
      </w:hyperlink>
      <w:r>
        <w:rPr>
          <w:rFonts w:cs="Times New Roman" w:cstheme="majorBidi"/>
          <w:color w:themeColor="text1" w:val="000000"/>
          <w:sz w:val="20"/>
          <w:szCs w:val="20"/>
        </w:rPr>
        <w:t xml:space="preserve"> (accessed date: 09/04/2026).</w:t>
      </w:r>
    </w:p>
  </w:footnote>
  <w:footnote w:id="27">
    <w:p>
      <w:pPr>
        <w:pStyle w:val="FootnoteText"/>
        <w:rPr>
          <w:rFonts w:ascii="Times New Roman" w:hAnsi="Times New Roman" w:cs="Times New Roman" w:asciiTheme="majorBidi" w:cstheme="majorBidi" w:hAnsiTheme="majorBidi"/>
          <w:b/>
          <w:bCs/>
          <w:color w:themeColor="text1" w:val="000000"/>
          <w:lang w:val="en-US"/>
        </w:rPr>
      </w:pPr>
      <w:r>
        <w:rPr>
          <w:rStyle w:val="FootnoteCharacters"/>
        </w:rPr>
        <w:footnoteRef/>
      </w:r>
      <w:r>
        <w:rPr>
          <w:rFonts w:cs="Times New Roman" w:ascii="Times New Roman" w:hAnsi="Times New Roman" w:asciiTheme="majorBidi" w:cstheme="majorBidi" w:hAnsiTheme="majorBidi"/>
          <w:b/>
          <w:bCs/>
          <w:color w:themeColor="text1" w:val="000000"/>
        </w:rPr>
        <w:t xml:space="preserve"> </w:t>
      </w:r>
      <w:r>
        <w:rPr>
          <w:rStyle w:val="apple-converted-space"/>
          <w:rFonts w:cs="Times New Roman" w:ascii="Times New Roman" w:hAnsi="Times New Roman" w:asciiTheme="majorBidi" w:cstheme="majorBidi" w:hAnsiTheme="majorBidi"/>
          <w:b/>
          <w:bCs/>
          <w:color w:themeColor="text1" w:val="000000"/>
        </w:rPr>
        <w:t> </w:t>
      </w:r>
      <w:r>
        <w:rPr>
          <w:rStyle w:val="Strong"/>
          <w:rFonts w:cs="Times New Roman" w:ascii="Times New Roman" w:hAnsi="Times New Roman" w:asciiTheme="majorBidi" w:cstheme="majorBidi" w:hAnsiTheme="majorBidi"/>
          <w:b w:val="false"/>
          <w:bCs w:val="false"/>
          <w:color w:themeColor="text1" w:val="000000"/>
        </w:rPr>
        <w:t xml:space="preserve">Matthias Bjørnlund &amp; Elyse Semerdjian, “Karen Jeppe (1876-1935): “Mother of Armenians”,” Houshamadyan, </w:t>
      </w:r>
      <w:hyperlink r:id="rId6">
        <w:r>
          <w:rPr>
            <w:rStyle w:val="Hyperlink"/>
            <w:rFonts w:cs="Times New Roman" w:ascii="Times New Roman" w:hAnsi="Times New Roman" w:asciiTheme="majorBidi" w:cstheme="majorBidi" w:hAnsiTheme="majorBidi"/>
          </w:rPr>
          <w:t>https://www.houshamadyan.org/mapottomanempire/vilayetaleppo/sandjak-of-aleppo/religion/missionaries.html</w:t>
        </w:r>
      </w:hyperlink>
      <w:r>
        <w:rPr>
          <w:rStyle w:val="Strong"/>
          <w:rFonts w:cs="Times New Roman" w:ascii="Times New Roman" w:hAnsi="Times New Roman" w:asciiTheme="majorBidi" w:cstheme="majorBidi" w:hAnsiTheme="majorBidi"/>
          <w:b w:val="false"/>
          <w:bCs w:val="false"/>
          <w:color w:themeColor="text1" w:val="000000"/>
        </w:rPr>
        <w:t xml:space="preserve"> (accessed date: 09/04/2026). </w:t>
      </w:r>
    </w:p>
  </w:footnote>
  <w:footnote w:id="28">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color w:themeColor="text1" w:val="000000"/>
          <w:shd w:fill="FFFFFF" w:val="clear"/>
        </w:rPr>
        <w:t>Edita Gzoyan and Regina Galustyan, “</w:t>
      </w:r>
      <w:r>
        <w:rPr>
          <w:rStyle w:val="Emphasis"/>
          <w:rFonts w:cs="Times New Roman" w:ascii="Times New Roman" w:hAnsi="Times New Roman" w:asciiTheme="majorBidi" w:cstheme="majorBidi" w:hAnsiTheme="majorBidi"/>
          <w:i w:val="false"/>
          <w:iCs w:val="false"/>
          <w:color w:themeColor="text1" w:val="000000"/>
        </w:rPr>
        <w:t>Forced Marriages as a Tool of Genocide: the Armenian Case</w:t>
      </w:r>
      <w:r>
        <w:rPr>
          <w:rFonts w:cs="Times New Roman" w:ascii="Times New Roman" w:hAnsi="Times New Roman" w:asciiTheme="majorBidi" w:cstheme="majorBidi" w:hAnsiTheme="majorBidi"/>
          <w:color w:themeColor="text1" w:val="000000"/>
          <w:shd w:fill="FFFFFF" w:val="clear"/>
        </w:rPr>
        <w:t xml:space="preserve">,” </w:t>
      </w:r>
      <w:r>
        <w:rPr>
          <w:rFonts w:cs="Times New Roman" w:ascii="Times New Roman" w:hAnsi="Times New Roman" w:asciiTheme="majorBidi" w:cstheme="majorBidi" w:hAnsiTheme="majorBidi"/>
          <w:i/>
          <w:iCs/>
          <w:color w:themeColor="text1" w:val="000000"/>
          <w:shd w:fill="FFFFFF" w:val="clear"/>
        </w:rPr>
        <w:t>The. International Journal of Human Rights</w:t>
      </w:r>
      <w:r>
        <w:rPr>
          <w:rFonts w:cs="Times New Roman" w:ascii="Times New Roman" w:hAnsi="Times New Roman" w:asciiTheme="majorBidi" w:cstheme="majorBidi" w:hAnsiTheme="majorBidi"/>
          <w:color w:themeColor="text1" w:val="000000"/>
          <w:shd w:fill="FFFFFF" w:val="clear"/>
        </w:rPr>
        <w:t>, Vol.25, no. 10, p.X</w:t>
      </w:r>
    </w:p>
  </w:footnote>
  <w:footnote w:id="29">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Samuel Dolbee, “</w:t>
      </w:r>
      <w:r>
        <w:rPr>
          <w:rFonts w:cs="Times New Roman" w:ascii="Times New Roman" w:hAnsi="Times New Roman" w:asciiTheme="majorBidi" w:cstheme="majorBidi" w:hAnsiTheme="majorBidi"/>
          <w:color w:val="2A2A2A"/>
          <w:shd w:fill="FFFFFF" w:val="clear"/>
        </w:rPr>
        <w:t>The Desert at the End of Empire: An Environmental History of the Armenian Genocide</w:t>
      </w:r>
      <w:r>
        <w:rPr>
          <w:rStyle w:val="apple-converted-space"/>
          <w:rFonts w:cs="Times New Roman" w:ascii="Times New Roman" w:hAnsi="Times New Roman" w:asciiTheme="majorBidi" w:cstheme="majorBidi" w:hAnsiTheme="majorBidi"/>
          <w:color w:val="2A2A2A"/>
          <w:shd w:fill="FFFFFF" w:val="clear"/>
        </w:rPr>
        <w:t xml:space="preserve">,” </w:t>
      </w:r>
      <w:r>
        <w:rPr>
          <w:rStyle w:val="Emphasis"/>
          <w:rFonts w:cs="Times New Roman" w:ascii="Times New Roman" w:hAnsi="Times New Roman" w:asciiTheme="majorBidi" w:cstheme="majorBidi" w:hAnsiTheme="majorBidi"/>
          <w:color w:val="2A2A2A"/>
        </w:rPr>
        <w:t>Past &amp; Present</w:t>
      </w:r>
      <w:r>
        <w:rPr>
          <w:rFonts w:cs="Times New Roman" w:ascii="Times New Roman" w:hAnsi="Times New Roman" w:asciiTheme="majorBidi" w:cstheme="majorBidi" w:hAnsiTheme="majorBidi"/>
          <w:color w:val="2A2A2A"/>
          <w:shd w:fill="FFFFFF" w:val="clear"/>
        </w:rPr>
        <w:t>, Volume 247, Issue 1, May 2020, p.</w:t>
      </w:r>
      <w:r>
        <w:rPr>
          <w:rFonts w:cs="Times New Roman" w:ascii="Times New Roman" w:hAnsi="Times New Roman" w:asciiTheme="majorBidi" w:cstheme="majorBidi" w:hAnsiTheme="majorBidi"/>
        </w:rPr>
        <w:t>198-202.</w:t>
      </w:r>
    </w:p>
  </w:footnote>
  <w:footnote w:id="30">
    <w:p>
      <w:pPr>
        <w:pStyle w:val="Normal"/>
        <w:rPr>
          <w:rFonts w:ascii="Times New Roman" w:hAnsi="Times New Roman" w:cs="Times New Roman" w:asciiTheme="majorBidi" w:cstheme="majorBidi" w:hAnsiTheme="majorBidi"/>
          <w:sz w:val="20"/>
          <w:szCs w:val="20"/>
        </w:rPr>
      </w:pPr>
      <w:r>
        <w:rPr>
          <w:rStyle w:val="FootnoteCharacters"/>
        </w:rPr>
        <w:footnoteRef/>
      </w:r>
      <w:r>
        <w:rPr>
          <w:rFonts w:cs="Times New Roman" w:cstheme="majorBidi"/>
          <w:sz w:val="20"/>
          <w:szCs w:val="20"/>
        </w:rPr>
        <w:t xml:space="preserve"> </w:t>
      </w:r>
      <w:r>
        <w:rPr>
          <w:rFonts w:cs="Times New Roman" w:cstheme="majorBidi"/>
          <w:sz w:val="20"/>
          <w:szCs w:val="20"/>
        </w:rPr>
        <w:t>Hasmik Grigoryan, “Food Procurement Methods During the Armenian Genocide as Expressions of “Unarmed Resistance: Children’s Experiences,” p.49.</w:t>
      </w:r>
    </w:p>
  </w:footnote>
  <w:footnote w:id="31">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lang w:val="en-US"/>
        </w:rPr>
        <w:t xml:space="preserve">Giorgio Agamben, </w:t>
      </w:r>
      <w:r>
        <w:rPr>
          <w:rFonts w:cs="Times New Roman" w:ascii="Times New Roman" w:hAnsi="Times New Roman" w:asciiTheme="majorBidi" w:cstheme="majorBidi" w:hAnsiTheme="majorBidi"/>
          <w:i/>
          <w:iCs/>
          <w:lang w:val="en-US"/>
        </w:rPr>
        <w:t>Homo Sacer: Sovereign Power and Bare Life.</w:t>
      </w:r>
      <w:r>
        <w:rPr>
          <w:rFonts w:cs="Times New Roman" w:ascii="Times New Roman" w:hAnsi="Times New Roman" w:asciiTheme="majorBidi" w:cstheme="majorBidi" w:hAnsiTheme="majorBidi"/>
          <w:lang w:val="en-US"/>
        </w:rPr>
        <w:t xml:space="preserve"> Stanford University Press, 1998. </w:t>
      </w:r>
    </w:p>
  </w:footnote>
  <w:footnote w:id="32">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Yervant Odian, </w:t>
      </w:r>
      <w:r>
        <w:rPr>
          <w:rFonts w:cs="Times New Roman" w:ascii="Times New Roman" w:hAnsi="Times New Roman" w:asciiTheme="majorBidi" w:cstheme="majorBidi" w:hAnsiTheme="majorBidi"/>
          <w:i/>
          <w:iCs/>
        </w:rPr>
        <w:t xml:space="preserve">Accursed Years: My Exile and Return from Der-Zor 1914-1919. </w:t>
      </w:r>
      <w:r>
        <w:rPr>
          <w:rFonts w:cs="Times New Roman" w:ascii="Times New Roman" w:hAnsi="Times New Roman" w:asciiTheme="majorBidi" w:cstheme="majorBidi" w:hAnsiTheme="majorBidi"/>
        </w:rPr>
        <w:t>(London: Gomidas Institute, 2009), p.96.</w:t>
      </w:r>
    </w:p>
  </w:footnote>
  <w:footnote w:id="33">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i/>
          <w:iCs/>
          <w:lang w:val="en-US"/>
        </w:rPr>
        <w:t>Ibid</w:t>
      </w:r>
      <w:r>
        <w:rPr>
          <w:rFonts w:cs="Times New Roman" w:ascii="Times New Roman" w:hAnsi="Times New Roman" w:asciiTheme="majorBidi" w:cstheme="majorBidi" w:hAnsiTheme="majorBidi"/>
          <w:lang w:val="en-US"/>
        </w:rPr>
        <w:t>, p.99.</w:t>
      </w:r>
    </w:p>
  </w:footnote>
  <w:footnote w:id="34">
    <w:p>
      <w:pPr>
        <w:pStyle w:val="Heading1"/>
        <w:rPr>
          <w:rFonts w:ascii="Times New Roman" w:hAnsi="Times New Roman" w:cs="Times New Roman" w:asciiTheme="majorBidi" w:cstheme="majorBidi" w:hAnsiTheme="majorBidi"/>
          <w:b w:val="false"/>
          <w:bCs w:val="false"/>
          <w:color w:themeColor="text1" w:val="000000"/>
          <w:sz w:val="20"/>
          <w:szCs w:val="20"/>
        </w:rPr>
      </w:pPr>
      <w:r>
        <w:rPr>
          <w:rStyle w:val="FootnoteCharacters"/>
        </w:rPr>
        <w:footnoteRef/>
      </w:r>
      <w:r>
        <w:rPr>
          <w:rFonts w:cs="Times New Roman" w:cstheme="majorBidi"/>
          <w:b w:val="false"/>
          <w:bCs w:val="false"/>
          <w:color w:themeColor="text1" w:val="000000"/>
          <w:sz w:val="20"/>
          <w:szCs w:val="20"/>
        </w:rPr>
        <w:t xml:space="preserve"> </w:t>
      </w:r>
      <w:r>
        <w:rPr>
          <w:rFonts w:cs="Times New Roman" w:cstheme="majorBidi"/>
          <w:b w:val="false"/>
          <w:bCs w:val="false"/>
          <w:color w:themeColor="text1" w:val="000000"/>
          <w:sz w:val="20"/>
          <w:szCs w:val="20"/>
        </w:rPr>
        <w:t xml:space="preserve">M.Talha Cicek, </w:t>
      </w:r>
      <w:r>
        <w:rPr>
          <w:rStyle w:val="italic"/>
          <w:rFonts w:cs="Times New Roman" w:cstheme="majorBidi"/>
          <w:b w:val="false"/>
          <w:bCs w:val="false"/>
          <w:i/>
          <w:iCs/>
          <w:color w:themeColor="text1" w:val="000000"/>
          <w:sz w:val="20"/>
          <w:szCs w:val="20"/>
        </w:rPr>
        <w:t>War and State Formation in Syria: Cemal Pasha's Governorate during World War I, 1914–1917</w:t>
      </w:r>
      <w:r>
        <w:rPr>
          <w:rStyle w:val="apple-converted-space"/>
          <w:rFonts w:cs="Times New Roman" w:cstheme="majorBidi"/>
          <w:b w:val="false"/>
          <w:bCs w:val="false"/>
          <w:color w:themeColor="text1" w:val="000000"/>
          <w:sz w:val="20"/>
          <w:szCs w:val="20"/>
        </w:rPr>
        <w:t> </w:t>
      </w:r>
      <w:r>
        <w:rPr>
          <w:rFonts w:cs="Times New Roman" w:cstheme="majorBidi"/>
          <w:b w:val="false"/>
          <w:bCs w:val="false"/>
          <w:color w:themeColor="text1" w:val="000000"/>
          <w:sz w:val="20"/>
          <w:szCs w:val="20"/>
        </w:rPr>
        <w:t xml:space="preserve">(New York: Routledge, 2014), p.96. Umit Kurt, “Life and Death from Yemen to the Euphrates: An Evaluation on Syrian Governor Cemal Pasha,” </w:t>
      </w:r>
      <w:r>
        <w:rPr>
          <w:rFonts w:cs="Times New Roman" w:cstheme="majorBidi"/>
          <w:b w:val="false"/>
          <w:bCs w:val="false"/>
          <w:i/>
          <w:iCs/>
          <w:color w:themeColor="text1" w:val="000000"/>
          <w:sz w:val="20"/>
          <w:szCs w:val="20"/>
        </w:rPr>
        <w:t>Journal of Balkan and Near Eastern Studies,</w:t>
      </w:r>
      <w:r>
        <w:rPr>
          <w:rFonts w:cs="Times New Roman" w:cstheme="majorBidi"/>
          <w:b w:val="false"/>
          <w:bCs w:val="false"/>
          <w:color w:themeColor="text1" w:val="000000"/>
          <w:sz w:val="20"/>
          <w:szCs w:val="20"/>
        </w:rPr>
        <w:t xml:space="preserve"> Vol.27, No.6, 2025. pp.813-833.</w:t>
      </w:r>
    </w:p>
  </w:footnote>
  <w:footnote w:id="35">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Armenian Immigration Project, </w:t>
      </w:r>
      <w:hyperlink r:id="rId7">
        <w:r>
          <w:rPr>
            <w:rStyle w:val="Hyperlink"/>
            <w:rFonts w:cs="Times New Roman" w:ascii="Times New Roman" w:hAnsi="Times New Roman" w:asciiTheme="majorBidi" w:cstheme="majorBidi" w:hAnsiTheme="majorBidi"/>
          </w:rPr>
          <w:t>https://markarslan.org/ArmenianImmigrants/Public-ViewDetail-ArmenianImmigrants-Ads.php?submit=View&amp;Staging=&amp;SourcePage=Public-ViewSummary-ArmenianImmigrants-Combined-ByOriginPlace&amp;SelectOriginCountry=Turkey&amp;SelectOriginVSP=Izmit+%28mutesarifat%29&amp;SelectOriginTown=Izmit+%28Baghtchedjik+%5BBardizag%5D%29&amp;SelectSortOrder=ByName&amp;Offset=0&amp;argument1=Hairenik-1919-01-16-1-0</w:t>
        </w:r>
      </w:hyperlink>
      <w:r>
        <w:rPr>
          <w:rFonts w:cs="Times New Roman" w:ascii="Times New Roman" w:hAnsi="Times New Roman" w:asciiTheme="majorBidi" w:cstheme="majorBidi" w:hAnsiTheme="majorBidi"/>
        </w:rPr>
        <w:t xml:space="preserve"> (accessed date: 09/04/2026). </w:t>
      </w:r>
    </w:p>
  </w:footnote>
  <w:footnote w:id="36">
    <w:p>
      <w:pPr>
        <w:pStyle w:val="FootnoteText"/>
        <w:rPr>
          <w:rFonts w:ascii="Times New Roman" w:hAnsi="Times New Roman" w:cs="Times New Roman" w:asciiTheme="majorBidi" w:cstheme="majorBidi" w:hAnsiTheme="majorBidi"/>
          <w:lang w:val="en-US"/>
        </w:rPr>
      </w:pPr>
      <w:r>
        <w:rPr>
          <w:rStyle w:val="FootnoteCharacters"/>
        </w:rPr>
        <w:footnoteRef/>
      </w:r>
      <w:r>
        <w:rPr>
          <w:rFonts w:cs="Times New Roman" w:ascii="Times New Roman" w:hAnsi="Times New Roman" w:asciiTheme="majorBidi" w:cstheme="majorBidi" w:hAnsiTheme="majorBidi"/>
        </w:rPr>
        <w:t xml:space="preserve"> </w:t>
      </w:r>
      <w:r>
        <w:rPr>
          <w:rFonts w:cs="Times New Roman" w:ascii="Times New Roman" w:hAnsi="Times New Roman" w:asciiTheme="majorBidi" w:cstheme="majorBidi" w:hAnsiTheme="majorBidi"/>
        </w:rPr>
        <w:t xml:space="preserve">Petoyan, Nicholas. Interview 61873. Interview by Andrew Kzirian. Visual History Archive, Hovannisian Oral History Collection, June 07, 1972. Accessed September 04, 2026. </w:t>
      </w:r>
      <w:hyperlink r:id="rId8">
        <w:r>
          <w:rPr>
            <w:rStyle w:val="Hyperlink"/>
            <w:rFonts w:cs="Times New Roman" w:ascii="Times New Roman" w:hAnsi="Times New Roman" w:asciiTheme="majorBidi" w:cstheme="majorBidi" w:hAnsiTheme="majorBidi"/>
          </w:rPr>
          <w:t>https://vha-usc-edu.proxy.binghamton.edu/testimony/61873</w:t>
        </w:r>
      </w:hyperlink>
      <w:r>
        <w:rPr>
          <w:rFonts w:cs="Times New Roman" w:ascii="Times New Roman" w:hAnsi="Times New Roman" w:asciiTheme="majorBidi" w:cstheme="majorBidi" w:hAnsiTheme="majorBidi"/>
        </w:rPr>
        <w:t xml:space="preserve"> </w:t>
      </w:r>
    </w:p>
  </w:footnote>
</w:footnotes>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outlineLvl w:val="0"/>
    </w:pPr>
    <w:rPr>
      <w:b/>
      <w:bCs/>
      <w:sz w:val="24"/>
      <w:szCs w:val="24"/>
    </w:rPr>
  </w:style>
  <w:style w:type="paragraph" w:styleId="Heading2">
    <w:name w:val="Heading 2"/>
    <w:basedOn w:val="Normal"/>
    <w:next w:val="Normal"/>
    <w:link w:val="Heading2Char"/>
    <w:uiPriority w:val="9"/>
    <w:semiHidden/>
    <w:unhideWhenUsed/>
    <w:qFormat/>
    <w:rsid w:val="00cb7315"/>
    <w:pPr>
      <w:keepNext w:val="true"/>
      <w:keepLines/>
      <w:spacing w:before="40" w:after="0"/>
      <w:outlineLvl w:val="1"/>
    </w:pPr>
    <w:rPr>
      <w:rFonts w:ascii="Cambria" w:hAnsi="Cambria" w:eastAsia=""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semiHidden/>
    <w:unhideWhenUsed/>
    <w:qFormat/>
    <w:rsid w:val="00243780"/>
    <w:pPr>
      <w:keepNext w:val="true"/>
      <w:keepLines/>
      <w:spacing w:before="40" w:after="0"/>
      <w:outlineLvl w:val="2"/>
    </w:pPr>
    <w:rPr>
      <w:rFonts w:ascii="Cambria" w:hAnsi="Cambria" w:eastAsia="" w:cs="Times New Roman"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apple-converted-space" w:customStyle="1">
    <w:name w:val="apple-converted-space"/>
    <w:basedOn w:val="DefaultParagraphFont"/>
    <w:qFormat/>
    <w:rsid w:val="00f750bc"/>
    <w:rPr/>
  </w:style>
  <w:style w:type="character" w:styleId="Emphasis">
    <w:name w:val="Emphasis"/>
    <w:basedOn w:val="DefaultParagraphFont"/>
    <w:uiPriority w:val="20"/>
    <w:qFormat/>
    <w:rsid w:val="00f750bc"/>
    <w:rPr>
      <w:i/>
      <w:iCs/>
    </w:rPr>
  </w:style>
  <w:style w:type="character" w:styleId="FootnoteTextChar" w:customStyle="1">
    <w:name w:val="Footnote Text Char"/>
    <w:basedOn w:val="DefaultParagraphFont"/>
    <w:link w:val="FootnoteText"/>
    <w:uiPriority w:val="99"/>
    <w:qFormat/>
    <w:rsid w:val="00f750bc"/>
    <w:rPr>
      <w:rFonts w:ascii="Arial" w:hAnsi="Arial" w:eastAsia="Arial" w:cs="Arial"/>
      <w:sz w:val="20"/>
      <w:szCs w:val="20"/>
      <w:lang w:val="en-US"/>
    </w:rPr>
  </w:style>
  <w:style w:type="character" w:styleId="FootnoteCharacters">
    <w:name w:val="Footnote Characters"/>
    <w:basedOn w:val="DefaultParagraphFont"/>
    <w:uiPriority w:val="99"/>
    <w:semiHidden/>
    <w:unhideWhenUsed/>
    <w:qFormat/>
    <w:rsid w:val="00f750bc"/>
    <w:rPr>
      <w:vertAlign w:val="superscript"/>
    </w:rPr>
  </w:style>
  <w:style w:type="character" w:styleId="FootnoteReference">
    <w:name w:val="Footnote Reference"/>
    <w:rPr>
      <w:vertAlign w:val="superscript"/>
    </w:rPr>
  </w:style>
  <w:style w:type="character" w:styleId="FooterChar" w:customStyle="1">
    <w:name w:val="Footer Char"/>
    <w:basedOn w:val="DefaultParagraphFont"/>
    <w:link w:val="Footer"/>
    <w:uiPriority w:val="99"/>
    <w:qFormat/>
    <w:rsid w:val="00f750bc"/>
    <w:rPr>
      <w:rFonts w:ascii="Times New Roman" w:hAnsi="Times New Roman" w:eastAsia="Times New Roman" w:cs="Times New Roman"/>
    </w:rPr>
  </w:style>
  <w:style w:type="character" w:styleId="PageNumber">
    <w:name w:val="Page Number"/>
    <w:basedOn w:val="DefaultParagraphFont"/>
    <w:uiPriority w:val="99"/>
    <w:semiHidden/>
    <w:unhideWhenUsed/>
    <w:rsid w:val="00f750bc"/>
    <w:rPr/>
  </w:style>
  <w:style w:type="character" w:styleId="HeaderChar" w:customStyle="1">
    <w:name w:val="Header Char"/>
    <w:basedOn w:val="DefaultParagraphFont"/>
    <w:link w:val="Header"/>
    <w:uiPriority w:val="99"/>
    <w:qFormat/>
    <w:rsid w:val="007f2722"/>
    <w:rPr>
      <w:rFonts w:ascii="Times New Roman" w:hAnsi="Times New Roman" w:eastAsia="Times New Roman" w:cs="Times New Roman"/>
    </w:rPr>
  </w:style>
  <w:style w:type="character" w:styleId="Strong">
    <w:name w:val="Strong"/>
    <w:basedOn w:val="DefaultParagraphFont"/>
    <w:uiPriority w:val="22"/>
    <w:qFormat/>
    <w:rsid w:val="0077166b"/>
    <w:rPr>
      <w:b/>
      <w:bCs/>
    </w:rPr>
  </w:style>
  <w:style w:type="character" w:styleId="Hyperlink">
    <w:name w:val="Hyperlink"/>
    <w:basedOn w:val="DefaultParagraphFont"/>
    <w:uiPriority w:val="99"/>
    <w:unhideWhenUsed/>
    <w:rsid w:val="00ec507f"/>
    <w:rPr>
      <w:color w:themeColor="hyperlink" w:val="0000FF"/>
      <w:u w:val="single"/>
    </w:rPr>
  </w:style>
  <w:style w:type="character" w:styleId="UnresolvedMention">
    <w:name w:val="Unresolved Mention"/>
    <w:basedOn w:val="DefaultParagraphFont"/>
    <w:uiPriority w:val="99"/>
    <w:semiHidden/>
    <w:unhideWhenUsed/>
    <w:qFormat/>
    <w:rsid w:val="00ec507f"/>
    <w:rPr>
      <w:color w:val="605E5C"/>
      <w:shd w:fill="E1DFDD" w:val="clear"/>
    </w:rPr>
  </w:style>
  <w:style w:type="character" w:styleId="HTMLPreformattedChar" w:customStyle="1">
    <w:name w:val="HTML Preformatted Char"/>
    <w:basedOn w:val="DefaultParagraphFont"/>
    <w:link w:val="HTMLPreformatted"/>
    <w:uiPriority w:val="99"/>
    <w:semiHidden/>
    <w:qFormat/>
    <w:rsid w:val="002c6d67"/>
    <w:rPr>
      <w:rFonts w:ascii="Courier New" w:hAnsi="Courier New" w:eastAsia="Times New Roman" w:cs="Courier New"/>
      <w:sz w:val="20"/>
      <w:szCs w:val="20"/>
    </w:rPr>
  </w:style>
  <w:style w:type="character" w:styleId="z-BottomofFormChar" w:customStyle="1">
    <w:name w:val="z-Bottom of Form Char"/>
    <w:basedOn w:val="DefaultParagraphFont"/>
    <w:link w:val="HTMLBottomofForm"/>
    <w:uiPriority w:val="99"/>
    <w:semiHidden/>
    <w:qFormat/>
    <w:rsid w:val="002c6d67"/>
    <w:rPr>
      <w:rFonts w:ascii="Arial" w:hAnsi="Arial" w:eastAsia="Times New Roman" w:cs="Arial"/>
      <w:vanish/>
      <w:sz w:val="16"/>
      <w:szCs w:val="16"/>
    </w:rPr>
  </w:style>
  <w:style w:type="character" w:styleId="FollowedHyperlink">
    <w:name w:val="FollowedHyperlink"/>
    <w:basedOn w:val="DefaultParagraphFont"/>
    <w:uiPriority w:val="99"/>
    <w:semiHidden/>
    <w:unhideWhenUsed/>
    <w:rsid w:val="00557594"/>
    <w:rPr>
      <w:color w:themeColor="followedHyperlink" w:val="800080"/>
      <w:u w:val="single"/>
    </w:rPr>
  </w:style>
  <w:style w:type="character" w:styleId="Heading3Char" w:customStyle="1">
    <w:name w:val="Heading 3 Char"/>
    <w:basedOn w:val="DefaultParagraphFont"/>
    <w:link w:val="Heading3"/>
    <w:uiPriority w:val="9"/>
    <w:semiHidden/>
    <w:qFormat/>
    <w:rsid w:val="00243780"/>
    <w:rPr>
      <w:rFonts w:ascii="Cambria" w:hAnsi="Cambria" w:eastAsia="" w:cs="Times New Roman" w:asciiTheme="majorHAnsi" w:cstheme="majorBidi" w:eastAsiaTheme="majorEastAsia" w:hAnsiTheme="majorHAnsi"/>
      <w:color w:themeColor="accent1" w:themeShade="7f" w:val="243F60"/>
      <w:sz w:val="24"/>
      <w:szCs w:val="24"/>
    </w:rPr>
  </w:style>
  <w:style w:type="character" w:styleId="gmail-apple-converted-space" w:customStyle="1">
    <w:name w:val="gmail-apple-converted-space"/>
    <w:basedOn w:val="DefaultParagraphFont"/>
    <w:qFormat/>
    <w:rsid w:val="001478a5"/>
    <w:rPr/>
  </w:style>
  <w:style w:type="character" w:styleId="Heading2Char" w:customStyle="1">
    <w:name w:val="Heading 2 Char"/>
    <w:basedOn w:val="DefaultParagraphFont"/>
    <w:link w:val="Heading2"/>
    <w:uiPriority w:val="9"/>
    <w:semiHidden/>
    <w:qFormat/>
    <w:rsid w:val="00cb7315"/>
    <w:rPr>
      <w:rFonts w:ascii="Cambria" w:hAnsi="Cambria" w:eastAsia="" w:cs="Times New Roman" w:asciiTheme="majorHAnsi" w:cstheme="majorBidi" w:eastAsiaTheme="majorEastAsia" w:hAnsiTheme="majorHAnsi"/>
      <w:color w:themeColor="accent1" w:themeShade="bf" w:val="365F91"/>
      <w:sz w:val="26"/>
      <w:szCs w:val="26"/>
    </w:rPr>
  </w:style>
  <w:style w:type="character" w:styleId="delimiter" w:customStyle="1">
    <w:name w:val="delimiter"/>
    <w:basedOn w:val="DefaultParagraphFont"/>
    <w:qFormat/>
    <w:rsid w:val="00b63676"/>
    <w:rPr/>
  </w:style>
  <w:style w:type="character" w:styleId="inqyif" w:customStyle="1">
    <w:name w:val="inqyif"/>
    <w:basedOn w:val="DefaultParagraphFont"/>
    <w:qFormat/>
    <w:rsid w:val="00b63676"/>
    <w:rPr/>
  </w:style>
  <w:style w:type="character" w:styleId="main-heading" w:customStyle="1">
    <w:name w:val="main-heading"/>
    <w:basedOn w:val="DefaultParagraphFont"/>
    <w:qFormat/>
    <w:rsid w:val="00b63676"/>
    <w:rPr/>
  </w:style>
  <w:style w:type="character" w:styleId="citation-130" w:customStyle="1">
    <w:name w:val="citation-130"/>
    <w:basedOn w:val="DefaultParagraphFont"/>
    <w:qFormat/>
    <w:rsid w:val="00643750"/>
    <w:rPr/>
  </w:style>
  <w:style w:type="character" w:styleId="italic" w:customStyle="1">
    <w:name w:val="italic"/>
    <w:basedOn w:val="DefaultParagraphFont"/>
    <w:qFormat/>
    <w:rsid w:val="00371a42"/>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FootnoteText">
    <w:name w:val="Footnote Text"/>
    <w:basedOn w:val="Normal"/>
    <w:link w:val="FootnoteTextChar"/>
    <w:uiPriority w:val="99"/>
    <w:unhideWhenUsed/>
    <w:rsid w:val="00f750bc"/>
    <w:pPr>
      <w:widowControl/>
    </w:pPr>
    <w:rPr>
      <w:rFonts w:ascii="Arial" w:hAnsi="Arial" w:eastAsia="Arial" w:cs="Arial"/>
      <w:sz w:val="20"/>
      <w:szCs w:val="20"/>
      <w:lang w:val="en-US"/>
    </w:rPr>
  </w:style>
  <w:style w:type="paragraph" w:styleId="HeaderandFooter">
    <w:name w:val="Header and Footer"/>
    <w:basedOn w:val="Normal"/>
    <w:qFormat/>
    <w:pPr/>
    <w:rPr/>
  </w:style>
  <w:style w:type="paragraph" w:styleId="Footer">
    <w:name w:val="Footer"/>
    <w:basedOn w:val="Normal"/>
    <w:link w:val="FooterChar"/>
    <w:uiPriority w:val="99"/>
    <w:unhideWhenUsed/>
    <w:rsid w:val="00f750bc"/>
    <w:pPr>
      <w:tabs>
        <w:tab w:val="clear" w:pos="720"/>
        <w:tab w:val="center" w:pos="4680" w:leader="none"/>
        <w:tab w:val="right" w:pos="9360" w:leader="none"/>
      </w:tabs>
    </w:pPr>
    <w:rPr/>
  </w:style>
  <w:style w:type="paragraph" w:styleId="Header">
    <w:name w:val="Header"/>
    <w:basedOn w:val="Normal"/>
    <w:link w:val="HeaderChar"/>
    <w:uiPriority w:val="99"/>
    <w:unhideWhenUsed/>
    <w:rsid w:val="007f2722"/>
    <w:pPr>
      <w:tabs>
        <w:tab w:val="clear" w:pos="720"/>
        <w:tab w:val="center" w:pos="4680" w:leader="none"/>
        <w:tab w:val="right" w:pos="9360" w:leader="none"/>
      </w:tabs>
    </w:pPr>
    <w:rPr/>
  </w:style>
  <w:style w:type="paragraph" w:styleId="NormalWeb">
    <w:name w:val="Normal (Web)"/>
    <w:basedOn w:val="Normal"/>
    <w:uiPriority w:val="99"/>
    <w:unhideWhenUsed/>
    <w:qFormat/>
    <w:rsid w:val="00437493"/>
    <w:pPr>
      <w:widowControl/>
      <w:spacing w:beforeAutospacing="1" w:afterAutospacing="1"/>
    </w:pPr>
    <w:rPr>
      <w:sz w:val="24"/>
      <w:szCs w:val="24"/>
    </w:rPr>
  </w:style>
  <w:style w:type="paragraph" w:styleId="HTMLPreformatted">
    <w:name w:val="HTML Preformatted"/>
    <w:basedOn w:val="Normal"/>
    <w:link w:val="HTMLPreformattedChar"/>
    <w:uiPriority w:val="99"/>
    <w:semiHidden/>
    <w:unhideWhenUsed/>
    <w:qFormat/>
    <w:rsid w:val="002c6d67"/>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TMLBottomofForm">
    <w:name w:val="HTML Bottom of Form"/>
    <w:basedOn w:val="Normal"/>
    <w:next w:val="Normal"/>
    <w:link w:val="z-BottomofFormChar"/>
    <w:uiPriority w:val="99"/>
    <w:semiHidden/>
    <w:unhideWhenUsed/>
    <w:qFormat/>
    <w:rsid w:val="002c6d67"/>
    <w:pPr>
      <w:widowControl/>
      <w:pBdr>
        <w:top w:val="single" w:sz="6" w:space="1" w:color="000000"/>
      </w:pBdr>
      <w:jc w:val="center"/>
    </w:pPr>
    <w:rPr>
      <w:rFonts w:ascii="Arial" w:hAnsi="Arial" w:cs="Arial"/>
      <w:vanish/>
      <w:sz w:val="16"/>
      <w:szCs w:val="16"/>
    </w:rPr>
  </w:style>
  <w:style w:type="paragraph" w:styleId="p1" w:customStyle="1">
    <w:name w:val="p1"/>
    <w:basedOn w:val="Normal"/>
    <w:qFormat/>
    <w:rsid w:val="007c4cf2"/>
    <w:pPr>
      <w:widowControl/>
    </w:pPr>
    <w:rPr>
      <w:rFonts w:ascii="Helvetica" w:hAnsi="Helvetica"/>
      <w:color w:val="141413"/>
      <w:sz w:val="15"/>
      <w:szCs w:val="15"/>
    </w:rPr>
  </w:style>
  <w:style w:type="paragraph" w:styleId="FrameContents">
    <w:name w:val="Frame Contents"/>
    <w:basedOn w:val="Normal"/>
    <w:qFormat/>
    <w:pPr/>
    <w:rPr/>
  </w:style>
  <w:style w:type="paragraph" w:styleId="Comment">
    <w:name w:val="Comment"/>
    <w:basedOn w:val="Normal"/>
    <w:qFormat/>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www.virtual-genocide-memorial.de/region/the-black-sea-marmara-and-aegean-littorals-eastern-thrace-and-central-anatolia/bursa-prousa-vilayet-province/mutesarifat-izmit/kaza-izmit-nicomedia/nahiye-bardizag-bahcecik/" TargetMode="External"/><Relationship Id="rId2" Type="http://schemas.openxmlformats.org/officeDocument/2006/relationships/hyperlink" Target="https://vekillerimiz.com/vekil/ali-suuri-bey-suuri-hosafci-624/" TargetMode="External"/><Relationship Id="rId3" Type="http://schemas.openxmlformats.org/officeDocument/2006/relationships/hyperlink" Target="https://doi.org/10.1111/1469-8676.13096" TargetMode="External"/><Relationship Id="rId4" Type="http://schemas.openxmlformats.org/officeDocument/2006/relationships/hyperlink" Target="https://encyclopedia.1914-1918-online.net/article/labour-battalions-ottoman-empiremiddle-east/" TargetMode="External"/><Relationship Id="rId5" Type="http://schemas.openxmlformats.org/officeDocument/2006/relationships/hyperlink" Target="https://archives.ungeneva.org/challenge-inline?url=/armenian-orphanage-aleppo-registry-of-inmates-n-1-100" TargetMode="External"/><Relationship Id="rId6" Type="http://schemas.openxmlformats.org/officeDocument/2006/relationships/hyperlink" Target="https://www.houshamadyan.org/mapottomanempire/vilayetaleppo/sandjak-of-aleppo/religion/missionaries.html" TargetMode="External"/><Relationship Id="rId7" Type="http://schemas.openxmlformats.org/officeDocument/2006/relationships/hyperlink" Target="https://markarslan.org/ArmenianImmigrants/Public-ViewDetail-ArmenianImmigrants-Ads.php?submit=View&amp;Staging=&amp;SourcePage=Public-ViewSummary-ArmenianImmigrants-Combined-ByOriginPlace&amp;SelectOriginCountry=Turkey&amp;SelectOriginVSP=Izmit+%28mutesarifat%29&amp;SelectOriginTown=Izmit+%28Baghtchedjik+%5BBardizag%5D%29&amp;SelectSortOrder=ByName&amp;Offset=0&amp;argument1=Hairenik-1919-01-16-1-0" TargetMode="External"/><Relationship Id="rId8" Type="http://schemas.openxmlformats.org/officeDocument/2006/relationships/hyperlink" Target="https://vha-usc-edu.proxy.binghamton.edu/testimony/61873"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13F7D2D-3335-D448-9BBC-DF19BAD7B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Application>LibreOffice/24.2.7.2$Linux_X86_64 LibreOffice_project/420$Build-2</Application>
  <AppVersion>15.0000</AppVersion>
  <Pages>38</Pages>
  <Words>10680</Words>
  <Characters>60879</Characters>
  <CharactersWithSpaces>71417</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2026-09-04T21:37:00Z</dcterms:created>
  <dc:creator>Sahika Karatepe</dc:creator>
  <dc:description/>
  <dc:language>en-US</dc:language>
  <cp:lastModifiedBy/>
  <dcterms:modified xsi:type="dcterms:W3CDTF">2026-09-12T18:25:16Z</dcterms:modified>
  <cp:revision>8</cp:revision>
  <dc:subject/>
  <dc:title>Grand Strategy Presentation-4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Word</vt:lpwstr>
  </property>
  <property fmtid="{D5CDD505-2E9C-101B-9397-08002B2CF9AE}" pid="4" name="LastSaved">
    <vt:filetime>2026-04-29T00:00:00Z</vt:filetime>
  </property>
  <property fmtid="{D5CDD505-2E9C-101B-9397-08002B2CF9AE}" pid="5" name="Producer">
    <vt:lpwstr>3-Heights(TM) PDF Security Shell 4.8.25.2 (http://www.pdf-tools.com)</vt:lpwstr>
  </property>
</Properties>
</file>