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comments.xml" ContentType="application/vnd.openxmlformats-officedocument.wordprocessingml.comments+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before="0" w:after="0"/>
        <w:ind w:hanging="0"/>
        <w:jc w:val="both"/>
        <w:rPr/>
      </w:pPr>
      <w:r>
        <w:rPr>
          <w:rFonts w:cs="Times New Roman" w:ascii="Times New Roman" w:hAnsi="Times New Roman" w:asciiTheme="majorBidi" w:cstheme="majorBidi" w:hAnsiTheme="majorBidi"/>
          <w:b/>
          <w:bCs/>
          <w:color w:themeColor="text1" w:val="000000"/>
          <w:sz w:val="24"/>
          <w:szCs w:val="24"/>
        </w:rPr>
        <w:t xml:space="preserve">II. Producing Expropriability </w:t>
      </w:r>
    </w:p>
    <w:p>
      <w:pPr>
        <w:pStyle w:val="Normal"/>
        <w:bidi w:val="0"/>
        <w:spacing w:lineRule="auto" w:line="480" w:before="0" w:after="0"/>
        <w:ind w:firstLine="720"/>
        <w:jc w:val="both"/>
        <w:rPr/>
      </w:pPr>
      <w:r>
        <w:rPr>
          <w:rFonts w:cs="Times New Roman" w:ascii="Times New Roman" w:hAnsi="Times New Roman" w:asciiTheme="majorBidi" w:cstheme="majorBidi" w:hAnsiTheme="majorBidi"/>
          <w:color w:themeColor="text1" w:val="000000"/>
          <w:sz w:val="24"/>
          <w:szCs w:val="24"/>
        </w:rPr>
        <w:t xml:space="preserve">The deportation and destruction of Bardizag’s Armenian community in August 1915 was not an uncoordinated outburst of wartime violence but a meticulously sequenced administrative operation. This section analyzes the operational machinery of the colonial boomerang as it was deployed in the Marmara region, tracing how techniques of counterinsurgency, dispossession, and physical terror migrated from the imperial frontiers back to the political center. Before a population’s property, labor, and persons could be appropriated, the state first had to render that population expropriable: incapable of organizing resistance, incapable of self-defense, and incapable of protecting what it owned. </w:t>
      </w:r>
      <w:commentRangeStart w:id="0"/>
      <w:r>
        <w:rPr>
          <w:rFonts w:cs="Times New Roman" w:ascii="Times New Roman" w:hAnsi="Times New Roman" w:asciiTheme="majorBidi" w:cstheme="majorBidi" w:hAnsiTheme="majorBidi"/>
          <w:color w:themeColor="text1" w:val="000000"/>
          <w:sz w:val="24"/>
          <w:szCs w:val="24"/>
        </w:rPr>
        <w:t xml:space="preserve">That operation followed a clear sequence: </w:t>
      </w:r>
      <w:r>
        <w:rPr>
          <w:rFonts w:cs="Times New Roman" w:ascii="Times New Roman" w:hAnsi="Times New Roman" w:asciiTheme="majorBidi" w:cstheme="majorBidi" w:hAnsiTheme="majorBidi"/>
          <w:color w:themeColor="text1" w:val="000000"/>
          <w:sz w:val="24"/>
          <w:szCs w:val="24"/>
        </w:rPr>
        <w:t>bring in specialized perpetrators carrying frontier-tested repertoires of violence</w:t>
      </w:r>
      <w:r>
        <w:rPr>
          <w:rFonts w:cs="Times New Roman" w:ascii="Times New Roman" w:hAnsi="Times New Roman" w:asciiTheme="majorBidi" w:cstheme="majorBidi" w:hAnsiTheme="majorBidi"/>
          <w:color w:themeColor="text1" w:val="000000"/>
          <w:sz w:val="24"/>
          <w:szCs w:val="24"/>
        </w:rPr>
        <w:t xml:space="preserve">, isolate the population, disarm it, and only then extract its wealth. This section reconstructs that sequence </w:t>
      </w:r>
      <w:r>
        <w:rPr>
          <w:rFonts w:cs="Times New Roman" w:ascii="Times New Roman" w:hAnsi="Times New Roman" w:asciiTheme="majorBidi" w:cstheme="majorBidi" w:hAnsiTheme="majorBidi"/>
          <w:color w:themeColor="text1" w:val="000000"/>
          <w:sz w:val="24"/>
          <w:szCs w:val="24"/>
        </w:rPr>
        <w:t>through a narration of three separate but</w:t>
      </w:r>
      <w:r>
        <w:rPr>
          <w:rFonts w:cs="Times New Roman" w:ascii="Times New Roman" w:hAnsi="Times New Roman" w:asciiTheme="majorBidi" w:cstheme="majorBidi" w:hAnsiTheme="majorBidi"/>
          <w:color w:themeColor="text1" w:val="000000"/>
          <w:sz w:val="24"/>
          <w:szCs w:val="24"/>
        </w:rPr>
        <w:t xml:space="preserve"> historically entangled moments — </w:t>
      </w:r>
      <w:r>
        <w:rPr>
          <w:rFonts w:cs="Times New Roman" w:ascii="Times New Roman" w:hAnsi="Times New Roman" w:asciiTheme="majorBidi" w:cstheme="majorBidi" w:hAnsiTheme="majorBidi"/>
          <w:color w:themeColor="text1" w:val="000000"/>
          <w:sz w:val="24"/>
          <w:szCs w:val="24"/>
        </w:rPr>
        <w:t>the removal of intellectual and communal leadership</w:t>
      </w:r>
      <w:r>
        <w:rPr>
          <w:rFonts w:cs="Times New Roman" w:ascii="Times New Roman" w:hAnsi="Times New Roman" w:asciiTheme="majorBidi" w:cstheme="majorBidi" w:hAnsiTheme="majorBidi"/>
          <w:color w:themeColor="text1" w:val="000000"/>
          <w:sz w:val="24"/>
          <w:szCs w:val="24"/>
        </w:rPr>
        <w:t>, a highly ritualized campaign of staged disarmament that functioned as a fiscal instrument of plunder, and the final transition to a coerced marketplace designed to strip the community of its remaining resources under radical duress.</w:t>
      </w:r>
      <w:commentRangeEnd w:id="0"/>
      <w:r>
        <w:commentReference w:id="0"/>
      </w:r>
      <w:r>
        <w:rPr>
          <w:rFonts w:cs="Times New Roman" w:ascii="Times New Roman" w:hAnsi="Times New Roman" w:asciiTheme="majorBidi" w:cstheme="majorBidi" w:hAnsiTheme="majorBidi"/>
          <w:color w:themeColor="text1" w:val="000000"/>
          <w:sz w:val="24"/>
          <w:szCs w:val="24"/>
        </w:rPr>
      </w:r>
    </w:p>
    <w:p>
      <w:pPr>
        <w:pStyle w:val="Normal"/>
        <w:bidi w:val="0"/>
        <w:spacing w:lineRule="auto" w:line="480" w:before="0" w:after="0"/>
        <w:ind w:hanging="0"/>
        <w:jc w:val="both"/>
        <w:rPr>
          <w:rFonts w:ascii="Times New Roman" w:hAnsi="Times New Roman" w:cs="Times New Roman" w:asciiTheme="majorBidi" w:cstheme="majorBidi" w:hAnsiTheme="majorBidi"/>
          <w:b/>
          <w:bCs/>
          <w:i/>
          <w:i/>
          <w:iCs/>
          <w:color w:themeColor="text1" w:val="000000"/>
          <w:sz w:val="24"/>
          <w:szCs w:val="24"/>
        </w:rPr>
      </w:pPr>
      <w:r>
        <w:rPr/>
      </w:r>
    </w:p>
    <w:p>
      <w:pPr>
        <w:pStyle w:val="Normal"/>
        <w:bidi w:val="0"/>
        <w:spacing w:lineRule="auto" w:line="480" w:before="0" w:after="0"/>
        <w:ind w:hanging="0"/>
        <w:jc w:val="both"/>
        <w:rPr/>
      </w:pPr>
      <w:r>
        <w:rPr>
          <w:rFonts w:cs="Times New Roman" w:ascii="Times New Roman" w:hAnsi="Times New Roman" w:asciiTheme="majorBidi" w:cstheme="majorBidi" w:hAnsiTheme="majorBidi"/>
          <w:b/>
          <w:bCs/>
          <w:i/>
          <w:iCs/>
          <w:color w:themeColor="text1" w:val="000000"/>
          <w:sz w:val="24"/>
          <w:szCs w:val="24"/>
        </w:rPr>
        <w:t>Removing leadership</w:t>
      </w:r>
    </w:p>
    <w:p>
      <w:pPr>
        <w:pStyle w:val="Normal"/>
        <w:bidi w:val="0"/>
        <w:spacing w:lineRule="auto" w:line="480" w:before="0" w:after="0"/>
        <w:ind w:firstLine="720"/>
        <w:jc w:val="both"/>
        <w:rPr/>
      </w:pPr>
      <w:r>
        <w:rPr>
          <w:rFonts w:cs="Times New Roman" w:ascii="Times New Roman" w:hAnsi="Times New Roman" w:asciiTheme="majorBidi" w:cstheme="majorBidi" w:hAnsiTheme="majorBidi"/>
          <w:color w:themeColor="text1" w:val="000000"/>
          <w:sz w:val="24"/>
          <w:szCs w:val="24"/>
        </w:rPr>
        <w:t>The first stage was the targeted removal of Armenian intellectual and communal leadership. The arrests of April 24, 1915, in Constantinople, which targeted Armenian intellectuals, clergy, and political leaders, established a pattern reproduced in the provinces: arrest, removal from the community, deportation under guard to the interior, and execution beyond public scrutiny. Bardizag’s leaders were subjected to this same process. Among those arrested were Dr. Der Stepanian, the teacher Karnig Bodourian, Boghos Kourouyian, and Mihran Der-Garabedian. They were removed from the community under military guard and deported to remote locations in the Anatolian interior, including the high-security prison at Ayas.</w:t>
      </w:r>
      <w:r>
        <w:rPr>
          <w:rStyle w:val="FootnoteReference"/>
          <w:rFonts w:cs="Times New Roman" w:ascii="Times New Roman" w:hAnsi="Times New Roman" w:asciiTheme="majorBidi" w:cstheme="majorBidi" w:hAnsiTheme="majorBidi"/>
          <w:color w:themeColor="text1" w:val="000000"/>
          <w:sz w:val="24"/>
          <w:szCs w:val="24"/>
        </w:rPr>
        <w:footnoteReference w:id="2"/>
      </w:r>
    </w:p>
    <w:p>
      <w:pPr>
        <w:pStyle w:val="Normal"/>
        <w:bidi w:val="0"/>
        <w:spacing w:lineRule="auto" w:line="480" w:before="0" w:after="0"/>
        <w:ind w:firstLine="720"/>
        <w:jc w:val="both"/>
        <w:rPr/>
      </w:pPr>
      <w:r>
        <w:rPr>
          <w:rFonts w:cs="Times New Roman" w:ascii="Times New Roman" w:hAnsi="Times New Roman" w:asciiTheme="majorBidi" w:cstheme="majorBidi" w:hAnsiTheme="majorBidi"/>
          <w:color w:themeColor="text1" w:val="000000"/>
          <w:sz w:val="24"/>
          <w:szCs w:val="24"/>
        </w:rPr>
        <w:t>Their removal did more than eliminate individual leaders. It severed Bardizag from the networks of authority and knowledge through which the community organized itself. The absence of bodies, graves, and official acknowledgment then transformed their deaths into permanent disappearances. As Özgür Sevgi Göral’s work on state-sponsored disappearance demonstrates, this uncertainty can itself function as a mechanism of domination: by withholding knowledge of a victim’s fate, the state extends violence beyond the act of killing, suspending families and communities between mourning and hope.</w:t>
      </w:r>
      <w:r>
        <w:rPr>
          <w:rStyle w:val="FootnoteReference"/>
          <w:rFonts w:cs="Times New Roman" w:ascii="Times New Roman" w:hAnsi="Times New Roman" w:asciiTheme="majorBidi" w:cstheme="majorBidi" w:hAnsiTheme="majorBidi"/>
          <w:color w:themeColor="text1" w:val="000000"/>
          <w:sz w:val="24"/>
          <w:szCs w:val="24"/>
        </w:rPr>
        <w:footnoteReference w:id="3"/>
      </w:r>
      <w:r>
        <w:rPr>
          <w:rFonts w:cs="Times New Roman" w:ascii="Times New Roman" w:hAnsi="Times New Roman" w:asciiTheme="majorBidi" w:cstheme="majorBidi" w:hAnsiTheme="majorBidi"/>
          <w:color w:themeColor="text1" w:val="000000"/>
          <w:sz w:val="24"/>
          <w:szCs w:val="24"/>
        </w:rPr>
        <w:t xml:space="preserve"> In Bardizag, the disappearance of communal leaders therefore operated both materially and psychologically, weakening the community’s capacity to organize while generating fear and uncertainty among those who remained. The distance between arrest and execution was consequently not merely logistical: by transporting leaders to remote sites, the state deprived their communities of witnesses, obscured the circumstances of their deaths, and disrupted conventional practices of mourning. Disappearance thus became part of the process of communal destruction rather than simply a means of concealing violence after the fact. This disappearance had a long postwar afterlife of its own; for families who spent years trying to learn what had happened to the missing, which is taken up in Section VI, alongside the other institutional afterlives of the genocide.</w:t>
      </w:r>
    </w:p>
    <w:p>
      <w:pPr>
        <w:pStyle w:val="Normal"/>
        <w:bidi w:val="0"/>
        <w:spacing w:lineRule="auto" w:line="480" w:before="0" w:after="0"/>
        <w:ind w:firstLine="720"/>
        <w:jc w:val="both"/>
        <w:rPr>
          <w:rFonts w:ascii="Times New Roman" w:hAnsi="Times New Roman" w:cs="Times New Roman" w:asciiTheme="majorBidi" w:cstheme="majorBidi" w:hAnsiTheme="majorBidi"/>
          <w:b/>
          <w:bCs/>
          <w:i/>
          <w:i/>
          <w:iCs/>
          <w:color w:themeColor="text1" w:val="000000"/>
          <w:sz w:val="24"/>
          <w:szCs w:val="24"/>
        </w:rPr>
      </w:pPr>
      <w:r>
        <w:rPr/>
      </w:r>
    </w:p>
    <w:p>
      <w:pPr>
        <w:pStyle w:val="Normal"/>
        <w:bidi w:val="0"/>
        <w:spacing w:lineRule="auto" w:line="480" w:before="0" w:after="0"/>
        <w:ind w:hanging="0"/>
        <w:jc w:val="both"/>
        <w:rPr/>
      </w:pPr>
      <w:r>
        <w:rPr>
          <w:rFonts w:cs="Times New Roman" w:ascii="Times New Roman" w:hAnsi="Times New Roman" w:asciiTheme="majorBidi" w:cstheme="majorBidi" w:hAnsiTheme="majorBidi"/>
          <w:b/>
          <w:bCs/>
          <w:i/>
          <w:iCs/>
          <w:color w:themeColor="text1" w:val="000000"/>
          <w:sz w:val="24"/>
          <w:szCs w:val="24"/>
        </w:rPr>
        <w:t>Staged disarmament</w:t>
      </w:r>
    </w:p>
    <w:p>
      <w:pPr>
        <w:pStyle w:val="NormalWeb"/>
        <w:bidi w:val="0"/>
        <w:spacing w:lineRule="auto" w:line="480" w:before="0" w:after="0"/>
        <w:ind w:firstLine="720"/>
        <w:jc w:val="start"/>
        <w:rPr/>
      </w:pPr>
      <w:r>
        <w:rPr>
          <w:rFonts w:cs="Times New Roman" w:ascii="Times New Roman" w:hAnsi="Times New Roman" w:asciiTheme="majorBidi" w:cstheme="majorBidi" w:hAnsiTheme="majorBidi"/>
        </w:rPr>
        <w:t xml:space="preserve">According to </w:t>
      </w:r>
      <w:r>
        <w:rPr>
          <w:rFonts w:cs="Times New Roman" w:ascii="Times New Roman" w:hAnsi="Times New Roman" w:asciiTheme="majorBidi" w:cstheme="majorBidi" w:hAnsiTheme="majorBidi"/>
        </w:rPr>
        <w:t xml:space="preserve">the claims of </w:t>
      </w:r>
      <w:r>
        <w:rPr>
          <w:rFonts w:cs="Times New Roman" w:ascii="Times New Roman" w:hAnsi="Times New Roman" w:asciiTheme="majorBidi" w:cstheme="majorBidi" w:hAnsiTheme="majorBidi"/>
        </w:rPr>
        <w:t xml:space="preserve">Turkish nationalist historiography, the deportations of Armenians during World War I were defensive and necessary measures taken to preserve the security of the Ottoman Empire. From this perspective, the Ottomans authorities faced a dual threat: </w:t>
      </w:r>
      <w:r>
        <w:rPr>
          <w:rFonts w:cs="Times New Roman" w:ascii="Times New Roman" w:hAnsi="Times New Roman" w:asciiTheme="majorBidi" w:cstheme="majorBidi" w:hAnsiTheme="majorBidi"/>
          <w:color w:val="000000"/>
        </w:rPr>
        <w:t xml:space="preserve">an advancing Russian army on the eastern front </w:t>
      </w:r>
      <w:r>
        <w:rPr>
          <w:rFonts w:cs="Times New Roman" w:ascii="Times New Roman" w:hAnsi="Times New Roman" w:asciiTheme="majorBidi" w:cstheme="majorBidi" w:hAnsiTheme="majorBidi"/>
          <w:color w:val="000000"/>
        </w:rPr>
        <w:t>as well as</w:t>
      </w:r>
      <w:r>
        <w:rPr>
          <w:rFonts w:cs="Times New Roman" w:ascii="Times New Roman" w:hAnsi="Times New Roman" w:asciiTheme="majorBidi" w:cstheme="majorBidi" w:hAnsiTheme="majorBidi"/>
          <w:color w:val="000000"/>
        </w:rPr>
        <w:t xml:space="preserve"> internal unrest allegedly instigated by Armenian revolutionary groups such as the Dashnaks (</w:t>
      </w:r>
      <w:r>
        <w:rPr>
          <w:rFonts w:cs="Times New Roman" w:ascii="Times New Roman" w:hAnsi="Times New Roman" w:asciiTheme="majorBidi" w:cstheme="majorBidi" w:hAnsiTheme="majorBidi"/>
          <w:i/>
          <w:iCs/>
          <w:color w:val="000000"/>
        </w:rPr>
        <w:t>Dashnaktsutyun</w:t>
      </w:r>
      <w:r>
        <w:rPr>
          <w:rFonts w:cs="Times New Roman" w:ascii="Times New Roman" w:hAnsi="Times New Roman" w:asciiTheme="majorBidi" w:cstheme="majorBidi" w:hAnsiTheme="majorBidi"/>
          <w:color w:val="000000"/>
        </w:rPr>
        <w:t xml:space="preserve">) committees. Advocates of this view argue that Armenians in regions like İzmit, Adapazarı, and the eastern provinces engaged in espionage, rebellion, and armed collaboration with Russia, thereby endangering the stability of the state. </w:t>
      </w:r>
      <w:r>
        <w:rPr>
          <w:rStyle w:val="FootnoteReference"/>
          <w:rFonts w:cs="Times New Roman" w:ascii="Times New Roman" w:hAnsi="Times New Roman" w:asciiTheme="majorBidi" w:cstheme="majorBidi" w:hAnsiTheme="majorBidi"/>
          <w:color w:val="000000"/>
        </w:rPr>
        <w:footnoteReference w:id="4"/>
      </w:r>
      <w:r>
        <w:rPr>
          <w:rFonts w:cs="Times New Roman" w:ascii="Times New Roman" w:hAnsi="Times New Roman" w:asciiTheme="majorBidi" w:cstheme="majorBidi" w:hAnsiTheme="majorBidi"/>
          <w:color w:val="000000"/>
        </w:rPr>
        <w:t xml:space="preserve"> Consequently, the government is portrayed as having implemented the relocations (</w:t>
      </w:r>
      <w:r>
        <w:rPr>
          <w:rFonts w:cs="Times New Roman" w:ascii="Times New Roman" w:hAnsi="Times New Roman" w:asciiTheme="majorBidi" w:cstheme="majorBidi" w:hAnsiTheme="majorBidi"/>
          <w:i/>
          <w:iCs/>
          <w:color w:val="000000"/>
        </w:rPr>
        <w:t>tehcir</w:t>
      </w:r>
      <w:r>
        <w:rPr>
          <w:rFonts w:cs="Times New Roman" w:ascii="Times New Roman" w:hAnsi="Times New Roman" w:asciiTheme="majorBidi" w:cstheme="majorBidi" w:hAnsiTheme="majorBidi"/>
          <w:color w:val="000000"/>
        </w:rPr>
        <w:t>) as a precautionary response to treason and civil disorder rather than as a campaign of persecution.</w:t>
      </w:r>
    </w:p>
    <w:p>
      <w:pPr>
        <w:pStyle w:val="NormalWeb"/>
        <w:bidi w:val="0"/>
        <w:spacing w:lineRule="auto" w:line="480" w:before="0" w:after="0"/>
        <w:ind w:firstLine="720"/>
        <w:jc w:val="start"/>
        <w:rPr/>
      </w:pPr>
      <w:r>
        <w:rPr>
          <w:rFonts w:cs="Times New Roman" w:ascii="Times New Roman" w:hAnsi="Times New Roman" w:asciiTheme="majorBidi" w:cstheme="majorBidi" w:hAnsiTheme="majorBidi"/>
          <w:color w:val="000000"/>
        </w:rPr>
        <w:t>The mutesarrif of İzmit, Deli Mazhar Bey (June 1913–September 1916), dutifully executed Istanbul’s orders, and by early 1915 only a few Armenian notables had been arrested—acts still seen locally as isolated repression. The turning point came with the arrival of two CUP delegates, Ibrahim Bey, former director of Istanbul’s prisons, and Hoca Rifat Effendi. Their mission was to implement mass deportation. On 5/18 July 1915, the interior ministry authorized the expulsion of Armenians from forty-two localities in the İzmit district. This directive was prepared by two months of coordinated measures: the confiscation of arms, which criminalized Armenians and provided legal cover for mass arrests, and propaganda campaigns that framed them as an existential threat.</w:t>
      </w:r>
    </w:p>
    <w:p>
      <w:pPr>
        <w:pStyle w:val="NormalWeb"/>
        <w:bidi w:val="0"/>
        <w:spacing w:lineRule="auto" w:line="480" w:before="0" w:after="0"/>
        <w:ind w:firstLine="720"/>
        <w:jc w:val="start"/>
        <w:rPr/>
      </w:pPr>
      <w:r>
        <w:rPr>
          <w:rFonts w:cs="Times New Roman" w:ascii="Times New Roman" w:hAnsi="Times New Roman" w:asciiTheme="majorBidi" w:cstheme="majorBidi" w:hAnsiTheme="majorBidi"/>
          <w:color w:val="000000"/>
        </w:rPr>
        <w:t xml:space="preserve">As officers of the </w:t>
      </w:r>
      <w:r>
        <w:rPr>
          <w:rFonts w:cs="Times New Roman" w:ascii="Times New Roman" w:hAnsi="Times New Roman" w:asciiTheme="majorBidi" w:cstheme="majorBidi" w:hAnsiTheme="majorBidi"/>
          <w:i/>
          <w:iCs/>
          <w:color w:val="000000"/>
        </w:rPr>
        <w:t xml:space="preserve">Teşkilat-ı Mahsusa </w:t>
      </w:r>
      <w:r>
        <w:rPr>
          <w:rFonts w:cs="Times New Roman" w:ascii="Times New Roman" w:hAnsi="Times New Roman" w:asciiTheme="majorBidi" w:cstheme="majorBidi" w:hAnsiTheme="majorBidi"/>
          <w:color w:val="000000"/>
        </w:rPr>
        <w:t>(Special Organization), Ibrahim Bey and Hoca Rifat directed çete bands under Şevket Bey, Faik Bey (İzmit’s gendarmerie commander), Çeteci Mehmed, Çeteci Edhem, Çeteci Pehlivan, and Hasan Çavuş to carry out the violence on the ground. The “legal” machinery was managed by Major Mustafa Emir, Eşref Adil Bey, Beha Bey, militia head Hüseyin Çavuş, and police chief Reşid Bey, while İzmit’s Unionist elites—naval officer İsmail Ali Bey, lawyer Şerif Bey, and pharmacist Cavid—organized propaganda and orchestrated the expropriation of Armenian assets through the emval-i metruke (abandoned property) commission.</w:t>
      </w:r>
    </w:p>
    <w:p>
      <w:pPr>
        <w:pStyle w:val="NormalWeb"/>
        <w:bidi w:val="0"/>
        <w:spacing w:lineRule="auto" w:line="480" w:before="0" w:after="0"/>
        <w:ind w:firstLine="720"/>
        <w:jc w:val="start"/>
        <w:rPr/>
      </w:pPr>
      <w:r>
        <w:rPr>
          <w:rFonts w:cs="Times New Roman" w:ascii="Times New Roman" w:hAnsi="Times New Roman" w:asciiTheme="majorBidi" w:cstheme="majorBidi" w:hAnsiTheme="majorBidi"/>
          <w:color w:val="000000"/>
        </w:rPr>
        <w:t>This structure amounted to a coordinated apparatus of state and paramilitary collaboration: the Special Organization providing the instruments of terror, the civil and military bureaucracy supplying administrative legitimacy, and local Unionists ensuring the systematic transfer of Armenian property. The first deportations struck Adapazarı rather than İzmit itself. In early May, some fifty leading Armenians were arrested and sent to Sultaniye (Konya province) and Koçhisar. Soon afterward, two Ottoman divisions occupied Armenian neighborhoods—not to maintain order, but to clear the ground for destruction.</w:t>
      </w:r>
    </w:p>
    <w:p>
      <w:pPr>
        <w:pStyle w:val="NormalWeb"/>
        <w:bidi w:val="0"/>
        <w:spacing w:lineRule="auto" w:line="480" w:before="0" w:after="0"/>
        <w:ind w:firstLine="720"/>
        <w:jc w:val="start"/>
        <w:rPr/>
      </w:pPr>
      <w:r>
        <w:rPr>
          <w:rFonts w:cs="Times New Roman" w:ascii="Times New Roman" w:hAnsi="Times New Roman" w:asciiTheme="majorBidi" w:cstheme="majorBidi" w:hAnsiTheme="majorBidi"/>
          <w:color w:val="000000"/>
        </w:rPr>
        <w:t>In late May 1915, the CUP delegate</w:t>
      </w:r>
      <w:r>
        <w:rPr>
          <w:rStyle w:val="apple-converted-space"/>
          <w:rFonts w:cs="Times New Roman" w:ascii="Times New Roman" w:hAnsi="Times New Roman" w:asciiTheme="majorBidi" w:cstheme="majorBidi" w:hAnsiTheme="majorBidi"/>
          <w:color w:val="000000"/>
        </w:rPr>
        <w:t> </w:t>
      </w:r>
      <w:r>
        <w:rPr>
          <w:rStyle w:val="Strong"/>
          <w:rFonts w:cs="Times New Roman" w:ascii="Times New Roman" w:hAnsi="Times New Roman" w:asciiTheme="majorBidi" w:cstheme="majorBidi" w:hAnsiTheme="majorBidi"/>
          <w:b w:val="false"/>
          <w:bCs w:val="false"/>
          <w:color w:val="000000"/>
        </w:rPr>
        <w:t>İbrahim Bey</w:t>
      </w:r>
      <w:r>
        <w:rPr>
          <w:rFonts w:cs="Times New Roman" w:ascii="Times New Roman" w:hAnsi="Times New Roman" w:asciiTheme="majorBidi" w:cstheme="majorBidi" w:hAnsiTheme="majorBidi"/>
          <w:color w:val="000000"/>
        </w:rPr>
        <w:t>, a former</w:t>
      </w:r>
      <w:r>
        <w:rPr>
          <w:rStyle w:val="apple-converted-space"/>
          <w:rFonts w:cs="Times New Roman" w:ascii="Times New Roman" w:hAnsi="Times New Roman" w:asciiTheme="majorBidi" w:cstheme="majorBidi" w:hAnsiTheme="majorBidi"/>
          <w:color w:val="000000"/>
        </w:rPr>
        <w:t> </w:t>
      </w:r>
      <w:r>
        <w:rPr>
          <w:rStyle w:val="Emphasis"/>
          <w:rFonts w:cs="Times New Roman" w:ascii="Times New Roman" w:hAnsi="Times New Roman" w:asciiTheme="majorBidi" w:cstheme="majorBidi" w:hAnsiTheme="majorBidi"/>
          <w:color w:val="000000"/>
        </w:rPr>
        <w:t>çete</w:t>
      </w:r>
      <w:r>
        <w:rPr>
          <w:rStyle w:val="apple-converted-space"/>
          <w:rFonts w:cs="Times New Roman" w:ascii="Times New Roman" w:hAnsi="Times New Roman" w:asciiTheme="majorBidi" w:cstheme="majorBidi" w:hAnsiTheme="majorBidi"/>
          <w:color w:val="000000"/>
        </w:rPr>
        <w:t> </w:t>
      </w:r>
      <w:r>
        <w:rPr>
          <w:rFonts w:cs="Times New Roman" w:ascii="Times New Roman" w:hAnsi="Times New Roman" w:asciiTheme="majorBidi" w:cstheme="majorBidi" w:hAnsiTheme="majorBidi"/>
          <w:color w:val="000000"/>
        </w:rPr>
        <w:t>leader from Macedonia who would later oversee atrocities in</w:t>
      </w:r>
      <w:r>
        <w:rPr>
          <w:rStyle w:val="apple-converted-space"/>
          <w:rFonts w:cs="Times New Roman" w:ascii="Times New Roman" w:hAnsi="Times New Roman" w:asciiTheme="majorBidi" w:cstheme="majorBidi" w:hAnsiTheme="majorBidi"/>
          <w:color w:val="000000"/>
        </w:rPr>
        <w:t> </w:t>
      </w:r>
      <w:r>
        <w:rPr>
          <w:rStyle w:val="Strong"/>
          <w:rFonts w:cs="Times New Roman" w:ascii="Times New Roman" w:hAnsi="Times New Roman" w:asciiTheme="majorBidi" w:cstheme="majorBidi" w:hAnsiTheme="majorBidi"/>
          <w:b w:val="false"/>
          <w:bCs w:val="false"/>
          <w:color w:val="000000"/>
        </w:rPr>
        <w:t>Bardizag</w:t>
      </w:r>
      <w:r>
        <w:rPr>
          <w:rFonts w:cs="Times New Roman" w:ascii="Times New Roman" w:hAnsi="Times New Roman" w:asciiTheme="majorBidi" w:cstheme="majorBidi" w:hAnsiTheme="majorBidi"/>
          <w:color w:val="000000"/>
        </w:rPr>
        <w:t>, arrived in Adabazar and immediately ordered the arrest of prominent Armenians, including merchant Bedros Afeyan, banker Bedros Muradian, and municipal president Stepan Demirjian.</w:t>
      </w:r>
      <w:r>
        <w:rPr>
          <w:rStyle w:val="FootnoteReference"/>
          <w:rFonts w:cs="Times New Roman" w:ascii="Times New Roman" w:hAnsi="Times New Roman" w:asciiTheme="majorBidi" w:cstheme="majorBidi" w:hAnsiTheme="majorBidi"/>
          <w:color w:val="000000"/>
        </w:rPr>
        <w:footnoteReference w:id="5"/>
      </w:r>
      <w:r>
        <w:rPr>
          <w:rFonts w:cs="Times New Roman" w:ascii="Times New Roman" w:hAnsi="Times New Roman" w:asciiTheme="majorBidi" w:cstheme="majorBidi" w:hAnsiTheme="majorBidi"/>
          <w:color w:val="000000"/>
        </w:rPr>
        <w:t xml:space="preserve"> Accompanied by police chief Reşid Bey, he visited the detainees confined in the Church of the Holy Archangel, boasting of his experience in raids and demanding the surrender of 250 Mauser rifles. This fabricated weapons search provided the pretext for mass arrests: within days, 600–700 men were imprisoned in the Church of St. Garabed. Under İbrahim’s orders, Father Mikayel Yeramian and Antranig Charkejian were tortured for confessions about hidden arms, and ten leading figures were sent to Istanbul for trial.</w:t>
      </w:r>
    </w:p>
    <w:p>
      <w:pPr>
        <w:pStyle w:val="NormalWeb"/>
        <w:bidi w:val="0"/>
        <w:spacing w:lineRule="auto" w:line="480" w:before="0" w:after="0"/>
        <w:ind w:firstLine="720"/>
        <w:jc w:val="start"/>
        <w:rPr/>
      </w:pPr>
      <w:r>
        <w:rPr>
          <w:rFonts w:cs="Times New Roman" w:ascii="Times New Roman" w:hAnsi="Times New Roman" w:asciiTheme="majorBidi" w:cstheme="majorBidi" w:hAnsiTheme="majorBidi"/>
          <w:color w:val="000000"/>
        </w:rPr>
        <w:t>On 11 August, the deportation order for Adabazar and surrounding villages was announced. Armenian neighborhoods were sealed off, escape barred, and possessions confiscated. Over the following two weeks, more than 20,000 Armenians; beginning with residents of Nemçer and Malacılar—were deported toward Konya. Only twenty-five families employed by the army and a single family that converted to Islam were allowed to remain. In the kaza of Ismit, the violence centered on Bardizag and Arslanbeg, targeted for evacuation before other Armenian communities. In Arslanbeg, arrests began in May; detainees were held in Ismit and then transferred to Geyve’s Turkish village of Taraklı, where elites from other towns were concentrated. On 18 July, İbrahim Bey ordered 200 soldiers and gendarmes to surround Arslanbeg, after which deportations began and Çerkez çetes of the Special Organization, aided by local Turkish villagers, looted and destroyed the town. Over 2,000 people were deported via Eskişehir, Konya, and Bozanti to destinations including Rakka, Meskene, Der Zor, Mosul, and Baghdad; few returned.</w:t>
      </w:r>
    </w:p>
    <w:p>
      <w:pPr>
        <w:pStyle w:val="Normal"/>
        <w:bidi w:val="0"/>
        <w:spacing w:lineRule="auto" w:line="480" w:before="0" w:after="0"/>
        <w:ind w:firstLine="720"/>
        <w:jc w:val="both"/>
        <w:rPr/>
      </w:pPr>
      <w:r>
        <w:rPr>
          <w:rFonts w:cs="Times New Roman" w:ascii="Times New Roman" w:hAnsi="Times New Roman" w:asciiTheme="majorBidi" w:cstheme="majorBidi" w:hAnsiTheme="majorBidi"/>
          <w:color w:themeColor="text1" w:val="000000"/>
          <w:sz w:val="24"/>
          <w:szCs w:val="24"/>
        </w:rPr>
        <w:t xml:space="preserve">With leadership removed, the operational machinery turned to disarmament. On June 27, 1915, Ibrahim Bey and Ali Şuuri Bey orchestrated a staged, highly public disarmament campaign in Bardizag. This campaign involved ritualized threats of massacre and the systematic conversion of civic and religious institutions; village schools and churches into militarized spaces of coercion. The primary physical technology of this coercion was the </w:t>
      </w:r>
      <w:r>
        <w:rPr>
          <w:rFonts w:cs="Times New Roman" w:ascii="Times New Roman" w:hAnsi="Times New Roman" w:asciiTheme="majorBidi" w:cstheme="majorBidi" w:hAnsiTheme="majorBidi"/>
          <w:i/>
          <w:iCs/>
          <w:color w:themeColor="text1" w:val="000000"/>
          <w:sz w:val="24"/>
          <w:szCs w:val="24"/>
        </w:rPr>
        <w:t>falaka,</w:t>
      </w:r>
      <w:r>
        <w:rPr>
          <w:rFonts w:cs="Times New Roman" w:ascii="Times New Roman" w:hAnsi="Times New Roman" w:asciiTheme="majorBidi" w:cstheme="majorBidi" w:hAnsiTheme="majorBidi"/>
          <w:color w:themeColor="text1" w:val="000000"/>
          <w:sz w:val="24"/>
          <w:szCs w:val="24"/>
        </w:rPr>
        <w:t xml:space="preserve"> ritualized beating on the soles of the feet, administered by Ibrahim Bey and his gang of irregulars. The </w:t>
      </w:r>
      <w:r>
        <w:rPr>
          <w:rFonts w:cs="Times New Roman" w:ascii="Times New Roman" w:hAnsi="Times New Roman" w:asciiTheme="majorBidi" w:cstheme="majorBidi" w:hAnsiTheme="majorBidi"/>
          <w:i/>
          <w:iCs/>
          <w:color w:themeColor="text1" w:val="000000"/>
          <w:sz w:val="24"/>
          <w:szCs w:val="24"/>
        </w:rPr>
        <w:t>falaka</w:t>
      </w:r>
      <w:r>
        <w:rPr>
          <w:rFonts w:cs="Times New Roman" w:ascii="Times New Roman" w:hAnsi="Times New Roman" w:asciiTheme="majorBidi" w:cstheme="majorBidi" w:hAnsiTheme="majorBidi"/>
          <w:color w:themeColor="text1" w:val="000000"/>
          <w:sz w:val="24"/>
          <w:szCs w:val="24"/>
        </w:rPr>
        <w:t xml:space="preserve"> was not merely an instrument of physical punishment; it functioned as a fiscal instrument designed to break communal resistance, enforce submission, and facilitate mass plunder. By subjecting community leaders and ordinary residents to systematic violence, state officials forced the population to reveal hidden weapon caches, gold, and personal valuables.</w:t>
      </w:r>
    </w:p>
    <w:p>
      <w:pPr>
        <w:pStyle w:val="Normal"/>
        <w:bidi w:val="0"/>
        <w:spacing w:lineRule="auto" w:line="480" w:before="0" w:after="0"/>
        <w:ind w:firstLine="720"/>
        <w:jc w:val="both"/>
        <w:rPr/>
      </w:pPr>
      <w:r>
        <w:rPr>
          <w:rFonts w:cs="Times New Roman" w:ascii="Times New Roman" w:hAnsi="Times New Roman" w:asciiTheme="majorBidi" w:cstheme="majorBidi" w:hAnsiTheme="majorBidi"/>
          <w:color w:themeColor="text1" w:val="000000"/>
          <w:sz w:val="24"/>
          <w:szCs w:val="24"/>
        </w:rPr>
        <w:t>The postwar Izmit deportation trial testimonies provide rich empirical evidence of this ritualized violence. Kirkor Efendi, a janitor at the Armenian patriarchate, testified that when they were sent to Izmit, they were imprisoned inside a church, where he was beaten with a falaka in the direct presence of Ibrahim Bey, who then confiscated his money. Mıgırdıç testified that during his transfer from Istanbul to Çankırı, he was detained for five days in Izmit, taken to a house where Ibrahim Bey was staying, and severely beaten. Artin Kürekçiyan and Karabet from İzmit both testified that İbrahim Bey imprisoned groups of Armenians and ordered his gendarmes to beat them. Serope Efendi confirmed that during her transfer to Konya via İzmit, she witnessed and heard that İbrahim Bey’s entourage systematically beat deportees and took their money. Hacı Mıgırdıç Karabet testified that İbrahim Bey arrived to collect weapons fifteen days prior to the deportation, mistreating the inhabitants in every possible way, while Ali Şuuri Bey accompanied him and directly seized personal belongings from his house. Priest Aganya Efendi of Bardizag and Minas Efendi likewise confirmed that İbrahim Bey assaulted the villagers under the pretext of weapon collection.</w:t>
      </w:r>
    </w:p>
    <w:p>
      <w:pPr>
        <w:pStyle w:val="Normal"/>
        <w:bidi w:val="0"/>
        <w:spacing w:lineRule="auto" w:line="480" w:before="0" w:after="0"/>
        <w:ind w:firstLine="720"/>
        <w:jc w:val="both"/>
        <w:rPr/>
      </w:pPr>
      <w:r>
        <w:rPr>
          <w:rFonts w:cs="Times New Roman" w:ascii="Times New Roman" w:hAnsi="Times New Roman" w:asciiTheme="majorBidi" w:cstheme="majorBidi" w:hAnsiTheme="majorBidi"/>
          <w:color w:themeColor="text1" w:val="000000"/>
          <w:sz w:val="24"/>
          <w:szCs w:val="24"/>
        </w:rPr>
        <w:t>This violence culminated in the partial demolition of the village church during extensive searches. After repeated rounds of torture with wet canes, surviving community leaders were forced to sign documents pledging to surrender any remaining arms under penalty of immediate death. Gendarmes then conducted exhaustive house-to-house sweeps of every household, khan, and local silk-spinning factory, confiscating not only firearms but also any metal tool that could potentially be used for defense, including pocketknives, saws, and agricultural sickles. This performative act of selective dispossession was highly asymmetrical: while weapons were permanently stripped from Armenians, those surrendered by neighboring Muslim villagers were promptly returned to them. That asymmetry is not incidental, and it is not merely an anecdote. It demonstrates that “disarmament” was not neutral security policy: it dismantled Armenian collective capacity while preserving the coercive capacity of the population that would benefit from Armenian dispossession. The causal sequence is worth stating explicitly, because it is easy for a reader to miss if it is left implicit: remove leadership, isolate the population, disarm the population, thereby make resistance difficult, and thereby facilitate expropriation. By leaving Armenians entirely defenseless while arming surrounding populations, the state produced the specific vulnerability required to execute the final stage of primitive accumulation; the liquidation of the community’s remaining wealth.</w:t>
      </w:r>
    </w:p>
    <w:p>
      <w:pPr>
        <w:pStyle w:val="Normal"/>
        <w:bidi w:val="0"/>
        <w:spacing w:lineRule="auto" w:line="480" w:before="0" w:after="0"/>
        <w:ind w:firstLine="720"/>
        <w:jc w:val="both"/>
        <w:rPr>
          <w:rFonts w:ascii="Times New Roman" w:hAnsi="Times New Roman" w:cs="Times New Roman" w:asciiTheme="majorBidi" w:cstheme="majorBidi" w:hAnsiTheme="majorBidi"/>
          <w:b/>
          <w:bCs/>
          <w:i/>
          <w:i/>
          <w:iCs/>
          <w:color w:themeColor="text1" w:val="000000"/>
          <w:sz w:val="24"/>
          <w:szCs w:val="24"/>
        </w:rPr>
      </w:pPr>
      <w:r>
        <w:rPr>
          <w:rFonts w:cs="Times New Roman" w:cstheme="majorBidi" w:ascii="Times New Roman" w:hAnsi="Times New Roman"/>
          <w:b/>
          <w:bCs/>
          <w:i/>
          <w:iCs/>
          <w:color w:themeColor="text1" w:val="000000"/>
          <w:sz w:val="24"/>
          <w:szCs w:val="24"/>
        </w:rPr>
      </w:r>
    </w:p>
    <w:p>
      <w:pPr>
        <w:pStyle w:val="Normal"/>
        <w:bidi w:val="0"/>
        <w:spacing w:lineRule="auto" w:line="480" w:before="0" w:after="0"/>
        <w:ind w:hanging="0"/>
        <w:jc w:val="both"/>
        <w:rPr/>
      </w:pPr>
      <w:r>
        <w:rPr>
          <w:rFonts w:cs="Times New Roman" w:ascii="Times New Roman" w:hAnsi="Times New Roman" w:asciiTheme="majorBidi" w:cstheme="majorBidi" w:hAnsiTheme="majorBidi"/>
          <w:b/>
          <w:bCs/>
          <w:i/>
          <w:iCs/>
          <w:color w:themeColor="text1" w:val="000000"/>
          <w:sz w:val="24"/>
          <w:szCs w:val="24"/>
        </w:rPr>
        <w:t>The coerced marketplace</w:t>
      </w:r>
    </w:p>
    <w:p>
      <w:pPr>
        <w:pStyle w:val="Normal"/>
        <w:bidi w:val="0"/>
        <w:spacing w:lineRule="auto" w:line="480" w:before="0" w:after="0"/>
        <w:ind w:firstLine="720"/>
        <w:jc w:val="both"/>
        <w:rPr/>
      </w:pPr>
      <w:r>
        <w:rPr>
          <w:rFonts w:cs="Times New Roman" w:ascii="Times New Roman" w:hAnsi="Times New Roman" w:asciiTheme="majorBidi" w:cstheme="majorBidi" w:hAnsiTheme="majorBidi"/>
          <w:color w:themeColor="text1" w:val="000000"/>
          <w:sz w:val="24"/>
          <w:szCs w:val="24"/>
        </w:rPr>
        <w:t>Once the community was stripped of its leadership and defensive capacity, the operational machinery shifted from physical terror to administrative and financial extraction. This transition was designed to liquidate the remaining portable wealth of the Armenian population and transfer it into the hands of state officials, CUP networks, and neighboring Muslim populations. Before the formal deportation order was issued, the state utilized administrative fraud and extortion to drain the community’s financial reserves, exploiting survivors’ desperate hope for safety. Hagop der Hagopian recorded that Bardizag’s villagers collectively raised four hundred gold liras as a donation for the Ottoman Red Crescent and military hospital, presenting it to local governor Ali Şuuri Bey in a desperate attempt to demonstrate civic compliance and purchase safety.</w:t>
      </w:r>
      <w:r>
        <w:rPr>
          <w:rStyle w:val="FootnoteReference"/>
          <w:rFonts w:cs="Times New Roman" w:ascii="Times New Roman" w:hAnsi="Times New Roman" w:asciiTheme="majorBidi" w:cstheme="majorBidi" w:hAnsiTheme="majorBidi"/>
          <w:color w:themeColor="text1" w:val="000000"/>
          <w:sz w:val="24"/>
          <w:szCs w:val="24"/>
        </w:rPr>
        <w:footnoteReference w:id="6"/>
      </w:r>
      <w:r>
        <w:rPr>
          <w:rFonts w:cs="Times New Roman" w:ascii="Times New Roman" w:hAnsi="Times New Roman" w:asciiTheme="majorBidi" w:cstheme="majorBidi" w:hAnsiTheme="majorBidi"/>
          <w:color w:themeColor="text1" w:val="000000"/>
          <w:sz w:val="24"/>
          <w:szCs w:val="24"/>
        </w:rPr>
        <w:t xml:space="preserve"> While the donation was accepted and praised by the authorities, it offered no protection against subsequent dispossession. On an individual level, families were forced to pay extortionate bribes of up to four hundred Turkish pounds under the false administrative promise that such payments would exempt them from the deportation lists. Ali Şuuri Bey also used his direct administrative authority for personal corruption: during the postwar trials, the merchant Mihran Semerciyan testified that Ali Şuuri Bey had engaged in rampant corruption during the deportations, extorting 650 liras worth of his personal belongings under direct threat.</w:t>
      </w:r>
    </w:p>
    <w:p>
      <w:pPr>
        <w:pStyle w:val="Normal"/>
        <w:bidi w:val="0"/>
        <w:spacing w:lineRule="auto" w:line="480" w:before="0" w:after="0"/>
        <w:ind w:firstLine="720"/>
        <w:jc w:val="both"/>
        <w:rPr/>
      </w:pPr>
      <w:r>
        <w:rPr>
          <w:rFonts w:cs="Times New Roman" w:ascii="Times New Roman" w:hAnsi="Times New Roman" w:asciiTheme="majorBidi" w:cstheme="majorBidi" w:hAnsiTheme="majorBidi"/>
          <w:color w:themeColor="text1" w:val="000000"/>
          <w:sz w:val="24"/>
          <w:szCs w:val="24"/>
        </w:rPr>
        <w:t>The resulting scene in the streets of Bardizag is best conceptualized as a coerced marketplace, rather than a merely “distressed” economic space. Under ordinary market logic, prices fluctuate according to supply and demand. Here, exchange was dictated by radical asymmetry, duress, and extra-economic coercion. Crowds of neighboring Muslim populations; Laz, Georgian, Tatar, and Turkish neighbors, arrived in the village specifically to profit from the forced liquidations.</w:t>
      </w:r>
      <w:r>
        <w:rPr>
          <w:rStyle w:val="FootnoteReference"/>
          <w:rFonts w:cs="Times New Roman" w:ascii="Times New Roman" w:hAnsi="Times New Roman" w:asciiTheme="majorBidi" w:cstheme="majorBidi" w:hAnsiTheme="majorBidi"/>
          <w:color w:themeColor="text1" w:val="000000"/>
          <w:sz w:val="24"/>
          <w:szCs w:val="24"/>
        </w:rPr>
        <w:footnoteReference w:id="7"/>
      </w:r>
      <w:r>
        <w:rPr>
          <w:rFonts w:cs="Times New Roman" w:ascii="Times New Roman" w:hAnsi="Times New Roman" w:asciiTheme="majorBidi" w:cstheme="majorBidi" w:hAnsiTheme="majorBidi"/>
          <w:color w:themeColor="text1" w:val="000000"/>
          <w:sz w:val="24"/>
          <w:szCs w:val="24"/>
        </w:rPr>
        <w:t xml:space="preserve"> The prices paid for Armenian assets were catastrophically low: fully furnished houses were emptied within days, with furniture, jewelry, and prized household goods worth five to ten liras sold for a mere five to ten kuruş, a fraction of a lira. Most families recovered only trivial, insulting amounts; usually no more than three, five, or ten liras, which were often immediately stolen or confiscated by gendarmerie forces on the road. Some families, recognizing this process as state-sanctioned and legalized plunder, refused to participate in the marketplace, choosing instead to face deportation with their belongings intact and preferring the risk of death to submission to systemic robbery. Whatever items remained unsold in the emptied homes were subsequently confiscated by the Abandoned Property Officer (</w:t>
      </w:r>
      <w:r>
        <w:rPr>
          <w:rFonts w:cs="Times New Roman" w:ascii="Times New Roman" w:hAnsi="Times New Roman" w:asciiTheme="majorBidi" w:cstheme="majorBidi" w:hAnsiTheme="majorBidi"/>
          <w:i/>
          <w:iCs/>
          <w:color w:themeColor="text1" w:val="000000"/>
          <w:sz w:val="24"/>
          <w:szCs w:val="24"/>
        </w:rPr>
        <w:t>Emval-i Metruke</w:t>
      </w:r>
      <w:r>
        <w:rPr>
          <w:rFonts w:cs="Times New Roman" w:ascii="Times New Roman" w:hAnsi="Times New Roman" w:asciiTheme="majorBidi" w:cstheme="majorBidi" w:hAnsiTheme="majorBidi"/>
          <w:color w:themeColor="text1" w:val="000000"/>
          <w:sz w:val="24"/>
          <w:szCs w:val="24"/>
        </w:rPr>
        <w:t>) and redistributed to loyal CUP elites or state institutions, or used to resettle Muslim refugees, fully institutionalizing the capital transfer.</w:t>
      </w:r>
    </w:p>
    <w:p>
      <w:pPr>
        <w:pStyle w:val="Normal"/>
        <w:bidi w:val="0"/>
        <w:spacing w:lineRule="auto" w:line="480" w:before="0" w:after="0"/>
        <w:ind w:firstLine="720"/>
        <w:jc w:val="both"/>
        <w:rPr/>
      </w:pPr>
      <w:r>
        <w:rPr>
          <w:rFonts w:cs="Times New Roman" w:ascii="Times New Roman" w:hAnsi="Times New Roman" w:asciiTheme="majorBidi" w:cstheme="majorBidi" w:hAnsiTheme="majorBidi"/>
          <w:color w:themeColor="text1" w:val="000000"/>
          <w:sz w:val="24"/>
          <w:szCs w:val="24"/>
        </w:rPr>
        <w:t>This account is consistent with, and builds on, the historiography establishing that the confiscation of Armenian property was not a chaotic byproduct of wartime dislocation or localized opportunistic greed, as mainstream historiography analyzed it for decades. Pioneering research by Hilmar Kaiser, Ümit Kurt, and Bedross Der Matossian has demonstrated instead that the confiscation of Armenian properties was orchestrated through the full administrative and legislative machinery of the Ottoman state, bridging central ministries with provincial and local authorities. This vast, state-led bureaucratic apparatus targeted private, communal, and ecclesiastical assets alike, utilizing legislative codes such as the Temporary Law of Expropriation and Confiscation of September 13, 1915, to systematically liquidate and redistribute Armenian wealth. In his critical analysis of genocidal violence, Yektan Türkyılmaz draws on Claudia Card’s concept of “social death” to argue that the Armenian Genocide did not merely target biological life but aimed at the absolute destruction of Western Armenian social, political, cultural, and economic networks; the systematic transfer of capital served as the primary instrument of this social death.</w:t>
      </w:r>
      <w:r>
        <w:rPr>
          <w:rStyle w:val="FootnoteReference"/>
          <w:rFonts w:cs="Times New Roman" w:ascii="Times New Roman" w:hAnsi="Times New Roman" w:asciiTheme="majorBidi" w:cstheme="majorBidi" w:hAnsiTheme="majorBidi"/>
          <w:color w:themeColor="text1" w:val="000000"/>
          <w:sz w:val="24"/>
          <w:szCs w:val="24"/>
        </w:rPr>
        <w:footnoteReference w:id="8"/>
      </w:r>
      <w:r>
        <w:rPr>
          <w:rFonts w:cs="Times New Roman" w:ascii="Times New Roman" w:hAnsi="Times New Roman" w:asciiTheme="majorBidi" w:cstheme="majorBidi" w:hAnsiTheme="majorBidi"/>
          <w:color w:themeColor="text1" w:val="000000"/>
          <w:sz w:val="24"/>
          <w:szCs w:val="24"/>
        </w:rPr>
        <w:t xml:space="preserve"> As Harry Harootunian has argued, the genocide was a large-scale project of primitive accumulation through which pre-capitalist wealth, generated through centuries of Armenian labor, agriculture, and commerce, was forcefully converted into the foundational capital essential for the emerging Turkish national economy.</w:t>
      </w:r>
      <w:r>
        <w:rPr>
          <w:rStyle w:val="FootnoteReference"/>
          <w:rFonts w:cs="Times New Roman" w:ascii="Times New Roman" w:hAnsi="Times New Roman" w:asciiTheme="majorBidi" w:cstheme="majorBidi" w:hAnsiTheme="majorBidi"/>
          <w:color w:themeColor="text1" w:val="000000"/>
          <w:sz w:val="24"/>
          <w:szCs w:val="24"/>
        </w:rPr>
        <w:footnoteReference w:id="9"/>
      </w:r>
      <w:r>
        <w:rPr>
          <w:rFonts w:cs="Times New Roman" w:ascii="Times New Roman" w:hAnsi="Times New Roman" w:asciiTheme="majorBidi" w:cstheme="majorBidi" w:hAnsiTheme="majorBidi"/>
          <w:color w:themeColor="text1" w:val="000000"/>
          <w:sz w:val="24"/>
          <w:szCs w:val="24"/>
        </w:rPr>
        <w:t xml:space="preserve"> In Bardizag, this took a highly physical and localized form: as missionary Arthur Ryan reported, in the wake of the August 1915 deportations movable Armenian property was systematically gathered by Ottoman officials and shipped to Istanbul, while sixty Muslim families were immediately settled in the vacated Armenian homes. Through this process of legal and extra-legal redistribution, the newly founded Turkish Republic positioned itself as the direct heir to the confiscated wealth. By redistributing these assets to members of the Committee of Union and Progress, local Muslim elites, and loyal businessmen, the state actively restructured class relations, consolidating a compliant and dependent Turkish national bourgeoisie whose class survival was structurally tethered to the erasure of the Armenian presence.</w:t>
      </w:r>
    </w:p>
    <w:p>
      <w:pPr>
        <w:pStyle w:val="Normal"/>
        <w:bidi w:val="0"/>
        <w:spacing w:lineRule="auto" w:line="480" w:before="0" w:after="0"/>
        <w:ind w:firstLine="720"/>
        <w:jc w:val="both"/>
        <w:rPr/>
      </w:pPr>
      <w:r>
        <w:rPr>
          <w:rFonts w:cs="Times New Roman" w:ascii="Times New Roman" w:hAnsi="Times New Roman" w:asciiTheme="majorBidi" w:cstheme="majorBidi" w:hAnsiTheme="majorBidi"/>
          <w:color w:themeColor="text1" w:val="000000"/>
          <w:sz w:val="24"/>
          <w:szCs w:val="24"/>
        </w:rPr>
        <w:t>The techniques of dispossession and extraction deployed in the streets of Bardizag; forced liquidation, administrative fraud, extortion, and the mobilization of neighboring ethnic communities as instruments of dispossession, were not novel. They represented a highly coordinated form of the fiscal instrument that had already been practiced on the empire’s populations for decades. In 1915, the colonial boomerang returned to the heartland, converting the wealth generated through centuries of Armenian labor into foundational capital for the emerging national economy.</w:t>
      </w:r>
    </w:p>
    <w:sectPr>
      <w:footnotePr>
        <w:numFmt w:val="decimal"/>
      </w:footnotePr>
      <w:type w:val="nextPage"/>
      <w:pgSz w:w="12240" w:h="15840"/>
      <w:pgMar w:left="1134" w:right="1134" w:gutter="0" w:header="0" w:top="1134" w:footer="0" w:bottom="1134"/>
      <w:pgNumType w:fmt="decimal"/>
      <w:formProt w:val="false"/>
      <w:textDirection w:val="lrTb"/>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9-11T20:09:17Z" w:initials="">
    <w:p>
      <w:pPr>
        <w:overflowPunct w:val="false"/>
        <w:bidi w:val="0"/>
        <w:rPr/>
      </w:pPr>
      <w:r>
        <w:rPr>
          <w:rFonts w:eastAsia="DejaVu Sans" w:cs="Noto Sans Arabic"/>
          <w:kern w:val="0"/>
          <w:lang w:val="en-US" w:eastAsia="en-US" w:bidi="en-US"/>
        </w:rPr>
        <w:t>Reworked this to match the flow of the section</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jc w:val="start"/>
        <w:rPr>
          <w:rFonts w:ascii="Times New Roman" w:hAnsi="Times New Roman" w:cs="Times New Roman" w:asciiTheme="majorBidi" w:cstheme="majorBidi" w:hAnsiTheme="majorBidi"/>
          <w:lang w:val="en-US"/>
        </w:rPr>
      </w:pPr>
      <w:r>
        <w:rPr>
          <w:rStyle w:val="FootnoteCharacters"/>
        </w:rPr>
        <w:footnoteRef/>
      </w:r>
      <w:r>
        <w:rPr>
          <w:rFonts w:cs="Times New Roman" w:ascii="Times New Roman" w:hAnsi="Times New Roman" w:asciiTheme="majorBidi" w:cstheme="majorBidi" w:hAnsiTheme="majorBidi"/>
        </w:rPr>
        <w:tab/>
        <w:t xml:space="preserve"> </w:t>
      </w:r>
      <w:r>
        <w:rPr>
          <w:rFonts w:cs="Times New Roman" w:ascii="Times New Roman" w:hAnsi="Times New Roman" w:asciiTheme="majorBidi" w:cstheme="majorBidi" w:hAnsiTheme="majorBidi"/>
          <w:highlight w:val="white"/>
        </w:rPr>
        <w:t xml:space="preserve">Grigor Mkhalean, and Ara Stepan Melkonian. 2014. </w:t>
      </w:r>
      <w:r>
        <w:rPr>
          <w:rFonts w:cs="Times New Roman" w:ascii="Times New Roman" w:hAnsi="Times New Roman" w:asciiTheme="majorBidi" w:cstheme="majorBidi" w:hAnsiTheme="majorBidi"/>
          <w:i/>
          <w:iCs/>
        </w:rPr>
        <w:t>Bardizag and Its People</w:t>
      </w:r>
      <w:r>
        <w:rPr>
          <w:rFonts w:cs="Times New Roman" w:ascii="Times New Roman" w:hAnsi="Times New Roman" w:asciiTheme="majorBidi" w:cstheme="majorBidi" w:hAnsiTheme="majorBidi"/>
          <w:highlight w:val="white"/>
        </w:rPr>
        <w:t>. London: Gomidas Institute.</w:t>
      </w:r>
    </w:p>
  </w:footnote>
  <w:footnote w:id="3">
    <w:p>
      <w:pPr>
        <w:pStyle w:val="FootnoteText"/>
        <w:bidi w:val="0"/>
        <w:jc w:val="start"/>
        <w:rPr>
          <w:rFonts w:ascii="Times New Roman" w:hAnsi="Times New Roman" w:cs="Times New Roman" w:asciiTheme="majorBidi" w:cstheme="majorBidi" w:hAnsiTheme="majorBidi"/>
        </w:rPr>
      </w:pPr>
      <w:r>
        <w:rPr>
          <w:rStyle w:val="FootnoteCharacters"/>
        </w:rPr>
        <w:footnoteRef/>
      </w:r>
      <w:r>
        <w:rPr>
          <w:rFonts w:cs="Times New Roman" w:ascii="Times New Roman" w:hAnsi="Times New Roman" w:asciiTheme="majorBidi" w:cstheme="majorBidi" w:hAnsiTheme="majorBidi"/>
        </w:rPr>
        <w:tab/>
        <w:t xml:space="preserve"> </w:t>
      </w:r>
      <w:r>
        <w:rPr>
          <w:rFonts w:cs="Times New Roman" w:ascii="Times New Roman" w:hAnsi="Times New Roman" w:asciiTheme="majorBidi" w:cstheme="majorBidi" w:hAnsiTheme="majorBidi"/>
        </w:rPr>
        <w:t xml:space="preserve">This episode may be understood through Özgür Sevgi Göral’s analysis of enforced disappearance in Kurdistan during 1990s, which highlights the deliberate production of uncertainty regarding victims’ fates as a mechanism of political violence. Viewed through this lens, Armenian Genocide was not only a history of mass killing and deportation but also a regime of disappearance in which families were denied knowledge about their loved ones. Özgür Sevgi Göral, “Waiting for the disappeared: waiting as a form of resilience and the limits of legal space in Turkey.,” </w:t>
      </w:r>
      <w:r>
        <w:rPr>
          <w:rFonts w:cs="Times New Roman" w:ascii="Times New Roman" w:hAnsi="Times New Roman" w:asciiTheme="majorBidi" w:cstheme="majorBidi" w:hAnsiTheme="majorBidi"/>
          <w:i/>
          <w:iCs/>
        </w:rPr>
        <w:t>Soc Anthropol</w:t>
      </w:r>
      <w:r>
        <w:rPr>
          <w:rFonts w:cs="Times New Roman" w:ascii="Times New Roman" w:hAnsi="Times New Roman" w:asciiTheme="majorBidi" w:cstheme="majorBidi" w:hAnsiTheme="majorBidi"/>
        </w:rPr>
        <w:t xml:space="preserve">, 29, 2021, 800-815. </w:t>
      </w:r>
      <w:hyperlink r:id="rId1">
        <w:r>
          <w:rPr>
            <w:rStyle w:val="Hyperlink"/>
            <w:rFonts w:cs="Times New Roman" w:ascii="Times New Roman" w:hAnsi="Times New Roman" w:asciiTheme="majorBidi" w:cstheme="majorBidi" w:hAnsiTheme="majorBidi"/>
          </w:rPr>
          <w:t>https://doi.org/10.1111/1469-8676.13096</w:t>
        </w:r>
      </w:hyperlink>
    </w:p>
  </w:footnote>
  <w:footnote w:id="4">
    <w:p>
      <w:pPr>
        <w:pStyle w:val="FootnoteText"/>
        <w:bidi w:val="0"/>
        <w:jc w:val="start"/>
        <w:rPr>
          <w:rFonts w:ascii="Times New Roman" w:hAnsi="Times New Roman" w:cs="Times New Roman" w:asciiTheme="majorBidi" w:cstheme="majorBidi" w:hAnsiTheme="majorBidi"/>
        </w:rPr>
      </w:pPr>
      <w:r>
        <w:rPr>
          <w:rStyle w:val="FootnoteCharacters"/>
        </w:rPr>
        <w:footnoteRef/>
      </w:r>
      <w:r>
        <w:rPr>
          <w:rFonts w:cs="Times New Roman" w:ascii="Times New Roman" w:hAnsi="Times New Roman" w:asciiTheme="majorBidi" w:cstheme="majorBidi" w:hAnsiTheme="majorBidi"/>
        </w:rPr>
        <w:tab/>
        <w:t xml:space="preserve"> </w:t>
      </w:r>
      <w:r>
        <w:rPr>
          <w:rFonts w:cs="Times New Roman" w:ascii="Times New Roman" w:hAnsi="Times New Roman" w:asciiTheme="majorBidi" w:cstheme="majorBidi" w:hAnsiTheme="majorBidi"/>
          <w:color w:themeColor="text1" w:val="000000"/>
        </w:rPr>
        <w:t xml:space="preserve">Selma Cetinkaya and Taner Bilgin, “Tehcir Kanunu ve Izmit Ermenileri,” </w:t>
      </w:r>
      <w:r>
        <w:rPr>
          <w:rFonts w:cs="Times New Roman" w:ascii="Times New Roman" w:hAnsi="Times New Roman" w:asciiTheme="majorBidi" w:cstheme="majorBidi" w:hAnsiTheme="majorBidi"/>
          <w:i/>
          <w:iCs/>
          <w:color w:themeColor="text1" w:val="000000"/>
          <w:shd w:fill="FFFFFF" w:val="clear"/>
        </w:rPr>
        <w:t>Uluslararası Kara Mürsel Alp ve Kocaeli Tarihi Sempozyumu -II = International Symposium on Kara Mürsel Alp &amp; History of Kocaeli -II.</w:t>
      </w:r>
      <w:r>
        <w:rPr>
          <w:rFonts w:cs="Times New Roman" w:ascii="Times New Roman" w:hAnsi="Times New Roman" w:asciiTheme="majorBidi" w:cstheme="majorBidi" w:hAnsiTheme="majorBidi"/>
          <w:color w:themeColor="text1" w:val="000000"/>
          <w:shd w:fill="FFFFFF" w:val="clear"/>
        </w:rPr>
        <w:t xml:space="preserve"> (Kocaeli: Kocaeli Büyükşehir Belediyesi, Kültür ve Sosyal İşler Dairesi Başkanlığı Yayınları, 2016), p.1313. </w:t>
      </w:r>
      <w:r>
        <w:rPr>
          <w:rFonts w:cs="Times New Roman" w:ascii="Times New Roman" w:hAnsi="Times New Roman" w:asciiTheme="majorBidi" w:cstheme="majorBidi" w:hAnsiTheme="majorBidi"/>
        </w:rPr>
        <w:t xml:space="preserve">Ari </w:t>
      </w:r>
      <w:r>
        <w:rPr>
          <w:rFonts w:cs="Times New Roman" w:ascii="Times New Roman" w:hAnsi="Times New Roman" w:asciiTheme="majorBidi" w:cstheme="majorBidi" w:hAnsiTheme="majorBidi"/>
          <w:shd w:fill="FFFFFF" w:val="clear"/>
        </w:rPr>
        <w:t>Şekeryan, 2023.</w:t>
      </w:r>
      <w:r>
        <w:rPr>
          <w:rStyle w:val="apple-converted-space"/>
          <w:rFonts w:cs="Times New Roman" w:ascii="Times New Roman" w:hAnsi="Times New Roman" w:asciiTheme="majorBidi" w:cstheme="majorBidi" w:hAnsiTheme="majorBidi"/>
          <w:shd w:fill="FFFFFF" w:val="clear"/>
        </w:rPr>
        <w:t> </w:t>
      </w:r>
      <w:r>
        <w:rPr>
          <w:rFonts w:cs="Times New Roman" w:ascii="Times New Roman" w:hAnsi="Times New Roman" w:asciiTheme="majorBidi" w:cstheme="majorBidi" w:hAnsiTheme="majorBidi"/>
          <w:i/>
          <w:iCs/>
        </w:rPr>
        <w:t>The Armenians and the Fall of the Ottoman Empire : After Genocide, 1918-1923</w:t>
      </w:r>
      <w:r>
        <w:rPr>
          <w:rFonts w:cs="Times New Roman" w:ascii="Times New Roman" w:hAnsi="Times New Roman" w:asciiTheme="majorBidi" w:cstheme="majorBidi" w:hAnsiTheme="majorBidi"/>
          <w:shd w:fill="FFFFFF" w:val="clear"/>
        </w:rPr>
        <w:t>. Cambridge, United Kingdom: Cambridge University Press, 2023, p.44.</w:t>
      </w:r>
    </w:p>
  </w:footnote>
  <w:footnote w:id="5">
    <w:p>
      <w:pPr>
        <w:pStyle w:val="FootnoteText"/>
        <w:bidi w:val="0"/>
        <w:jc w:val="start"/>
        <w:rPr>
          <w:rFonts w:ascii="Times New Roman" w:hAnsi="Times New Roman" w:cs="Times New Roman" w:asciiTheme="majorBidi" w:cstheme="majorBidi" w:hAnsiTheme="majorBidi"/>
          <w:lang w:val="en-US"/>
        </w:rPr>
      </w:pPr>
      <w:r>
        <w:rPr>
          <w:rStyle w:val="FootnoteCharacters"/>
        </w:rPr>
        <w:footnoteRef/>
      </w:r>
      <w:r>
        <w:rPr>
          <w:rFonts w:cs="Times New Roman" w:ascii="Times New Roman" w:hAnsi="Times New Roman" w:asciiTheme="majorBidi" w:cstheme="majorBidi" w:hAnsiTheme="majorBidi"/>
        </w:rPr>
        <w:tab/>
        <w:t xml:space="preserve"> </w:t>
      </w:r>
      <w:r>
        <w:rPr>
          <w:rFonts w:cs="Times New Roman" w:ascii="Times New Roman" w:hAnsi="Times New Roman" w:asciiTheme="majorBidi" w:cstheme="majorBidi" w:hAnsiTheme="majorBidi"/>
        </w:rPr>
        <w:t>Raymond Kevorkian</w:t>
      </w:r>
      <w:r>
        <w:rPr>
          <w:rFonts w:cs="Times New Roman" w:ascii="Times New Roman" w:hAnsi="Times New Roman" w:asciiTheme="majorBidi" w:cstheme="majorBidi" w:hAnsiTheme="majorBidi"/>
          <w:i/>
          <w:iCs/>
        </w:rPr>
        <w:t>, Armenian Genocide</w:t>
      </w:r>
      <w:r>
        <w:rPr>
          <w:rFonts w:cs="Times New Roman" w:ascii="Times New Roman" w:hAnsi="Times New Roman" w:asciiTheme="majorBidi" w:cstheme="majorBidi" w:hAnsiTheme="majorBidi"/>
        </w:rPr>
        <w:t>, p.552-555.</w:t>
      </w:r>
    </w:p>
  </w:footnote>
  <w:footnote w:id="6">
    <w:p>
      <w:pPr>
        <w:pStyle w:val="FootnoteText"/>
        <w:bidi w:val="0"/>
        <w:jc w:val="start"/>
        <w:rPr>
          <w:rFonts w:ascii="Times New Roman" w:hAnsi="Times New Roman" w:cs="Times New Roman" w:asciiTheme="majorBidi" w:cstheme="majorBidi" w:hAnsiTheme="majorBidi"/>
        </w:rPr>
      </w:pPr>
      <w:r>
        <w:rPr>
          <w:rStyle w:val="FootnoteCharacters"/>
        </w:rPr>
        <w:footnoteRef/>
      </w:r>
      <w:r>
        <w:rPr>
          <w:rFonts w:cs="Times New Roman" w:ascii="Times New Roman" w:hAnsi="Times New Roman" w:asciiTheme="majorBidi" w:cstheme="majorBidi" w:hAnsiTheme="majorBidi"/>
        </w:rPr>
        <w:tab/>
        <w:t xml:space="preserve"> </w:t>
      </w:r>
      <w:r>
        <w:rPr>
          <w:rFonts w:cs="Times New Roman" w:ascii="Times New Roman" w:hAnsi="Times New Roman" w:asciiTheme="majorBidi" w:cstheme="majorBidi" w:hAnsiTheme="majorBidi"/>
          <w:highlight w:val="white"/>
        </w:rPr>
        <w:t xml:space="preserve">Grigor Mkhalean, and Ara Stepan Melkonian. 2014. </w:t>
      </w:r>
      <w:r>
        <w:rPr>
          <w:rFonts w:cs="Times New Roman" w:ascii="Times New Roman" w:hAnsi="Times New Roman" w:asciiTheme="majorBidi" w:cstheme="majorBidi" w:hAnsiTheme="majorBidi"/>
          <w:i/>
          <w:iCs/>
        </w:rPr>
        <w:t>Bardizag and Its People</w:t>
      </w:r>
      <w:r>
        <w:rPr>
          <w:rFonts w:cs="Times New Roman" w:ascii="Times New Roman" w:hAnsi="Times New Roman" w:asciiTheme="majorBidi" w:cstheme="majorBidi" w:hAnsiTheme="majorBidi"/>
          <w:highlight w:val="white"/>
        </w:rPr>
        <w:t>. London: Gomidas Institute.</w:t>
      </w:r>
      <w:r>
        <w:rPr>
          <w:rFonts w:cs="Times New Roman" w:ascii="Times New Roman" w:hAnsi="Times New Roman" w:asciiTheme="majorBidi" w:cstheme="majorBidi" w:hAnsiTheme="majorBidi"/>
        </w:rPr>
        <w:t xml:space="preserve"> p.x.</w:t>
      </w:r>
    </w:p>
  </w:footnote>
  <w:footnote w:id="7">
    <w:p>
      <w:pPr>
        <w:pStyle w:val="FootnoteText"/>
        <w:bidi w:val="0"/>
        <w:jc w:val="start"/>
        <w:rPr>
          <w:rFonts w:ascii="Times New Roman" w:hAnsi="Times New Roman" w:cs="Times New Roman" w:asciiTheme="majorBidi" w:cstheme="majorBidi" w:hAnsiTheme="majorBidi"/>
        </w:rPr>
      </w:pPr>
      <w:r>
        <w:rPr>
          <w:rStyle w:val="FootnoteCharacters"/>
        </w:rPr>
        <w:footnoteRef/>
      </w:r>
      <w:r>
        <w:rPr>
          <w:rFonts w:cs="Times New Roman" w:ascii="Times New Roman" w:hAnsi="Times New Roman" w:asciiTheme="majorBidi" w:cstheme="majorBidi" w:hAnsiTheme="majorBidi"/>
        </w:rPr>
        <w:tab/>
        <w:t xml:space="preserve"> </w:t>
      </w:r>
      <w:r>
        <w:rPr>
          <w:rFonts w:cs="Times New Roman" w:ascii="Times New Roman" w:hAnsi="Times New Roman" w:asciiTheme="majorBidi" w:cstheme="majorBidi" w:hAnsiTheme="majorBidi"/>
          <w:i/>
          <w:iCs/>
        </w:rPr>
        <w:t>Ibid.</w:t>
      </w:r>
    </w:p>
  </w:footnote>
  <w:footnote w:id="8">
    <w:p>
      <w:pPr>
        <w:pStyle w:val="FootnoteText"/>
        <w:bidi w:val="0"/>
        <w:jc w:val="start"/>
        <w:rPr>
          <w:rFonts w:ascii="Times New Roman" w:hAnsi="Times New Roman" w:cs="Times New Roman" w:asciiTheme="majorBidi" w:cstheme="majorBidi" w:hAnsiTheme="majorBidi"/>
        </w:rPr>
      </w:pPr>
      <w:r>
        <w:rPr>
          <w:rStyle w:val="FootnoteCharacters"/>
        </w:rPr>
        <w:footnoteRef/>
      </w:r>
      <w:r>
        <w:rPr>
          <w:rFonts w:cs="Times New Roman" w:ascii="Times New Roman" w:hAnsi="Times New Roman" w:asciiTheme="majorBidi" w:cstheme="majorBidi" w:hAnsiTheme="majorBidi"/>
        </w:rPr>
        <w:tab/>
        <w:t xml:space="preserve"> </w:t>
      </w:r>
      <w:r>
        <w:rPr>
          <w:rFonts w:cs="Times New Roman" w:ascii="Times New Roman" w:hAnsi="Times New Roman" w:asciiTheme="majorBidi" w:cstheme="majorBidi" w:hAnsiTheme="majorBidi"/>
        </w:rPr>
        <w:t>Yektan Turkyilmaz, p.337.</w:t>
      </w:r>
    </w:p>
  </w:footnote>
  <w:footnote w:id="9">
    <w:p>
      <w:pPr>
        <w:pStyle w:val="FootnoteText"/>
        <w:bidi w:val="0"/>
        <w:jc w:val="start"/>
        <w:rPr>
          <w:rFonts w:ascii="Times New Roman" w:hAnsi="Times New Roman" w:cs="Times New Roman" w:asciiTheme="majorBidi" w:cstheme="majorBidi" w:hAnsiTheme="majorBidi"/>
          <w:lang w:val="en-US"/>
        </w:rPr>
      </w:pPr>
      <w:r>
        <w:rPr>
          <w:rStyle w:val="FootnoteCharacters"/>
        </w:rPr>
        <w:footnoteRef/>
      </w:r>
      <w:r>
        <w:rPr>
          <w:rFonts w:cs="Times New Roman" w:ascii="Times New Roman" w:hAnsi="Times New Roman" w:asciiTheme="majorBidi" w:cstheme="majorBidi" w:hAnsiTheme="majorBidi"/>
        </w:rPr>
        <w:tab/>
        <w:t xml:space="preserve"> </w:t>
      </w:r>
      <w:r>
        <w:rPr>
          <w:rFonts w:cs="Times New Roman" w:ascii="Times New Roman" w:hAnsi="Times New Roman" w:asciiTheme="majorBidi" w:cstheme="majorBidi" w:hAnsiTheme="majorBidi"/>
          <w:color w:themeColor="text1" w:val="000000"/>
        </w:rPr>
        <w:t>Harry Harootunian</w:t>
      </w:r>
    </w:p>
  </w:footnote>
</w:footnotes>
</file>

<file path=word/settings.xml><?xml version="1.0" encoding="utf-8"?>
<w:settings xmlns:w="http://schemas.openxmlformats.org/wordprocessingml/2006/main">
  <w:zoom w:percent="81"/>
  <w:defaultTabStop w:val="709"/>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DefaultParagraphFont">
    <w:name w:val="Default Paragraph Font"/>
    <w:qFormat/>
    <w:rPr/>
  </w:style>
  <w:style w:type="character" w:styleId="Hyperlink">
    <w:name w:val="Hyperlink"/>
    <w:basedOn w:val="DefaultParagraphFont"/>
    <w:rPr>
      <w:color w:themeColor="hyperlink" w:val="0000FF"/>
      <w:u w:val="single"/>
    </w:rPr>
  </w:style>
  <w:style w:type="character" w:styleId="FollowedHyperlink">
    <w:name w:val="FollowedHyperlink"/>
    <w:basedOn w:val="DefaultParagraphFont"/>
    <w:rPr>
      <w:color w:themeColor="followedHyperlink" w:val="800080"/>
      <w:u w:val="single"/>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 w:type="paragraph" w:styleId="NormalWeb">
    <w:name w:val="Normal (Web)"/>
    <w:basedOn w:val="Normal"/>
    <w:qFormat/>
    <w:pPr>
      <w:widowControl/>
      <w:spacing w:beforeAutospacing="1" w:afterAutospacing="1"/>
    </w:pPr>
    <w:rPr>
      <w:sz w:val="24"/>
      <w:szCs w:val="24"/>
    </w:rPr>
  </w:style>
  <w:style w:type="paragraph" w:styleId="Comment">
    <w:name w:val="Comment"/>
    <w:basedOn w:val="Normal"/>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comments" Target="comment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doi.org/10.1111/1469-8676.13096"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1440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2026-09-11T19:56:18Z</dcterms:created>
  <dc:creator/>
  <dc:description/>
  <dc:language>en-US</dc:language>
  <cp:lastModifiedBy/>
  <dcterms:modified xsi:type="dcterms:W3CDTF">2026-09-12T20:15:15Z</dcterms:modified>
  <cp:revision>2</cp:revision>
  <dc:subject/>
  <dc:title/>
</cp:coreProperties>
</file>