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start"/>
        <w:rPr>
          <w:b/>
          <w:bCs/>
        </w:rPr>
      </w:pPr>
      <w:r>
        <w:rPr>
          <w:b/>
          <w:bCs/>
        </w:rPr>
        <w:t>Conclusion</w:t>
      </w:r>
    </w:p>
    <w:p>
      <w:pPr>
        <w:pStyle w:val="Normal"/>
        <w:bidi w:val="0"/>
        <w:spacing w:lineRule="auto" w:line="480"/>
        <w:jc w:val="start"/>
        <w:rPr/>
      </w:pPr>
      <w:r>
        <w:rPr/>
        <w:tab/>
      </w:r>
      <w:r>
        <w:rPr/>
        <w:t>Today, the majority of rubber produced for the market is synthetic, totaling 15 million metric tons to natural rubbers 13.5 million in 2017.</w:t>
      </w:r>
      <w:r>
        <w:rPr>
          <w:rStyle w:val="FootnoteReference"/>
        </w:rPr>
        <w:footnoteReference w:id="2"/>
      </w:r>
      <w:r>
        <w:rPr/>
        <w:t xml:space="preserve"> Experimentation in synthetic rubber is almost as old as the period of industrial rubber itself, but it was not produced in commercial quantities until after World War I when the USSR and Germany took an interest in it.</w:t>
      </w:r>
      <w:r>
        <w:rPr>
          <w:rStyle w:val="FootnoteReference"/>
        </w:rPr>
        <w:footnoteReference w:id="3"/>
      </w:r>
      <w:r>
        <w:rPr/>
        <w:t xml:space="preserve"> However, due to the low price of natural rubber during the 1930s, synthetic rubber was not produced in truly great quantities until the Second World War. In 1941, Japan occupied Malaya and effectively cut off the West from its main source of rubber</w:t>
      </w:r>
      <w:r>
        <w:rPr/>
        <w:t>.</w:t>
      </w:r>
      <w:r>
        <w:rPr>
          <w:rStyle w:val="FootnoteReference"/>
        </w:rPr>
        <w:footnoteReference w:id="4"/>
      </w:r>
      <w:r>
        <w:rPr/>
        <w:t xml:space="preserve"> By the next year, "Standard and Firestone reached full-scale production of synthetic rubber based on petroleum and coal, making 1 million tons of rubber per year."</w:t>
      </w:r>
      <w:r>
        <w:rPr>
          <w:rStyle w:val="FootnoteReference"/>
        </w:rPr>
        <w:footnoteReference w:id="5"/>
      </w:r>
      <w:r>
        <w:rPr/>
        <w:t xml:space="preserve"> After the war, there was a renewal of rubber plantations in Asia, but synthetic rubber production grew 3 times as fast as natural rubber production in the 25 years following the war.</w:t>
      </w:r>
      <w:r>
        <w:rPr>
          <w:rStyle w:val="FootnoteReference"/>
        </w:rPr>
        <w:footnoteReference w:id="6"/>
      </w:r>
      <w:r>
        <w:rPr/>
        <w:t xml:space="preserve"> The era of natural rubber was over.</w:t>
      </w:r>
    </w:p>
    <w:p>
      <w:pPr>
        <w:pStyle w:val="Normal"/>
        <w:bidi w:val="0"/>
        <w:spacing w:lineRule="auto" w:line="480"/>
        <w:jc w:val="start"/>
        <w:rPr/>
      </w:pPr>
      <w:r>
        <w:rPr/>
        <w:tab/>
      </w:r>
      <w:r>
        <w:rPr/>
        <w:t xml:space="preserve">This dissertation has shown </w:t>
      </w:r>
      <w:r>
        <w:rPr/>
        <w:t>what happened to the workers who powered the natural rubber industry: most of them died. In the Amazon workers died by the thousands</w:t>
      </w:r>
      <w:r>
        <w:rPr/>
        <w:t>, and in the Congo by the millions</w:t>
      </w:r>
      <w:r>
        <w:rPr/>
        <w:t xml:space="preserve"> - they were murdered, they were worked to death, or they succumbed to tropical diseases. A small portion of Indian migrants to Malaya remained and established a permanent population of Tamils there, but the vast majority either died from overwork or returned to </w:t>
      </w:r>
      <w:r>
        <w:rPr/>
        <w:t>India as "sucked oranges," alive but drained of their vital energies and unable to work. I have referred to these people in the introduction as "proletarian detritus," the dross cast off by the process of proletarianization, and I believe that they are the real legacy of Fordism.</w:t>
      </w:r>
    </w:p>
    <w:p>
      <w:pPr>
        <w:pStyle w:val="Normal"/>
        <w:bidi w:val="0"/>
        <w:spacing w:lineRule="auto" w:line="480"/>
        <w:jc w:val="start"/>
        <w:rPr/>
      </w:pPr>
      <w:r>
        <w:rPr/>
        <w:tab/>
        <w:t xml:space="preserve">But these workers in the Global South are not alone. Returning to the initial question which started this investigation in 2019 - "Why are all of the houses in Michigan so terrible?" - it is clear that the people in the former center of Fordism have been abandoned by capital as well. </w:t>
      </w:r>
      <w:r>
        <w:rPr/>
        <w:t xml:space="preserve">The automotive companies were, for a time, invested in improving the lives of their employees. Whereas in the Global South it was more profitable to squeeze workers for every drop of labor they had in them, in the North companies were briefly incentivized to give them a comfortable life. High pay and social programs solved several problems for capital: it reduced employee turnover, it reduced the training costs of skilled positions, and it allowed the working class to become consumers, expanding the market. Over time, this math changed and in the 1970s capital began to leave the Midwest, looking for places with cheaper labor, and more relaxed labor laws. Their former workers, tied down by mortgages and families, were not so flexible, and they remained behind in dying cities. This was especially true for Black workers who had been excluded from many of the benefits of the Fordist era. </w:t>
      </w:r>
    </w:p>
    <w:p>
      <w:pPr>
        <w:pStyle w:val="Normal"/>
        <w:bidi w:val="0"/>
        <w:spacing w:lineRule="auto" w:line="480"/>
        <w:jc w:val="start"/>
        <w:rPr/>
      </w:pPr>
      <w:r>
        <w:rPr/>
        <w:tab/>
        <w:t xml:space="preserve">The Flint Water Crisis in 2014 demonstrates this dynamic quite well. </w:t>
      </w:r>
      <w:r>
        <w:rPr/>
        <w:t>In the 1960s</w:t>
      </w:r>
      <w:r>
        <w:rPr/>
        <w:t xml:space="preserve"> General Motors employed over </w:t>
      </w:r>
      <w:r>
        <w:rPr/>
        <w:t>70,000</w:t>
      </w:r>
      <w:r>
        <w:rPr/>
        <w:t xml:space="preserve"> in </w:t>
      </w:r>
      <w:r>
        <w:rPr/>
        <w:t>the Flint area.</w:t>
      </w:r>
      <w:r>
        <w:rPr>
          <w:rStyle w:val="FootnoteReference"/>
        </w:rPr>
        <w:footnoteReference w:id="7"/>
      </w:r>
      <w:r>
        <w:rPr/>
        <w:t xml:space="preserve"> In 2023, that number had fallen to 6,500.</w:t>
      </w:r>
      <w:r>
        <w:rPr>
          <w:rStyle w:val="FootnoteReference"/>
        </w:rPr>
        <w:footnoteReference w:id="8"/>
      </w:r>
      <w:r>
        <w:rPr/>
        <w:t xml:space="preserve"> With the collapse of the manufacturing industry in Flint, the city's tax base was eroded and it entered bankruptcy. To save money, the city switched its water source from Detroit to the Flint River. Because the river water was much more corrosive than the water from Detroit, it leached lead from the old pipes and </w:t>
      </w:r>
      <w:r>
        <w:rPr/>
        <w:t>poisoned the homes of Flint's residents. Despite immediate outcry from the residents, it took 18 months for the state to act and provide funds to reconnect the city to Detroit water.</w:t>
      </w:r>
      <w:r>
        <w:rPr>
          <w:rStyle w:val="FootnoteReference"/>
        </w:rPr>
        <w:footnoteReference w:id="9"/>
      </w:r>
      <w:r>
        <w:rPr/>
        <w:t xml:space="preserve"> In the meantime, "</w:t>
      </w:r>
      <w:r>
        <w:rPr/>
        <w:t>nearly 9,000 children were supplied lead</w:t>
      </w:r>
      <w:r>
        <w:rPr/>
        <w:t>-</w:t>
      </w:r>
      <w:r>
        <w:rPr/>
        <w:t>contaminated water for 18 months.</w:t>
      </w:r>
      <w:r>
        <w:rPr/>
        <w:t>"</w:t>
      </w:r>
      <w:r>
        <w:rPr>
          <w:rStyle w:val="FootnoteReference"/>
        </w:rPr>
        <w:footnoteReference w:id="10"/>
      </w:r>
      <w:r>
        <w:rPr/>
        <w:t xml:space="preserve"> Parallel to this, the river water was linked to a </w:t>
      </w:r>
      <w:r>
        <w:rPr/>
        <w:t>Legionnaires</w:t>
      </w:r>
      <w:r>
        <w:rPr/>
        <w:t>' disease outbreak that killed 12 people in the city.</w:t>
      </w:r>
      <w:r>
        <w:rPr>
          <w:rStyle w:val="FootnoteReference"/>
        </w:rPr>
        <w:footnoteReference w:id="11"/>
      </w:r>
    </w:p>
    <w:p>
      <w:pPr>
        <w:pStyle w:val="Normal"/>
        <w:bidi w:val="0"/>
        <w:spacing w:lineRule="auto" w:line="480"/>
        <w:jc w:val="start"/>
        <w:rPr/>
      </w:pPr>
      <w:r>
        <w:rPr/>
        <w:tab/>
      </w:r>
      <w:r>
        <w:rPr/>
        <w:t>While the state and city officials were sitting on their hands, General Motors sprang into action - to protect itself.</w:t>
      </w:r>
      <w:r>
        <w:rPr/>
        <w:t xml:space="preserve"> The corporation noticed that the new water was corroding the engine blocks at its engine factory. While the state was lying to the public, stating that the water in Flint was safe to drink, General Motors "began working through the bureaucratic red tape of extracting itself from its Flint water contract and hooking into [Flint] township, which use[d] water treated by Detroit."</w:t>
      </w:r>
      <w:r>
        <w:rPr>
          <w:rStyle w:val="FootnoteReference"/>
        </w:rPr>
        <w:footnoteReference w:id="12"/>
      </w:r>
      <w:r>
        <w:rPr/>
        <w:t xml:space="preserve"> </w:t>
      </w:r>
      <w:r>
        <w:rPr/>
        <w:t>The residents of the city of Flint did not have this option. In a cruel twist of fate, General Motors had abandoned its previous mission of investing in the quality of life of its employees, only donating $50,000 to purchase water filters for Flint residents - about 63 cents per person.</w:t>
      </w:r>
      <w:r>
        <w:rPr>
          <w:rStyle w:val="FootnoteReference"/>
        </w:rPr>
        <w:footnoteReference w:id="13"/>
      </w:r>
      <w:r>
        <w:rPr/>
        <w:t xml:space="preserve"> </w:t>
      </w:r>
      <w:r>
        <w:rPr/>
        <w:t>The company stepped back and watched a</w:t>
      </w:r>
      <w:r>
        <w:rPr/>
        <w:t>s</w:t>
      </w:r>
      <w:r>
        <w:rPr/>
        <w:t xml:space="preserve"> people got sick and died in their homes from the water system in the city that it had built.</w:t>
      </w:r>
      <w:r>
        <w:rPr/>
        <w:t xml:space="preserve"> </w:t>
      </w:r>
    </w:p>
    <w:p>
      <w:pPr>
        <w:pStyle w:val="Normal"/>
        <w:bidi w:val="0"/>
        <w:spacing w:lineRule="auto" w:line="480"/>
        <w:jc w:val="start"/>
        <w:rPr/>
      </w:pPr>
      <w:r>
        <w:rPr/>
      </w:r>
    </w:p>
    <w:p>
      <w:pPr>
        <w:pStyle w:val="Normal"/>
        <w:bidi w:val="0"/>
        <w:spacing w:lineRule="auto" w:line="480"/>
        <w:jc w:val="start"/>
        <w:rPr/>
      </w:pPr>
      <w:r>
        <w:rPr/>
      </w:r>
    </w:p>
    <w:p>
      <w:pPr>
        <w:pStyle w:val="Normal"/>
        <w:bidi w:val="0"/>
        <w:spacing w:lineRule="auto" w:line="480"/>
        <w:jc w:val="start"/>
        <w:rPr/>
      </w:pPr>
      <w:r>
        <w:rPr/>
      </w:r>
    </w:p>
    <w:p>
      <w:pPr>
        <w:pStyle w:val="Normal"/>
        <w:bidi w:val="0"/>
        <w:spacing w:lineRule="auto" w:line="480"/>
        <w:jc w:val="start"/>
        <w:rPr/>
      </w:pPr>
      <w:r>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Natalie Aster, “Natural vs. Synthetic Rubber: Key Market Trends &amp; Statistics,” Market Publishers, July 31, 2018, </w:t>
      </w:r>
      <w:hyperlink r:id="rId1">
        <w:r>
          <w:rPr>
            <w:rStyle w:val="Hyperlink"/>
          </w:rPr>
          <w:t>https://marketpublishers.com/lists/23821/news.html</w:t>
        </w:r>
      </w:hyperlink>
      <w:r>
        <w:rPr/>
        <w:t>.</w:t>
      </w:r>
    </w:p>
  </w:footnote>
  <w:footnote w:id="3">
    <w:p>
      <w:pPr>
        <w:pStyle w:val="FootnoteText"/>
        <w:rPr/>
      </w:pPr>
      <w:r>
        <w:rPr>
          <w:rStyle w:val="FootnoteCharacters"/>
        </w:rPr>
        <w:footnoteRef/>
      </w:r>
      <w:r>
        <w:rPr/>
        <w:tab/>
        <w:t xml:space="preserve">Maurice Morton, </w:t>
      </w:r>
      <w:r>
        <w:rPr>
          <w:i/>
        </w:rPr>
        <w:t>History of Synthetic Rubber</w:t>
      </w:r>
      <w:r>
        <w:rPr/>
        <w:t>, 15, no. 7 (1981)</w:t>
      </w:r>
      <w:r>
        <w:rPr/>
        <w:t>,</w:t>
      </w:r>
      <w:r>
        <w:rPr/>
        <w:t xml:space="preserve"> 1293</w:t>
      </w:r>
      <w:r>
        <w:rPr/>
        <w:t>.</w:t>
      </w:r>
    </w:p>
  </w:footnote>
  <w:footnote w:id="4">
    <w:p>
      <w:pPr>
        <w:pStyle w:val="FootnoteText"/>
        <w:rPr/>
      </w:pPr>
      <w:r>
        <w:rPr>
          <w:rStyle w:val="FootnoteCharacters"/>
        </w:rPr>
        <w:footnoteRef/>
      </w:r>
      <w:r>
        <w:rPr/>
        <w:tab/>
        <w:t xml:space="preserve">Richard Tucker, “Rubber,” in </w:t>
      </w:r>
      <w:r>
        <w:rPr>
          <w:i/>
        </w:rPr>
        <w:t>The Cambridge World History</w:t>
      </w:r>
      <w:r>
        <w:rPr/>
        <w:t>, The Cambridge World History, ed. J. R. McNeill and Kenneth Pomeranz (Cambridge University Press, 2015)</w:t>
      </w:r>
      <w:r>
        <w:rPr/>
        <w:t>,</w:t>
      </w:r>
      <w:r>
        <w:rPr/>
        <w:t xml:space="preserve"> 430</w:t>
      </w:r>
      <w:r>
        <w:rPr/>
        <w:t>.</w:t>
      </w:r>
    </w:p>
  </w:footnote>
  <w:footnote w:id="5">
    <w:p>
      <w:pPr>
        <w:pStyle w:val="FootnoteText"/>
        <w:rPr/>
      </w:pPr>
      <w:r>
        <w:rPr>
          <w:rStyle w:val="FootnoteCharacters"/>
        </w:rPr>
        <w:footnoteRef/>
      </w:r>
      <w:r>
        <w:rPr/>
        <w:tab/>
        <w:t>Tucker, “Rubber</w:t>
      </w:r>
      <w:r>
        <w:rPr/>
        <w:t>,</w:t>
      </w:r>
      <w:r>
        <w:rPr/>
        <w:t>” 435</w:t>
      </w:r>
      <w:r>
        <w:rPr/>
        <w:t>.</w:t>
      </w:r>
    </w:p>
  </w:footnote>
  <w:footnote w:id="6">
    <w:p>
      <w:pPr>
        <w:pStyle w:val="FootnoteText"/>
        <w:rPr/>
      </w:pPr>
      <w:r>
        <w:rPr>
          <w:rStyle w:val="FootnoteCharacters"/>
        </w:rPr>
        <w:footnoteRef/>
      </w:r>
      <w:r>
        <w:rPr/>
        <w:tab/>
        <w:t>Tucker, “Rubber</w:t>
      </w:r>
      <w:r>
        <w:rPr/>
        <w:t>,</w:t>
      </w:r>
      <w:r>
        <w:rPr/>
        <w:t>” 43</w:t>
      </w:r>
      <w:r>
        <w:rPr/>
        <w:t>6.</w:t>
      </w:r>
    </w:p>
  </w:footnote>
  <w:footnote w:id="7">
    <w:p>
      <w:pPr>
        <w:pStyle w:val="FootnoteText"/>
        <w:rPr/>
      </w:pPr>
      <w:r>
        <w:rPr>
          <w:rStyle w:val="FootnoteCharacters"/>
        </w:rPr>
        <w:footnoteRef/>
      </w:r>
      <w:r>
        <w:rPr/>
        <w:tab/>
        <w:t xml:space="preserve">Highsmith, </w:t>
      </w:r>
      <w:r>
        <w:rPr>
          <w:i/>
        </w:rPr>
        <w:t>Demolition Means Progress</w:t>
      </w:r>
      <w:r>
        <w:rPr>
          <w:i/>
        </w:rPr>
        <w:t>,</w:t>
      </w:r>
      <w:r>
        <w:rPr/>
        <w:t xml:space="preserve"> 246</w:t>
      </w:r>
      <w:r>
        <w:rPr/>
        <w:t>.</w:t>
      </w:r>
    </w:p>
  </w:footnote>
  <w:footnote w:id="8">
    <w:p>
      <w:pPr>
        <w:pStyle w:val="FootnoteText"/>
        <w:rPr/>
      </w:pPr>
      <w:r>
        <w:rPr>
          <w:rStyle w:val="FootnoteCharacters"/>
        </w:rPr>
        <w:footnoteRef/>
      </w:r>
      <w:r>
        <w:rPr/>
        <w:tab/>
        <w:t xml:space="preserve">Ryan Jeltema, “GM Planning ‘positive Plant Manufacturing Announcement’ in Flint,” </w:t>
      </w:r>
      <w:r>
        <w:rPr/>
        <w:t>a</w:t>
      </w:r>
      <w:r>
        <w:rPr/>
        <w:t>bc12</w:t>
      </w:r>
      <w:r>
        <w:rPr/>
        <w:t xml:space="preserve"> News</w:t>
      </w:r>
      <w:r>
        <w:rPr/>
        <w:t xml:space="preserve">, January 19, 2023, </w:t>
      </w:r>
      <w:hyperlink r:id="rId2">
        <w:r>
          <w:rPr>
            <w:rStyle w:val="Hyperlink"/>
          </w:rPr>
          <w:t>https://www.abc12.com/news/business/gm-planning-positive-plant-manufacturing-announcement-in-flint/article_da598552-981c-11ed-a28a-2f3f6df08e46.html</w:t>
        </w:r>
      </w:hyperlink>
      <w:r>
        <w:rPr/>
        <w:t>.</w:t>
      </w:r>
    </w:p>
  </w:footnote>
  <w:footnote w:id="9">
    <w:p>
      <w:pPr>
        <w:pStyle w:val="FootnoteText"/>
        <w:rPr/>
      </w:pPr>
      <w:r>
        <w:rPr>
          <w:rStyle w:val="FootnoteCharacters"/>
        </w:rPr>
        <w:footnoteRef/>
      </w:r>
      <w:r>
        <w:rPr/>
        <w:tab/>
        <w:t xml:space="preserve">Kenyon P. Cavender, “Predatory Inclusion and the Flint Water Crisis,” </w:t>
      </w:r>
      <w:r>
        <w:rPr>
          <w:i/>
        </w:rPr>
        <w:t>Science &amp; Society</w:t>
      </w:r>
      <w:r>
        <w:rPr/>
        <w:t xml:space="preserve"> 87, no. 1 (2023): 8–20.</w:t>
      </w:r>
    </w:p>
  </w:footnote>
  <w:footnote w:id="10">
    <w:p>
      <w:pPr>
        <w:pStyle w:val="FootnoteText"/>
        <w:rPr/>
      </w:pPr>
      <w:r>
        <w:rPr>
          <w:rStyle w:val="FootnoteCharacters"/>
        </w:rPr>
        <w:footnoteRef/>
      </w:r>
      <w:r>
        <w:rPr/>
        <w:tab/>
        <w:t xml:space="preserve">Melissa Denchak, “Flint Water Crisis: Everything You Need to Know,” Natural Resources Defense Council, July 14, 2026, </w:t>
      </w:r>
      <w:hyperlink r:id="rId3">
        <w:r>
          <w:rPr>
            <w:rStyle w:val="Hyperlink"/>
          </w:rPr>
          <w:t>https://www.nrdc.org/stories/flint-water-crisis-everything-you-need-know</w:t>
        </w:r>
      </w:hyperlink>
      <w:r>
        <w:rPr/>
        <w:t>.</w:t>
      </w:r>
    </w:p>
  </w:footnote>
  <w:footnote w:id="11">
    <w:p>
      <w:pPr>
        <w:pStyle w:val="FootnoteText"/>
        <w:rPr/>
      </w:pPr>
      <w:r>
        <w:rPr>
          <w:rStyle w:val="FootnoteCharacters"/>
        </w:rPr>
        <w:footnoteRef/>
      </w:r>
      <w:r>
        <w:rPr/>
        <w:tab/>
        <w:t>Denchak, “Flint Water Crisis: Everything You Need to Know.”</w:t>
      </w:r>
    </w:p>
  </w:footnote>
  <w:footnote w:id="12">
    <w:p>
      <w:pPr>
        <w:pStyle w:val="FootnoteText"/>
        <w:rPr/>
      </w:pPr>
      <w:r>
        <w:rPr>
          <w:rStyle w:val="FootnoteCharacters"/>
        </w:rPr>
        <w:footnoteRef/>
      </w:r>
      <w:r>
        <w:rPr/>
        <w:tab/>
        <w:t xml:space="preserve">Mike Colias, “How GM Saved Itself from Flint Water Crisis,” Auto News, January 31, 2016, </w:t>
      </w:r>
      <w:hyperlink r:id="rId4">
        <w:r>
          <w:rPr>
            <w:rStyle w:val="Hyperlink"/>
          </w:rPr>
          <w:t>https://www.autonews.com/article/20160131/OEM01/302019964/how-gm-saved-itself-from-flint-water-crisis/</w:t>
        </w:r>
      </w:hyperlink>
      <w:r>
        <w:rPr/>
        <w:t>.</w:t>
      </w:r>
    </w:p>
  </w:footnote>
  <w:footnote w:id="13">
    <w:p>
      <w:pPr>
        <w:pStyle w:val="FootnoteText"/>
        <w:rPr/>
      </w:pPr>
      <w:r>
        <w:rPr>
          <w:rStyle w:val="FootnoteCharacters"/>
        </w:rPr>
        <w:footnoteRef/>
      </w:r>
      <w:r>
        <w:rPr/>
        <w:tab/>
        <w:t>Colias, “How GM Saved Itself from Flint Water Crisis.”</w:t>
      </w:r>
    </w:p>
  </w:footnote>
</w:footnotes>
</file>

<file path=word/settings.xml><?xml version="1.0" encoding="utf-8"?>
<w:settings xmlns:w="http://schemas.openxmlformats.org/wordprocessingml/2006/main">
  <w:zoom w:percent="85"/>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marketpublishers.com/lists/23821/news.html" TargetMode="External"/><Relationship Id="rId2" Type="http://schemas.openxmlformats.org/officeDocument/2006/relationships/hyperlink" Target="https://www.abc12.com/news/business/gm-planning-positive-plant-manufacturing-announcement-in-flint/article_da598552-981c-11ed-a28a-2f3f6df08e46.html" TargetMode="External"/><Relationship Id="rId3" Type="http://schemas.openxmlformats.org/officeDocument/2006/relationships/hyperlink" Target="https://www.nrdc.org/stories/flint-water-crisis-everything-you-need-know" TargetMode="External"/><Relationship Id="rId4" Type="http://schemas.openxmlformats.org/officeDocument/2006/relationships/hyperlink" Target="https://www.autonews.com/article/20160131/OEM01/302019964/how-gm-saved-itself-from-flint-water-crisi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399</TotalTime>
  <Application>LibreOffice/24.2.7.2$Linux_X86_64 LibreOffice_project/420$Build-2</Application>
  <AppVersion>15.0000</AppVersion>
  <Pages>2</Pages>
  <Words>442</Words>
  <Characters>2585</Characters>
  <CharactersWithSpaces>3005</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2026-07-26T15:17:53Z</dcterms:created>
  <dc:creator/>
  <dc:description/>
  <dc:language>en-US</dc:language>
  <cp:lastModifiedBy/>
  <dcterms:modified xsi:type="dcterms:W3CDTF">2026-08-01T19:59:22Z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