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529_2635373873">
            <w:r>
              <w:rPr>
                <w:rStyle w:val="IndexLink"/>
              </w:rPr>
              <w:t>Reading Plan</w:t>
            </w:r>
            <w:r>
              <w:rPr>
                <w:rStyle w:val="IndexLink"/>
              </w:rPr>
              <w:tab/>
              <w:t>2</w:t>
            </w:r>
          </w:hyperlink>
        </w:p>
        <w:p>
          <w:pPr>
            <w:pStyle w:val="TOC1"/>
            <w:tabs>
              <w:tab w:val="clear" w:pos="9972"/>
              <w:tab w:val="right" w:pos="9971" w:leader="dot"/>
            </w:tabs>
            <w:rPr/>
          </w:pPr>
          <w:hyperlink w:anchor="__RefHeading___Toc785_3372658028">
            <w:r>
              <w:rPr>
                <w:rStyle w:val="IndexLink"/>
              </w:rPr>
              <w:t>General Thoughts on Plato</w:t>
              <w:tab/>
              <w:t>3</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4</w:t>
            </w:r>
          </w:hyperlink>
        </w:p>
        <w:p>
          <w:pPr>
            <w:pStyle w:val="TOC2"/>
            <w:tabs>
              <w:tab w:val="clear" w:pos="9689"/>
              <w:tab w:val="right" w:pos="9971" w:leader="dot"/>
            </w:tabs>
            <w:rPr/>
          </w:pPr>
          <w:hyperlink w:anchor="__RefHeading___Toc132_2392393402">
            <w:r>
              <w:rPr>
                <w:rStyle w:val="IndexLink"/>
              </w:rPr>
              <w:t>Introduction</w:t>
              <w:tab/>
              <w:t>4</w:t>
            </w:r>
          </w:hyperlink>
        </w:p>
        <w:p>
          <w:pPr>
            <w:pStyle w:val="TOC2"/>
            <w:tabs>
              <w:tab w:val="clear" w:pos="9689"/>
              <w:tab w:val="right" w:pos="9971" w:leader="dot"/>
            </w:tabs>
            <w:rPr/>
          </w:pPr>
          <w:hyperlink w:anchor="__RefHeading___Toc134_2392393402">
            <w:r>
              <w:rPr>
                <w:rStyle w:val="IndexLink"/>
              </w:rPr>
              <w:t>Chapter 1: The False Socrates</w:t>
              <w:tab/>
              <w:t>5</w:t>
            </w:r>
          </w:hyperlink>
        </w:p>
        <w:p>
          <w:pPr>
            <w:pStyle w:val="TOC3"/>
            <w:tabs>
              <w:tab w:val="clear" w:pos="9405"/>
              <w:tab w:val="right" w:pos="9971" w:leader="dot"/>
            </w:tabs>
            <w:rPr/>
          </w:pPr>
          <w:hyperlink w:anchor="__RefHeading___Toc136_2392393402">
            <w:r>
              <w:rPr>
                <w:rStyle w:val="IndexLink"/>
              </w:rPr>
              <w:t>Section 1.1: The Opening Address</w:t>
              <w:tab/>
              <w:t>6</w:t>
            </w:r>
          </w:hyperlink>
        </w:p>
        <w:p>
          <w:pPr>
            <w:pStyle w:val="TOC3"/>
            <w:tabs>
              <w:tab w:val="clear" w:pos="9405"/>
              <w:tab w:val="right" w:pos="9971" w:leader="dot"/>
            </w:tabs>
            <w:rPr/>
          </w:pPr>
          <w:hyperlink w:anchor="__RefHeading___Toc87_2713880148">
            <w:r>
              <w:rPr>
                <w:rStyle w:val="IndexLink"/>
              </w:rPr>
              <w:t>Section 1.2: The Defense Against the Popular Caricature</w:t>
              <w:tab/>
              <w:t>6</w:t>
            </w:r>
          </w:hyperlink>
        </w:p>
        <w:p>
          <w:pPr>
            <w:pStyle w:val="TOC3"/>
            <w:tabs>
              <w:tab w:val="clear" w:pos="9405"/>
              <w:tab w:val="right" w:pos="9971" w:leader="dot"/>
            </w:tabs>
            <w:rPr/>
          </w:pPr>
          <w:hyperlink w:anchor="__RefHeading___Toc89_2713880148">
            <w:r>
              <w:rPr>
                <w:rStyle w:val="IndexLink"/>
              </w:rPr>
              <w:t>Section 1.3: Socrates' Disclaimer of Science and Oratory</w:t>
              <w:tab/>
              <w:t>6</w:t>
            </w:r>
          </w:hyperlink>
        </w:p>
        <w:p>
          <w:pPr>
            <w:pStyle w:val="TOC3"/>
            <w:tabs>
              <w:tab w:val="clear" w:pos="9405"/>
              <w:tab w:val="right" w:pos="9971" w:leader="dot"/>
            </w:tabs>
            <w:rPr/>
          </w:pPr>
          <w:hyperlink w:anchor="__RefHeading___Toc117_3408342477">
            <w:r>
              <w:rPr>
                <w:rStyle w:val="IndexLink"/>
              </w:rPr>
              <w:t>Section 1.5: Why Delphi Praised Socrates' Wisdom</w:t>
              <w:tab/>
              <w:t>7</w:t>
            </w:r>
          </w:hyperlink>
        </w:p>
        <w:p>
          <w:pPr>
            <w:pStyle w:val="TOC3"/>
            <w:tabs>
              <w:tab w:val="clear" w:pos="9405"/>
              <w:tab w:val="right" w:pos="9971" w:leader="dot"/>
            </w:tabs>
            <w:rPr/>
          </w:pPr>
          <w:hyperlink w:anchor="__RefHeading___Toc119_3408342477">
            <w:r>
              <w:rPr>
                <w:rStyle w:val="IndexLink"/>
              </w:rPr>
              <w:t>Section 1.6: Human Wisdom</w:t>
              <w:tab/>
              <w:t>7</w:t>
            </w:r>
          </w:hyperlink>
        </w:p>
        <w:p>
          <w:pPr>
            <w:pStyle w:val="TOC3"/>
            <w:tabs>
              <w:tab w:val="clear" w:pos="9405"/>
              <w:tab w:val="right" w:pos="9971" w:leader="dot"/>
            </w:tabs>
            <w:rPr/>
          </w:pPr>
          <w:hyperlink w:anchor="__RefHeading___Toc121_3408342477">
            <w:r>
              <w:rPr>
                <w:rStyle w:val="IndexLink"/>
              </w:rPr>
              <w:t>Section 1.7 Expert Knowledge</w:t>
              <w:tab/>
              <w:t>7</w:t>
            </w:r>
          </w:hyperlink>
        </w:p>
        <w:p>
          <w:pPr>
            <w:pStyle w:val="TOC3"/>
            <w:tabs>
              <w:tab w:val="clear" w:pos="9405"/>
              <w:tab w:val="right" w:pos="9971" w:leader="dot"/>
            </w:tabs>
            <w:rPr/>
          </w:pPr>
          <w:hyperlink w:anchor="__RefHeading___Toc790_296639532">
            <w:r>
              <w:rPr>
                <w:rStyle w:val="IndexLink"/>
              </w:rPr>
              <w:t>Section 1.8: Nonexpert Knowledge</w:t>
              <w:tab/>
              <w:t>8</w:t>
            </w:r>
          </w:hyperlink>
        </w:p>
        <w:p>
          <w:pPr>
            <w:pStyle w:val="TOC3"/>
            <w:tabs>
              <w:tab w:val="clear" w:pos="9405"/>
              <w:tab w:val="right" w:pos="9971" w:leader="dot"/>
            </w:tabs>
            <w:rPr/>
          </w:pPr>
          <w:hyperlink w:anchor="__RefHeading___Toc792_296639532">
            <w:r>
              <w:rPr>
                <w:rStyle w:val="IndexLink"/>
              </w:rPr>
              <w:t>Section 1.9: Socrates' Disclaimer of Knowledge</w:t>
              <w:tab/>
              <w:t>9</w:t>
            </w:r>
          </w:hyperlink>
        </w:p>
        <w:p>
          <w:pPr>
            <w:pStyle w:val="TOC3"/>
            <w:tabs>
              <w:tab w:val="clear" w:pos="9405"/>
              <w:tab w:val="right" w:pos="9971" w:leader="dot"/>
            </w:tabs>
            <w:rPr/>
          </w:pPr>
          <w:hyperlink w:anchor="__RefHeading___Toc309_3285117533">
            <w:r>
              <w:rPr>
                <w:rStyle w:val="IndexLink"/>
              </w:rPr>
              <w:t>Section 1.10: Socrates' Ethical Religion</w:t>
              <w:tab/>
              <w:t>10</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11</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13</w:t>
            </w:r>
          </w:hyperlink>
        </w:p>
        <w:p>
          <w:pPr>
            <w:pStyle w:val="TOC2"/>
            <w:tabs>
              <w:tab w:val="clear" w:pos="9689"/>
              <w:tab w:val="right" w:pos="9971" w:leader="dot"/>
            </w:tabs>
            <w:rPr/>
          </w:pPr>
          <w:hyperlink w:anchor="__RefHeading___Toc351_108083030">
            <w:r>
              <w:rPr>
                <w:rStyle w:val="IndexLink"/>
              </w:rPr>
              <w:t>Book 1</w:t>
              <w:tab/>
              <w:t>13</w:t>
            </w:r>
          </w:hyperlink>
        </w:p>
        <w:p>
          <w:pPr>
            <w:pStyle w:val="TOC2"/>
            <w:tabs>
              <w:tab w:val="clear" w:pos="9689"/>
              <w:tab w:val="right" w:pos="9971" w:leader="dot"/>
            </w:tabs>
            <w:rPr/>
          </w:pPr>
          <w:hyperlink w:anchor="__RefHeading___Toc399_4167243234">
            <w:r>
              <w:rPr>
                <w:rStyle w:val="IndexLink"/>
              </w:rPr>
              <w:t>Book 2</w:t>
              <w:tab/>
              <w:t>14</w:t>
            </w:r>
          </w:hyperlink>
        </w:p>
        <w:p>
          <w:pPr>
            <w:pStyle w:val="TOC2"/>
            <w:tabs>
              <w:tab w:val="clear" w:pos="9689"/>
              <w:tab w:val="right" w:pos="9971" w:leader="dot"/>
            </w:tabs>
            <w:rPr/>
          </w:pPr>
          <w:hyperlink w:anchor="__RefHeading___Toc447_3051999764">
            <w:r>
              <w:rPr>
                <w:rStyle w:val="IndexLink"/>
              </w:rPr>
              <w:t>Book 3</w:t>
              <w:tab/>
              <w:t>16</w:t>
            </w:r>
          </w:hyperlink>
        </w:p>
        <w:p>
          <w:pPr>
            <w:pStyle w:val="TOC2"/>
            <w:tabs>
              <w:tab w:val="clear" w:pos="9689"/>
              <w:tab w:val="right" w:pos="9971" w:leader="dot"/>
            </w:tabs>
            <w:rPr/>
          </w:pPr>
          <w:hyperlink w:anchor="__RefHeading___Toc466_4082133535">
            <w:r>
              <w:rPr>
                <w:rStyle w:val="IndexLink"/>
              </w:rPr>
              <w:t>Book 4</w:t>
              <w:tab/>
              <w:t>17</w:t>
            </w:r>
          </w:hyperlink>
        </w:p>
        <w:p>
          <w:pPr>
            <w:pStyle w:val="TOC2"/>
            <w:tabs>
              <w:tab w:val="clear" w:pos="9689"/>
              <w:tab w:val="right" w:pos="9971" w:leader="dot"/>
            </w:tabs>
            <w:rPr/>
          </w:pPr>
          <w:hyperlink w:anchor="__RefHeading___Toc1068_2615624870">
            <w:r>
              <w:rPr>
                <w:rStyle w:val="IndexLink"/>
              </w:rPr>
              <w:t>Book 5</w:t>
              <w:tab/>
              <w:t>18</w:t>
            </w:r>
          </w:hyperlink>
        </w:p>
        <w:p>
          <w:pPr>
            <w:pStyle w:val="TOC2"/>
            <w:tabs>
              <w:tab w:val="clear" w:pos="9689"/>
              <w:tab w:val="right" w:pos="9971" w:leader="dot"/>
            </w:tabs>
            <w:rPr/>
          </w:pPr>
          <w:hyperlink w:anchor="__RefHeading___Toc557_2492527397">
            <w:r>
              <w:rPr>
                <w:rStyle w:val="IndexLink"/>
              </w:rPr>
              <w:t>Book 6</w:t>
              <w:tab/>
              <w:t>19</w:t>
            </w:r>
          </w:hyperlink>
        </w:p>
        <w:p>
          <w:pPr>
            <w:pStyle w:val="TOC2"/>
            <w:tabs>
              <w:tab w:val="clear" w:pos="9689"/>
              <w:tab w:val="right" w:pos="9971" w:leader="dot"/>
            </w:tabs>
            <w:rPr/>
          </w:pPr>
          <w:hyperlink w:anchor="__RefHeading___Toc604_811121753">
            <w:r>
              <w:rPr>
                <w:rStyle w:val="IndexLink"/>
              </w:rPr>
              <w:t>Book 7</w:t>
              <w:tab/>
              <w:t>21</w:t>
            </w:r>
          </w:hyperlink>
        </w:p>
        <w:p>
          <w:pPr>
            <w:pStyle w:val="TOC2"/>
            <w:tabs>
              <w:tab w:val="clear" w:pos="9689"/>
              <w:tab w:val="right" w:pos="9971" w:leader="dot"/>
            </w:tabs>
            <w:rPr/>
          </w:pPr>
          <w:hyperlink w:anchor="__RefHeading___Toc606_811121753">
            <w:r>
              <w:rPr>
                <w:rStyle w:val="IndexLink"/>
              </w:rPr>
              <w:t>Book 8</w:t>
              <w:tab/>
              <w:t>23</w:t>
            </w:r>
          </w:hyperlink>
        </w:p>
        <w:p>
          <w:pPr>
            <w:pStyle w:val="TOC2"/>
            <w:tabs>
              <w:tab w:val="clear" w:pos="9689"/>
              <w:tab w:val="right" w:pos="9971" w:leader="dot"/>
            </w:tabs>
            <w:rPr/>
          </w:pPr>
          <w:hyperlink w:anchor="__RefHeading___Toc654_811121753">
            <w:r>
              <w:rPr>
                <w:rStyle w:val="IndexLink"/>
              </w:rPr>
              <w:t>Book 9</w:t>
              <w:tab/>
              <w:t>24</w:t>
            </w:r>
          </w:hyperlink>
        </w:p>
        <w:p>
          <w:pPr>
            <w:pStyle w:val="TOC2"/>
            <w:tabs>
              <w:tab w:val="clear" w:pos="9689"/>
              <w:tab w:val="right" w:pos="9971" w:leader="dot"/>
            </w:tabs>
            <w:rPr/>
          </w:pPr>
          <w:hyperlink w:anchor="__RefHeading___Toc701_1540358495">
            <w:r>
              <w:rPr>
                <w:rStyle w:val="IndexLink"/>
              </w:rPr>
              <w:t>Book 10</w:t>
              <w:tab/>
              <w:t>25</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26</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28</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31</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39</w:t>
            </w:r>
          </w:hyperlink>
        </w:p>
        <w:p>
          <w:pPr>
            <w:pStyle w:val="TOC2"/>
            <w:tabs>
              <w:tab w:val="clear" w:pos="9689"/>
              <w:tab w:val="right" w:pos="9971" w:leader="dot"/>
            </w:tabs>
            <w:rPr/>
          </w:pPr>
          <w:hyperlink w:anchor="__RefHeading___Toc699_4085072657">
            <w:r>
              <w:rPr>
                <w:rStyle w:val="IndexLink"/>
              </w:rPr>
              <w:t>Introduction, Ralph Lerner</w:t>
              <w:tab/>
              <w:t>39</w:t>
            </w:r>
          </w:hyperlink>
        </w:p>
        <w:p>
          <w:pPr>
            <w:pStyle w:val="TOC2"/>
            <w:tabs>
              <w:tab w:val="clear" w:pos="9689"/>
              <w:tab w:val="right" w:pos="9971" w:leader="dot"/>
            </w:tabs>
            <w:rPr/>
          </w:pPr>
          <w:hyperlink w:anchor="__RefHeading___Toc701_4085072657">
            <w:r>
              <w:rPr>
                <w:rStyle w:val="IndexLink"/>
              </w:rPr>
              <w:t>First Treatise</w:t>
              <w:tab/>
              <w:t>39</w:t>
            </w:r>
          </w:hyperlink>
        </w:p>
        <w:p>
          <w:pPr>
            <w:pStyle w:val="TOC2"/>
            <w:tabs>
              <w:tab w:val="clear" w:pos="9689"/>
              <w:tab w:val="right" w:pos="9971" w:leader="dot"/>
            </w:tabs>
            <w:rPr/>
          </w:pPr>
          <w:hyperlink w:anchor="__RefHeading___Toc703_4085072657">
            <w:r>
              <w:rPr>
                <w:rStyle w:val="IndexLink"/>
              </w:rPr>
              <w:t>Second Treatise</w:t>
              <w:tab/>
              <w:t>39</w:t>
            </w:r>
          </w:hyperlink>
        </w:p>
        <w:p>
          <w:pPr>
            <w:pStyle w:val="TOC2"/>
            <w:tabs>
              <w:tab w:val="clear" w:pos="9689"/>
              <w:tab w:val="right" w:pos="9971" w:leader="dot"/>
            </w:tabs>
            <w:rPr/>
          </w:pPr>
          <w:hyperlink w:anchor="__RefHeading___Toc705_4085072657">
            <w:r>
              <w:rPr>
                <w:rStyle w:val="IndexLink"/>
              </w:rPr>
              <w:t>Third Treatise</w:t>
              <w:tab/>
              <w:t>39</w:t>
            </w:r>
          </w:hyperlink>
        </w:p>
        <w:p>
          <w:pPr>
            <w:pStyle w:val="TOC1"/>
            <w:tabs>
              <w:tab w:val="clear" w:pos="9972"/>
              <w:tab w:val="right" w:pos="9971" w:leader="dot"/>
            </w:tabs>
            <w:rPr/>
          </w:pPr>
          <w:hyperlink w:anchor="__RefHeading___Toc618_811121753">
            <w:r>
              <w:rPr>
                <w:rStyle w:val="IndexLink"/>
              </w:rPr>
              <w:t>Hegel, Lectures on the History of Philosophy</w:t>
              <w:tab/>
              <w:t>40</w:t>
            </w:r>
          </w:hyperlink>
        </w:p>
        <w:p>
          <w:pPr>
            <w:pStyle w:val="TOC2"/>
            <w:tabs>
              <w:tab w:val="clear" w:pos="9689"/>
              <w:tab w:val="right" w:pos="9971" w:leader="dot"/>
            </w:tabs>
            <w:rPr/>
          </w:pPr>
          <w:hyperlink w:anchor="__RefHeading___Toc620_811121753">
            <w:r>
              <w:rPr>
                <w:rStyle w:val="IndexLink"/>
              </w:rPr>
              <w:t>Inaugural Address</w:t>
              <w:tab/>
              <w:t>40</w:t>
            </w:r>
          </w:hyperlink>
        </w:p>
        <w:p>
          <w:pPr>
            <w:pStyle w:val="TOC2"/>
            <w:tabs>
              <w:tab w:val="clear" w:pos="9689"/>
              <w:tab w:val="right" w:pos="9971" w:leader="dot"/>
            </w:tabs>
            <w:rPr/>
          </w:pPr>
          <w:hyperlink w:anchor="__RefHeading___Toc622_811121753">
            <w:r>
              <w:rPr>
                <w:rStyle w:val="IndexLink"/>
              </w:rPr>
              <w:t>Preface</w:t>
              <w:tab/>
              <w:t>40</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xml:space="preserve">; </w:t>
      </w:r>
      <w:r>
        <w:rPr>
          <w:strike/>
        </w:rPr>
        <w:t>De Interpretation</w:t>
      </w:r>
      <w:r>
        <w:rPr/>
        <w:t>; Prior Analytics; Posterior Analytics; Topics; Sophistical Refutations;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auto" w:val="clear"/>
        </w:rPr>
      </w:pPr>
      <w:r>
        <w:rPr>
          <w:shd w:fill="auto" w:val="clear"/>
        </w:rPr>
        <w:t>Descartes (1596 - 1650)</w:t>
      </w:r>
    </w:p>
    <w:p>
      <w:pPr>
        <w:pStyle w:val="Normal"/>
        <w:numPr>
          <w:ilvl w:val="0"/>
          <w:numId w:val="57"/>
        </w:numPr>
        <w:rPr>
          <w:highlight w:val="none"/>
          <w:shd w:fill="auto" w:val="clear"/>
        </w:rPr>
      </w:pPr>
      <w:r>
        <w:rPr>
          <w:shd w:fill="auto" w:val="clear"/>
        </w:rPr>
        <w:t>Meditations on First Philosophy</w:t>
      </w:r>
    </w:p>
    <w:p>
      <w:pPr>
        <w:pStyle w:val="Normal"/>
        <w:rPr>
          <w:highlight w:val="none"/>
          <w:shd w:fill="729FCF" w:val="clear"/>
        </w:rPr>
      </w:pPr>
      <w:r>
        <w:rPr>
          <w:shd w:fill="729FCF" w:val="clear"/>
        </w:rPr>
        <w:t xml:space="preserve">*Hobbes (1588 - 1679) </w:t>
      </w:r>
    </w:p>
    <w:p>
      <w:pPr>
        <w:pStyle w:val="Normal"/>
        <w:rPr>
          <w:highlight w:val="none"/>
          <w:shd w:fill="729FCF" w:val="clear"/>
        </w:rPr>
      </w:pPr>
      <w:r>
        <w:rPr>
          <w:shd w:fill="729FCF" w:val="clear"/>
        </w:rPr>
        <w:t>*Spinoza (1632 - 1677) - Ethics</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numPr>
          <w:ilvl w:val="0"/>
          <w:numId w:val="59"/>
        </w:numPr>
        <w:rPr>
          <w:highlight w:val="none"/>
          <w:shd w:fill="auto" w:val="clear"/>
        </w:rPr>
      </w:pPr>
      <w:r>
        <w:rPr>
          <w:shd w:fill="auto" w:val="clear"/>
        </w:rPr>
        <w:t>Discourse on Metaphysics</w:t>
      </w:r>
    </w:p>
    <w:p>
      <w:pPr>
        <w:pStyle w:val="Normal"/>
        <w:rPr>
          <w:highlight w:val="none"/>
          <w:shd w:fill="729FCF" w:val="clear"/>
        </w:rPr>
      </w:pPr>
      <w:r>
        <w:rPr>
          <w:shd w:fill="729FCF" w:val="clear"/>
        </w:rPr>
        <w:t>*Hume (1711 - 1776)</w:t>
      </w:r>
    </w:p>
    <w:p>
      <w:pPr>
        <w:pStyle w:val="Normal"/>
        <w:numPr>
          <w:ilvl w:val="0"/>
          <w:numId w:val="58"/>
        </w:numPr>
        <w:rPr>
          <w:highlight w:val="none"/>
          <w:shd w:fill="auto" w:val="clear"/>
        </w:rPr>
      </w:pPr>
      <w:r>
        <w:rPr>
          <w:shd w:fill="auto" w:val="clear"/>
        </w:rPr>
        <w:t>Enquiry Concerning Human Understanding</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strike/>
        </w:rPr>
      </w:pPr>
      <w:r>
        <w:rPr>
          <w:strike/>
          <w:shd w:fill="729FCF" w:val="clear"/>
        </w:rPr>
        <w:t>https://plato.stanford.edu/entries/aristotle-logic/</w:t>
      </w:r>
    </w:p>
    <w:p>
      <w:pPr>
        <w:pStyle w:val="Normal"/>
        <w:numPr>
          <w:ilvl w:val="0"/>
          <w:numId w:val="47"/>
        </w:numPr>
        <w:rPr>
          <w:strike/>
        </w:rPr>
      </w:pPr>
      <w:r>
        <w:rPr>
          <w:strike/>
          <w:shd w:fill="729FCF" w:val="clear"/>
        </w:rPr>
        <w:t>https://plato.stanford.edu/entries/aristotle-categories/</w:t>
      </w:r>
    </w:p>
    <w:p>
      <w:pPr>
        <w:pStyle w:val="Normal"/>
        <w:numPr>
          <w:ilvl w:val="0"/>
          <w:numId w:val="47"/>
        </w:numPr>
        <w:rPr>
          <w:strike/>
        </w:rPr>
      </w:pPr>
      <w:r>
        <w:rPr>
          <w:strike/>
          <w:shd w:fill="729FCF"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numPr>
          <w:ilvl w:val="0"/>
          <w:numId w:val="1"/>
        </w:numPr>
        <w:spacing w:before="0" w:after="120"/>
        <w:ind w:hanging="0" w:start="0"/>
        <w:rPr/>
      </w:pPr>
      <w:bookmarkStart w:id="43" w:name="__RefHeading___Toc618_811121753"/>
      <w:bookmarkEnd w:id="43"/>
      <w:r>
        <w:rPr/>
        <w:t>Hegel, Lectures on the History of Philosophy</w:t>
      </w:r>
    </w:p>
    <w:p>
      <w:pPr>
        <w:pStyle w:val="Heading2"/>
        <w:numPr>
          <w:ilvl w:val="1"/>
          <w:numId w:val="1"/>
        </w:numPr>
        <w:ind w:hanging="0" w:start="0"/>
        <w:rPr/>
      </w:pPr>
      <w:bookmarkStart w:id="44" w:name="__RefHeading___Toc620_811121753"/>
      <w:bookmarkEnd w:id="44"/>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5" w:name="__RefHeading___Toc622_811121753"/>
      <w:bookmarkEnd w:id="45"/>
      <w:r>
        <w:rPr/>
        <w:t>Preface</w:t>
      </w:r>
    </w:p>
    <w:p>
      <w:pPr>
        <w:pStyle w:val="Normal"/>
        <w:rPr/>
      </w:pPr>
      <w:r>
        <w:rPr/>
      </w:r>
      <w:r>
        <w:br w:type="page"/>
      </w:r>
    </w:p>
    <w:p>
      <w:pPr>
        <w:pStyle w:val="Heading1"/>
        <w:numPr>
          <w:ilvl w:val="0"/>
          <w:numId w:val="1"/>
        </w:numPr>
        <w:spacing w:before="0" w:after="120"/>
        <w:ind w:hanging="0" w:start="0"/>
        <w:rPr/>
      </w:pPr>
      <w:r>
        <w:rPr/>
        <w:t>Raymond Williams, Marxism and Literature</w:t>
      </w:r>
    </w:p>
    <w:p>
      <w:pPr>
        <w:pStyle w:val="Heading2"/>
        <w:numPr>
          <w:ilvl w:val="1"/>
          <w:numId w:val="1"/>
        </w:numPr>
        <w:ind w:hanging="0" w:start="0"/>
        <w:rPr/>
      </w:pPr>
      <w:r>
        <w:rPr/>
        <w:t>Base and Superstructure</w:t>
      </w:r>
    </w:p>
    <w:p>
      <w:pPr>
        <w:pStyle w:val="BodyText"/>
        <w:rPr>
          <w:i/>
          <w:i/>
          <w:iCs/>
        </w:rPr>
      </w:pPr>
      <w:r>
        <w:rPr>
          <w:i/>
          <w:iCs/>
        </w:rPr>
        <w:t>Williams is writing against the tendency to reduce base and superstructure to categories, or more specifically to distinct elements. The reduction happened in the 'transition from Marx to Marxism'</w:t>
      </w:r>
    </w:p>
    <w:p>
      <w:pPr>
        <w:pStyle w:val="Normal"/>
        <w:numPr>
          <w:ilvl w:val="0"/>
          <w:numId w:val="60"/>
        </w:numPr>
        <w:rPr/>
      </w:pPr>
      <w:r>
        <w:rPr/>
        <w:t>Engels' letter to Bloch, 1890: "According to the materialist conception of history, the ultimately determining element in history is the production and reproduction of real life."</w:t>
      </w:r>
    </w:p>
    <w:p>
      <w:pPr>
        <w:pStyle w:val="Normal"/>
        <w:numPr>
          <w:ilvl w:val="0"/>
          <w:numId w:val="60"/>
        </w:numPr>
        <w:rPr/>
      </w:pPr>
      <w:r>
        <w:rPr/>
        <w:t>(80) "What is fundamentally lacking, in the theoretical formulations of this important period, is any adequate recognition of the indissoluble connections between material production, political and cultural institutions and activity, and consciousness."</w:t>
      </w:r>
    </w:p>
    <w:p>
      <w:pPr>
        <w:pStyle w:val="Normal"/>
        <w:numPr>
          <w:ilvl w:val="0"/>
          <w:numId w:val="60"/>
        </w:numPr>
        <w:rPr/>
      </w:pPr>
      <w:r>
        <w:rPr/>
        <w:t>(80) "But what is wrong with it is its description of these 'elements' as 'sequential', when they are in practice indisoluble: not in the sense that they cannot be distinguished for purposes of analysis, but in the decisive sense that they are not separate 'areas' or 'elements' but the whole, specific activities and products of real men."</w:t>
      </w:r>
    </w:p>
    <w:p>
      <w:pPr>
        <w:pStyle w:val="Normal"/>
        <w:numPr>
          <w:ilvl w:val="0"/>
          <w:numId w:val="60"/>
        </w:numPr>
        <w:rPr/>
      </w:pPr>
      <w:r>
        <w:rPr/>
        <w:t>(81) "Orthodox analysts began to think of 'the base' and the 'superstructure' as if they were separable concrete entities. In do so they lost sight of the very processes - not abstract relations but constitutive processes - which it should have been the special function of historical materialism to emphasize."</w:t>
      </w:r>
    </w:p>
    <w:p>
      <w:pPr>
        <w:pStyle w:val="Normal"/>
        <w:numPr>
          <w:ilvl w:val="0"/>
          <w:numId w:val="60"/>
        </w:numPr>
        <w:rPr/>
      </w:pPr>
      <w:r>
        <w:rPr/>
        <w:t>(81) From Marx, in theories of surplus value: "In order to study the connexion between intellectual and material production it is above all essential to conceive the latter in its determined historical form and not as a general category. For example, there corresponds to the capitalist mode of production a type of intellectual production quite different from that which corresponded to the medieval mode of production. Unless material production itself is understood in its specific historical form, it is impossible to grasp the characteristics of the intellectual production which corresponds to it or the reciprocal action between the two."</w:t>
      </w:r>
    </w:p>
    <w:p>
      <w:pPr>
        <w:pStyle w:val="Normal"/>
        <w:rPr/>
      </w:pPr>
      <w:r>
        <w:rPr/>
      </w:r>
    </w:p>
    <w:p>
      <w:pPr>
        <w:pStyle w:val="Normal"/>
        <w:rPr/>
      </w:pPr>
      <w:r>
        <w:rPr/>
      </w:r>
      <w:r>
        <w:br w:type="page"/>
      </w:r>
    </w:p>
    <w:p>
      <w:pPr>
        <w:pStyle w:val="Heading1"/>
        <w:numPr>
          <w:ilvl w:val="0"/>
          <w:numId w:val="1"/>
        </w:numPr>
        <w:ind w:hanging="0" w:start="0"/>
        <w:rPr/>
      </w:pPr>
      <w:r>
        <w:rPr/>
        <w:t>Alfred Sohn-Rethel, Intellectual and Manual Labour</w:t>
      </w:r>
    </w:p>
    <w:p>
      <w:pPr>
        <w:pStyle w:val="Heading2"/>
        <w:numPr>
          <w:ilvl w:val="1"/>
          <w:numId w:val="1"/>
        </w:numPr>
        <w:ind w:hanging="0" w:start="0"/>
        <w:rPr/>
      </w:pPr>
      <w:r>
        <w:rPr/>
        <w:t>Preface</w:t>
      </w:r>
    </w:p>
    <w:p>
      <w:pPr>
        <w:pStyle w:val="Normal"/>
        <w:rPr/>
      </w:pPr>
      <w:r>
        <w:rPr/>
        <w:t>(xx) "Marx and Engels have clarified the general architecture of history consisting of productive forces and production relations which together form the material basis for consciousness as superstructure. But they have not left us a blueprint for the staircase that should lead from the base to the superstructure."</w:t>
      </w:r>
    </w:p>
    <w:p>
      <w:pPr>
        <w:pStyle w:val="Normal"/>
        <w:numPr>
          <w:ilvl w:val="0"/>
          <w:numId w:val="61"/>
        </w:numPr>
        <w:rPr/>
      </w:pPr>
      <w:r>
        <w:rPr/>
        <w:t>The foundation for this movement "can only be found in the formal analysis of the commodity itself."</w:t>
      </w:r>
    </w:p>
    <w:p>
      <w:pPr>
        <w:pStyle w:val="Normal"/>
        <w:numPr>
          <w:ilvl w:val="0"/>
          <w:numId w:val="61"/>
        </w:numPr>
        <w:rPr/>
      </w:pPr>
      <w:r>
        <w:rPr/>
        <w:t>ASR wants to move beyond Marx's insights: the analysis of the commodity form contains (xxi) "more and other things in it than Marx had succeeded in reaching"</w:t>
      </w:r>
    </w:p>
    <w:p>
      <w:pPr>
        <w:pStyle w:val="Normal"/>
        <w:numPr>
          <w:ilvl w:val="0"/>
          <w:numId w:val="61"/>
        </w:numPr>
        <w:rPr/>
      </w:pPr>
      <w:r>
        <w:rPr/>
        <w:t>In particular, (xxi) "in the innermost core of the commodity structure there was to be found the 'transcendental subject'."</w:t>
      </w:r>
    </w:p>
    <w:p>
      <w:pPr>
        <w:pStyle w:val="Normal"/>
        <w:numPr>
          <w:ilvl w:val="1"/>
          <w:numId w:val="61"/>
        </w:numPr>
        <w:rPr/>
      </w:pPr>
      <w:r>
        <w:rPr/>
        <w:t>what is this? some obscure thing from kant</w:t>
      </w:r>
    </w:p>
    <w:p>
      <w:pPr>
        <w:pStyle w:val="Normal"/>
        <w:rPr/>
      </w:pPr>
      <w:r>
        <w:rPr/>
        <w:t>In the preface ASR expresses that same sense of loss that Adorno and Horkheimer have in the prefaces to DoE</w:t>
      </w:r>
    </w:p>
    <w:p>
      <w:pPr>
        <w:pStyle w:val="Normal"/>
        <w:numPr>
          <w:ilvl w:val="0"/>
          <w:numId w:val="62"/>
        </w:numPr>
        <w:rPr/>
      </w:pPr>
      <w:r>
        <w:rPr/>
        <w:t>(xx) "[My investigation] began towards the end of the First World War and in its aftermath, at a time when the German proletarian revolution should have occurred and tragically failed."</w:t>
      </w:r>
    </w:p>
    <w:p>
      <w:pPr>
        <w:pStyle w:val="Normal"/>
        <w:numPr>
          <w:ilvl w:val="0"/>
          <w:numId w:val="62"/>
        </w:numPr>
        <w:rPr/>
      </w:pPr>
      <w:r>
        <w:rPr/>
        <w:t>(xx) "</w:t>
      </w:r>
      <w:r>
        <w:rPr/>
        <w:t>[T]he new developmennt of Marxist thought which these people [the Frankfurt School] represent evolved as the theoretical and ideological superstructure of the revolution that never happened.</w:t>
      </w:r>
      <w:r>
        <w:rPr/>
        <w:t>"</w:t>
      </w:r>
    </w:p>
    <w:p>
      <w:pPr>
        <w:pStyle w:val="Normal"/>
        <w:numPr>
          <w:ilvl w:val="0"/>
          <w:numId w:val="62"/>
        </w:numPr>
        <w:rPr/>
      </w:pPr>
      <w:r>
        <w:rPr/>
        <w:t>(xxi) "... But then everything went wrong. The Revolution moved forward and backward and finally ebbed away. Lenin's Russia receded further and further into the distance."</w:t>
      </w:r>
    </w:p>
    <w:p>
      <w:pPr>
        <w:pStyle w:val="Heading2"/>
        <w:numPr>
          <w:ilvl w:val="1"/>
          <w:numId w:val="1"/>
        </w:numPr>
        <w:ind w:hanging="0" w:start="0"/>
        <w:rPr/>
      </w:pPr>
      <w:r>
        <w:rPr/>
        <w:t>Introduction</w:t>
      </w:r>
    </w:p>
    <w:p>
      <w:pPr>
        <w:pStyle w:val="Normal"/>
        <w:rPr/>
      </w:pPr>
      <w:r>
        <w:rPr/>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46" w:name="PageNumWizard_HEADER_Default_Page_Style1"/>
    <w:r>
      <w:rPr/>
      <w:fldChar w:fldCharType="begin"/>
    </w:r>
    <w:r>
      <w:rPr/>
      <w:instrText xml:space="preserve"> PAGE </w:instrText>
    </w:r>
    <w:r>
      <w:rPr/>
      <w:fldChar w:fldCharType="separate"/>
    </w:r>
    <w:r>
      <w:rPr/>
      <w:t>42</w:t>
    </w:r>
    <w:r>
      <w:rPr/>
      <w:fldChar w:fldCharType="end"/>
    </w:r>
    <w:bookmarkEnd w:id="46"/>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47" w:name="PageNumWizard_HEADER_Default_Page_Style2"/>
    <w:r>
      <w:rPr/>
      <w:fldChar w:fldCharType="begin"/>
    </w:r>
    <w:r>
      <w:rPr/>
      <w:instrText xml:space="preserve"> PAGE </w:instrText>
    </w:r>
    <w:r>
      <w:rPr/>
      <w:fldChar w:fldCharType="separate"/>
    </w:r>
    <w:r>
      <w:rPr/>
      <w:t>1</w:t>
    </w:r>
    <w:r>
      <w:rPr/>
      <w:fldChar w:fldCharType="end"/>
    </w:r>
    <w:bookmarkEnd w:id="47"/>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5239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2026-04-29T21:06:02Z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