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ind w:firstLine="720"/>
        <w:jc w:val="center"/>
        <w:rPr>
          <w:b/>
          <w:bCs/>
        </w:rPr>
      </w:pPr>
      <w:r>
        <w:rPr>
          <w:b/>
          <w:bCs/>
        </w:rPr>
        <w:t>Social Reproduction in Fordism Michigan</w:t>
      </w:r>
    </w:p>
    <w:p>
      <w:pPr>
        <w:pStyle w:val="Normal"/>
        <w:bidi w:val="0"/>
        <w:spacing w:lineRule="auto" w:line="480" w:before="0" w:after="0"/>
        <w:ind w:hanging="0"/>
        <w:jc w:val="start"/>
        <w:rPr/>
      </w:pPr>
      <w:r>
        <w:rPr/>
        <w:t>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Political economist Simon Clarke notes that “the decomposition of tasks, the specialization of tools, the assembly of tools into the machine, and even of machines into the machine system”</w:t>
      </w:r>
      <w:r>
        <w:rPr>
          <w:rStyle w:val="FootnoteReference"/>
        </w:rPr>
        <w:footnoteReference w:id="2"/>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3"/>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4"/>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5"/>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a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6"/>
      </w:r>
      <w:r>
        <w:rPr/>
        <w:t xml:space="preserve"> – that is, vertical integration – and a new relationship with space. Crucial to the rise of US hegemony, the country contained a massive internal frontier which in addition to providing rich reserves of labor and raw materials, required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7"/>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8"/>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 xml:space="preserve">To begin this examination, we need a theoretical apparatus upon which to hang our facts and figures. The work of Social Reproduction theorists, as elaborated in </w:t>
      </w:r>
      <w:r>
        <w:rPr>
          <w:i/>
          <w:iCs/>
        </w:rPr>
        <w:t>Social Reproduction Theory</w:t>
      </w:r>
      <w:r>
        <w:rPr/>
        <w:t xml:space="preserve"> provides such an apparatus. Bringing Social Reproduction Theory (SRT) to bear on our empirical study of labor reproduction in Fordist Michigan will have the additional effect of allowing us to identify both the strengths and limitations of SRT, or at least of Bhattacharya et al’s formulation. The next section will trace SRT from its roots in the work of Lise Vogel to its current iteration, and will consider several criticisms of that iteration.</w:t>
      </w:r>
    </w:p>
    <w:p>
      <w:pPr>
        <w:pStyle w:val="Normal"/>
        <w:bidi w:val="0"/>
        <w:spacing w:lineRule="auto" w:line="480" w:before="0" w:after="0"/>
        <w:ind w:hanging="0"/>
        <w:jc w:val="start"/>
        <w:rPr>
          <w:b/>
          <w:bCs/>
        </w:rPr>
      </w:pPr>
      <w:r>
        <w:rPr>
          <w:b/>
          <w:bCs/>
        </w:rPr>
      </w:r>
    </w:p>
    <w:p>
      <w:pPr>
        <w:pStyle w:val="Normal"/>
        <w:bidi w:val="0"/>
        <w:spacing w:lineRule="auto" w:line="480" w:before="0" w:after="0"/>
        <w:ind w:hanging="0"/>
        <w:jc w:val="start"/>
        <w:rPr>
          <w:b/>
          <w:bCs/>
        </w:rPr>
      </w:pPr>
      <w:r>
        <w:rPr>
          <w:b/>
          <w:bCs/>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useable state. It is through this metabolism with nature that we can surivive,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9"/>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0"/>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Under the capitalist mode of production, there is a strict separation between the workres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w:t>
      </w:r>
      <w:commentRangeStart w:id="0"/>
      <w:r>
        <w:rPr>
          <w:i w:val="false"/>
          <w:iCs w:val="false"/>
        </w:rPr>
        <w:t xml:space="preserve">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1"/>
      </w:r>
      <w:r>
        <w:rPr>
          <w:i w:val="false"/>
          <w:iCs w:val="false"/>
        </w:rPr>
      </w:r>
      <w:commentRangeEnd w:id="0"/>
      <w:r>
        <w:commentReference w:id="0"/>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2"/>
      </w:r>
      <w:r>
        <w:rPr>
          <w:i w:val="false"/>
          <w:iCs w:val="false"/>
        </w:rPr>
        <w:t xml:space="preserve"> </w:t>
      </w:r>
    </w:p>
    <w:p>
      <w:pPr>
        <w:pStyle w:val="Normal"/>
        <w:bidi w:val="0"/>
        <w:spacing w:lineRule="auto" w:line="480" w:before="0" w:after="0"/>
        <w:ind w:hanging="0"/>
        <w:jc w:val="start"/>
        <w:rPr>
          <w:i/>
          <w:i/>
          <w:iCs/>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3"/>
      </w:r>
      <w:r>
        <w:rPr>
          <w:i w:val="false"/>
          <w:iCs w:val="false"/>
        </w:rPr>
        <w:t xml:space="preserve"> The imposition of the exchange relation as social synthesis is based on a regime of continuous violence.</w:t>
      </w:r>
      <w:r>
        <w:rPr>
          <w:rStyle w:val="FootnoteReference"/>
          <w:i w:val="false"/>
          <w:iCs w:val="false"/>
        </w:rPr>
        <w:footnoteReference w:id="14"/>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5"/>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w:t>
      </w:r>
    </w:p>
    <w:p>
      <w:pPr>
        <w:pStyle w:val="Normal"/>
        <w:bidi w:val="0"/>
        <w:spacing w:lineRule="auto" w:line="480" w:before="0" w:after="0"/>
        <w:ind w:hanging="0"/>
        <w:jc w:val="start"/>
        <w:rPr>
          <w:i/>
          <w:i/>
          <w:iCs/>
        </w:rPr>
      </w:pPr>
      <w:r>
        <w:rPr>
          <w:i w:val="false"/>
          <w:iCs w:val="false"/>
        </w:rPr>
        <w:t>tion of ‘virtual identity’, from the given forms of exploitation of labour."</w:t>
      </w:r>
      <w:r>
        <w:rPr>
          <w:rStyle w:val="FootnoteReference"/>
          <w:i w:val="false"/>
          <w:iCs w:val="false"/>
        </w:rPr>
        <w:footnoteReference w:id="16"/>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7"/>
      </w:r>
    </w:p>
    <w:p>
      <w:pPr>
        <w:pStyle w:val="Normal"/>
        <w:bidi w:val="0"/>
        <w:spacing w:lineRule="auto" w:line="480" w:before="0" w:after="0"/>
        <w:ind w:hanging="0"/>
        <w:jc w:val="start"/>
        <w:rPr>
          <w:i/>
          <w:i/>
          <w:iCs/>
        </w:rPr>
      </w:pPr>
      <w:r>
        <w:rPr>
          <w:i w:val="false"/>
          <w:iCs w:val="false"/>
        </w:rPr>
        <w:t>The argument that the develoment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8"/>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explotiation: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9"/>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20"/>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Normal"/>
        <w:bidi w:val="0"/>
        <w:spacing w:lineRule="auto" w:line="480" w:before="0" w:after="0"/>
        <w:ind w:hanging="0"/>
        <w:jc w:val="start"/>
        <w:rPr>
          <w:i/>
          <w:i/>
          <w:iCs/>
        </w:rPr>
      </w:pPr>
      <w:r>
        <w:rPr>
          <w:i/>
          <w:iCs/>
        </w:rPr>
      </w:r>
    </w:p>
    <w:p>
      <w:pPr>
        <w:pStyle w:val="Normal"/>
        <w:bidi w:val="0"/>
        <w:spacing w:lineRule="auto" w:line="480" w:before="0" w:after="0"/>
        <w:ind w:hanging="0"/>
        <w:jc w:val="start"/>
        <w:rPr>
          <w:i/>
          <w:i/>
          <w:iCs/>
        </w:rPr>
      </w:pPr>
      <w:r>
        <w:rPr>
          <w:i/>
          <w:iCs/>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21"/>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22"/>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23"/>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24"/>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25"/>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26"/>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27"/>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appraoches are bascially incompatbile. In the first approach, “women’s oppression derives from their situation within an autonomous system of sex-divisions of labor and male supremacy.”</w:t>
      </w:r>
      <w:r>
        <w:rPr>
          <w:rStyle w:val="FootnoteReference"/>
        </w:rPr>
        <w:footnoteReference w:id="28"/>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29"/>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30"/>
      </w:r>
      <w:r>
        <w:rPr/>
        <w:t xml:space="preserve"> This situates the analysis of the position of women in society within the “central dynamic of social development in societies characterized by exploitation.”</w:t>
      </w:r>
      <w:r>
        <w:rPr>
          <w:rStyle w:val="FootnoteReference"/>
        </w:rPr>
        <w:footnoteReference w:id="31"/>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32"/>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33"/>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34"/>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35"/>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36"/>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37"/>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38"/>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39"/>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40"/>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41"/>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42"/>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43"/>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44"/>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45"/>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 xml:space="preserve">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w:t>
      </w:r>
      <w:commentRangeStart w:id="1"/>
      <w:r>
        <w:rPr/>
        <w:t>women’s labor in the periphery.</w:t>
      </w:r>
      <w:commentRangeEnd w:id="1"/>
      <w:r>
        <w:commentReference w:id="1"/>
      </w:r>
      <w:r>
        <w:rPr/>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46"/>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47"/>
      </w:r>
      <w:r>
        <w:rPr/>
        <w:t xml:space="preserve"> Similarly, in Bhattacharya’s formulation: “SRT points out that labor power itself is the sole commodity ... that is produced outside of the circuit of commodity production.”</w:t>
      </w:r>
      <w:r>
        <w:rPr>
          <w:rStyle w:val="FootnoteReference"/>
        </w:rPr>
        <w:footnoteReference w:id="48"/>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w:t>
      </w:r>
      <w:commentRangeStart w:id="2"/>
      <w:r>
        <w:rPr/>
        <w:t xml:space="preserve"> But the family is not merely an institution that has been harmed by capitalism – it is a fundamentally capitalist institution. </w:t>
      </w:r>
      <w:r>
        <w:rPr/>
      </w:r>
      <w:commentRangeEnd w:id="2"/>
      <w:r>
        <w:commentReference w:id="2"/>
      </w:r>
      <w:r>
        <w:rPr/>
        <w:t>When Mohandesi and Teitelman claim that “households have historically served as bulwarks against capitalism”</w:t>
      </w:r>
      <w:r>
        <w:rPr>
          <w:rStyle w:val="FootnoteReference"/>
        </w:rPr>
        <w:footnoteReference w:id="49"/>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Normal"/>
        <w:bidi w:val="0"/>
        <w:spacing w:lineRule="auto" w:line="480" w:before="0" w:after="0"/>
        <w:ind w:firstLine="720"/>
        <w:jc w:val="start"/>
        <w:rPr/>
      </w:pPr>
      <w:r>
        <w:rPr/>
      </w:r>
    </w:p>
    <w:p>
      <w:pPr>
        <w:pStyle w:val="Normal"/>
        <w:bidi w:val="0"/>
        <w:spacing w:lineRule="auto" w:line="480" w:before="0" w:after="0"/>
        <w:ind w:hanging="0"/>
        <w:jc w:val="start"/>
        <w:rPr>
          <w:i/>
          <w:i/>
          <w:iCs/>
        </w:rPr>
      </w:pPr>
      <w:commentRangeStart w:id="3"/>
      <w:r>
        <w:rPr>
          <w:i/>
          <w:iCs/>
        </w:rPr>
        <w:t>The Reproduction of Concrete Labor</w:t>
      </w:r>
      <w:commentRangeEnd w:id="3"/>
      <w:r>
        <w:commentReference w:id="3"/>
      </w:r>
      <w:r>
        <w:rPr>
          <w:i/>
          <w:iCs/>
        </w:rPr>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50"/>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51"/>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52"/>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53"/>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54"/>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55"/>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56"/>
      </w:r>
      <w:r>
        <w:rPr/>
        <w:t xml:space="preserve"> When this labor is done by workers employed by the state, it represents not the state’s interest in the wellbeing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 xml:space="preserve">Munro here focuses on non-household sources of reproductive labor: hospitals, schools, and social work organizations among others. These institutions are generally a part of the state, although private versions of them exist in growing numbers. </w:t>
      </w:r>
      <w:commentRangeStart w:id="4"/>
      <w:r>
        <w:rPr/>
        <w:t>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57"/>
      </w:r>
      <w:r>
        <w:rPr/>
        <w:t xml:space="preserv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58"/>
      </w:r>
      <w:commentRangeEnd w:id="4"/>
      <w:r>
        <w:commentReference w:id="4"/>
      </w:r>
      <w:r>
        <w:rPr/>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59"/>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60"/>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61"/>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w:t>
      </w:r>
      <w:commentRangeStart w:id="5"/>
      <w:r>
        <w:rPr/>
        <w:t>.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but in order to understand the historical configuration of production and reproduction in a given time and place, we must disaggregate this mass into its component parts.</w:t>
      </w:r>
      <w:r>
        <w:rPr/>
      </w:r>
      <w:commentRangeEnd w:id="5"/>
      <w:r>
        <w:commentReference w:id="5"/>
      </w:r>
      <w:r>
        <w:rPr/>
        <w:t xml:space="preserve"> In other words, to build on Munro’s critique, what is reproduced by domestic and </w:t>
      </w:r>
      <w:commentRangeStart w:id="6"/>
      <w:r>
        <w:rPr/>
        <w:t>unproductive</w:t>
      </w:r>
      <w:r>
        <w:rPr/>
      </w:r>
      <w:commentRangeEnd w:id="6"/>
      <w:r>
        <w:commentReference w:id="6"/>
      </w:r>
      <w:r>
        <w:rPr/>
        <w:t xml:space="preser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Normal"/>
        <w:bidi w:val="0"/>
        <w:spacing w:lineRule="auto" w:line="480" w:before="0" w:after="0"/>
        <w:ind w:hanging="0"/>
        <w:jc w:val="start"/>
        <w:rPr>
          <w:i/>
          <w:i/>
          <w:iCs/>
        </w:rPr>
      </w:pPr>
      <w:r>
        <w:rPr>
          <w:i/>
          <w:iCs/>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taht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62"/>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63"/>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commodites purchased with a wage and unpaid domestic labor. For Munro, the household production process is linked to both the state and firms, as it "is forced to rely on capitalist firms and the state to ensure the survival of its memebers, both day-to-day and intergenerationally; it in turn contributes to the perpetuation of capitalist society."</w:t>
      </w:r>
      <w:r>
        <w:rPr>
          <w:rStyle w:val="FootnoteReference"/>
        </w:rPr>
        <w:footnoteReference w:id="64"/>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65"/>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66"/>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Normal"/>
        <w:bidi w:val="0"/>
        <w:spacing w:lineRule="auto" w:line="480" w:before="0" w:after="0"/>
        <w:ind w:firstLine="720"/>
        <w:jc w:val="start"/>
        <w:rPr>
          <w:b/>
          <w:bCs/>
        </w:rPr>
      </w:pPr>
      <w:r>
        <w:rPr>
          <w:b/>
          <w:bCs/>
        </w:rPr>
      </w:r>
    </w:p>
    <w:p>
      <w:pPr>
        <w:pStyle w:val="Normal"/>
        <w:bidi w:val="0"/>
        <w:spacing w:lineRule="auto" w:line="480" w:before="0" w:after="0"/>
        <w:ind w:hanging="0"/>
        <w:jc w:val="start"/>
        <w:rPr>
          <w:b/>
          <w:bCs/>
        </w:rPr>
      </w:pPr>
      <w:r>
        <w:rPr>
          <w:b/>
          <w:bCs/>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67"/>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commentRangeStart w:id="7"/>
      <w:r>
        <w:rPr/>
        <w:t>At the end of the 19th century and the beginning of the 20th, American industry underwent significant changes.</w:t>
      </w:r>
      <w:r>
        <w:rPr/>
      </w:r>
      <w:commentRangeEnd w:id="7"/>
      <w:r>
        <w:commentReference w:id="7"/>
      </w:r>
      <w:r>
        <w:rPr/>
        <w:t xml:space="preserve"> After the civil war in the US, waves of workers moved both north and west, whether Black workers looking for relief from the racial regime of the American south, or white workers from the northeast looking for new opportunities in the west. Although the Midwest, and Michigan in particular, had been a destination for immigrants looking for work since the late 18th century, the population virtually exploded in the twentieth. From 1910 to 1930, in just twenty years, the population of Michigan almost doubled from 2.8 million to 4.8 million residents. Michigan’s cities saw the greater portion of this boom as the Michigan economy shifted from extractive industries such as logging and copper mining to craft production and manufacturing. In the same time period, Detroit more than tripled to over 1.5 million inhabitants, and Flint more than quadrupled to 150,000.</w:t>
      </w:r>
      <w:r>
        <w:rPr>
          <w:rStyle w:val="FootnoteReference"/>
        </w:rPr>
        <w:footnoteReference w:id="68"/>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69"/>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70"/>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71"/>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72"/>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73"/>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w:t>
      </w:r>
      <w:commentRangeStart w:id="8"/>
      <w:r>
        <w:rPr/>
        <w:t xml:space="preserve">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74"/>
      </w:r>
      <w:r>
        <w:rPr/>
        <w:t xml:space="preserve"> European society, for Gramsci, is characterized precisely by the existence of ‘parasitic’ classes with no economic function beyond consumption.</w:t>
      </w:r>
      <w:commentRangeEnd w:id="8"/>
      <w:r>
        <w:commentReference w:id="8"/>
      </w:r>
      <w:r>
        <w:rPr/>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hanging="0"/>
        <w:jc w:val="start"/>
        <w:rPr/>
      </w:pPr>
      <w:r>
        <w:rPr/>
      </w:r>
    </w:p>
    <w:p>
      <w:pPr>
        <w:pStyle w:val="Normal"/>
        <w:bidi w:val="0"/>
        <w:spacing w:lineRule="auto" w:line="480" w:before="0" w:after="0"/>
        <w:ind w:hanging="0"/>
        <w:jc w:val="start"/>
        <w:rPr>
          <w:i/>
          <w:i/>
          <w:iCs/>
        </w:rPr>
      </w:pPr>
      <w:r>
        <w:rPr>
          <w:i/>
          <w:iCs/>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75"/>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76"/>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77"/>
      </w:r>
      <w:r>
        <w:rPr/>
        <w:t xml:space="preserve"> But the ‘modern factory’ is not the whole of production, and even within the factory, labor and pay were not evenly distributed by this program. Although there was little pay variation based on race within the Ford factories, Blac workers were segregated by job type. They may have received similar pay to whites, but in order to do so they had to work in “hot, dangerous foundry jobs where quit rates were generally high.”</w:t>
      </w:r>
      <w:r>
        <w:rPr>
          <w:rStyle w:val="FootnoteReference"/>
        </w:rPr>
        <w:footnoteReference w:id="78"/>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79"/>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80"/>
      </w:r>
    </w:p>
    <w:p>
      <w:pPr>
        <w:pStyle w:val="Normal"/>
        <w:bidi w:val="0"/>
        <w:spacing w:lineRule="auto" w:line="480" w:before="0" w:after="0"/>
        <w:ind w:firstLine="720"/>
        <w:jc w:val="start"/>
        <w:rPr/>
      </w:pPr>
      <w:r>
        <w:rPr/>
        <w:t xml:space="preserve">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w:t>
      </w:r>
      <w:commentRangeStart w:id="9"/>
      <w:r>
        <w:rPr/>
        <w:t>Black workers more often migrated as individuals with no family or community contacts</w:t>
      </w:r>
      <w:r>
        <w:rPr/>
      </w:r>
      <w:commentRangeEnd w:id="9"/>
      <w:r>
        <w:commentReference w:id="9"/>
      </w:r>
      <w:r>
        <w:rPr/>
        <w:t>. The mass arrival of single Black workers was “a strong encouragement to the phenomenon of boarding, which helped both the new migrants and old residents to hold down housing costs.”</w:t>
      </w:r>
      <w:r>
        <w:rPr>
          <w:rStyle w:val="FootnoteReference"/>
        </w:rPr>
        <w:footnoteReference w:id="81"/>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82"/>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83"/>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84"/>
      </w:r>
      <w:r>
        <w:rPr/>
        <w:t xml:space="preserve"> This is not to say that white women did not experience foreclosed employment opportunities relative to white men, but rather that the employment of Black women was overdetermined by both their race and their gender.</w:t>
      </w:r>
    </w:p>
    <w:p>
      <w:pPr>
        <w:pStyle w:val="Normal"/>
        <w:bidi w:val="0"/>
        <w:spacing w:lineRule="auto" w:line="480" w:before="0" w:after="0"/>
        <w:ind w:firstLine="720"/>
        <w:jc w:val="start"/>
        <w:rPr/>
      </w:pPr>
      <w:r>
        <w:rPr/>
      </w:r>
    </w:p>
    <w:p>
      <w:pPr>
        <w:pStyle w:val="Normal"/>
        <w:bidi w:val="0"/>
        <w:spacing w:lineRule="auto" w:line="480" w:before="0" w:after="0"/>
        <w:ind w:hanging="0"/>
        <w:jc w:val="start"/>
        <w:rPr>
          <w:i/>
          <w:i/>
          <w:iCs/>
        </w:rPr>
      </w:pPr>
      <w:r>
        <w:rPr>
          <w:i/>
          <w:iCs/>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t>.</w:t>
      </w:r>
      <w:r>
        <w:rPr/>
        <w:t>”</w:t>
      </w:r>
      <w:r>
        <w:rPr>
          <w:rStyle w:val="FootnoteReference"/>
        </w:rPr>
        <w:footnoteReference w:id="85"/>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commentRangeStart w:id="10"/>
      <w:r>
        <w:rPr/>
        <w:t>He lived in a two-story frame house that was in "poor condition." The neighborhood was also unacceptable: ''Very bad. This is an alley with one and two storey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
      <w:commentRangeEnd w:id="10"/>
      <w:r>
        <w:commentReference w:id="10"/>
      </w:r>
      <w:r>
        <w:rPr>
          <w:rStyle w:val="FootnoteReference"/>
        </w:rPr>
        <w:footnoteReference w:id="86"/>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 xml:space="preserve">Even having boarders was considered a sign of unfitness, an inability to manage one’s home. The worker in this anecdote eventually received his part of the profit share, but only when he had evicted his boarders, moved to the </w:t>
      </w:r>
      <w:commentRangeStart w:id="11"/>
      <w:r>
        <w:rPr/>
        <w:t>suburbs</w:t>
      </w:r>
      <w:r>
        <w:rPr/>
      </w:r>
      <w:commentRangeEnd w:id="11"/>
      <w:r>
        <w:commentReference w:id="11"/>
      </w:r>
      <w:r>
        <w:rPr/>
        <w:t>,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t>.</w:t>
      </w:r>
      <w:r>
        <w:rPr>
          <w:rStyle w:val="FootnoteReference"/>
        </w:rPr>
        <w:footnoteReference w:id="87"/>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t>.</w:t>
      </w:r>
      <w:r>
        <w:rPr/>
        <w:t>”</w:t>
      </w:r>
      <w:r>
        <w:rPr>
          <w:rStyle w:val="FootnoteReference"/>
        </w:rPr>
        <w:footnoteReference w:id="88"/>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t>.</w:t>
      </w:r>
      <w:r>
        <w:rPr/>
        <w:t>”</w:t>
      </w:r>
      <w:r>
        <w:rPr>
          <w:rStyle w:val="FootnoteReference"/>
        </w:rPr>
        <w:footnoteReference w:id="89"/>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t>.</w:t>
      </w:r>
      <w:r>
        <w:rPr/>
        <w:t>”</w:t>
      </w:r>
      <w:r>
        <w:rPr>
          <w:rStyle w:val="FootnoteReference"/>
        </w:rPr>
        <w:footnoteReference w:id="90"/>
      </w:r>
    </w:p>
    <w:p>
      <w:pPr>
        <w:pStyle w:val="Normal"/>
        <w:bidi w:val="0"/>
        <w:spacing w:lineRule="auto" w:line="480" w:before="0" w:after="0"/>
        <w:ind w:firstLine="720"/>
        <w:jc w:val="start"/>
        <w:rPr/>
      </w:pPr>
      <w:r>
        <w:rPr/>
        <w:t>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w:t>
      </w:r>
      <w:commentRangeStart w:id="12"/>
      <w:r>
        <w:rPr/>
        <w:t xml:space="preserve">owever, Jay and Conklin argue that the “‘Two Detroits’ consensus in fact represents two components of a dialectical unity: redevelopment and austerity are not distinct processes but </w:t>
      </w:r>
      <w:r>
        <w:rPr>
          <w:i/>
          <w:iCs/>
        </w:rPr>
        <w:t>two elements of the same process of uneven development</w:t>
      </w:r>
      <w:r>
        <w:rPr>
          <w:i/>
          <w:iCs/>
        </w:rPr>
        <w:t>.</w:t>
      </w:r>
      <w:r>
        <w:rPr/>
        <w:t>”</w:t>
      </w:r>
      <w:r>
        <w:rPr>
          <w:rStyle w:val="FootnoteReference"/>
        </w:rPr>
        <w:footnoteReference w:id="91"/>
      </w:r>
      <w:r>
        <w:rPr/>
        <w:t xml:space="preserve"> They are writing of the recent gentrification,</w:t>
      </w:r>
      <w:r>
        <w:rPr/>
      </w:r>
      <w:commentRangeEnd w:id="12"/>
      <w:r>
        <w:commentReference w:id="12"/>
      </w:r>
      <w:r>
        <w:rPr/>
        <w:t xml:space="preserve"> but </w:t>
      </w:r>
      <w:commentRangeStart w:id="13"/>
      <w:r>
        <w:rPr/>
        <w:t>the divided city has always been a complete, if complicated, whole.</w:t>
      </w:r>
      <w:commentRangeEnd w:id="13"/>
      <w:r>
        <w:commentReference w:id="13"/>
      </w:r>
      <w:r>
        <w:rPr/>
      </w:r>
    </w:p>
    <w:p>
      <w:pPr>
        <w:pStyle w:val="Normal"/>
        <w:bidi w:val="0"/>
        <w:spacing w:lineRule="auto" w:line="480" w:before="0" w:after="0"/>
        <w:ind w:firstLine="720"/>
        <w:jc w:val="start"/>
        <w:rPr/>
      </w:pPr>
      <w:commentRangeStart w:id="14"/>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Normal"/>
        <w:bidi w:val="0"/>
        <w:spacing w:lineRule="auto" w:line="480" w:before="0" w:after="0"/>
        <w:ind w:firstLine="720"/>
        <w:jc w:val="start"/>
        <w:rPr/>
      </w:pPr>
      <w:commentRangeEnd w:id="14"/>
      <w:r>
        <w:commentReference w:id="14"/>
      </w:r>
      <w:r>
        <w:rPr/>
      </w:r>
    </w:p>
    <w:p>
      <w:pPr>
        <w:pStyle w:val="Normal"/>
        <w:bidi w:val="0"/>
        <w:spacing w:lineRule="auto" w:line="480" w:before="0" w:after="0"/>
        <w:ind w:hanging="0"/>
        <w:jc w:val="start"/>
        <w:rPr>
          <w:i/>
          <w:i/>
          <w:iCs/>
        </w:rPr>
      </w:pPr>
      <w:commentRangeStart w:id="15"/>
      <w:r>
        <w:rPr>
          <w:i/>
          <w:iCs/>
        </w:rPr>
        <w:t>The Modern Housing Corporation</w:t>
      </w:r>
      <w:commentRangeEnd w:id="15"/>
      <w:r>
        <w:commentReference w:id="15"/>
      </w:r>
      <w:r>
        <w:rPr>
          <w:i/>
          <w:iCs/>
        </w:rPr>
      </w:r>
    </w:p>
    <w:p>
      <w:pPr>
        <w:pStyle w:val="Normal"/>
        <w:bidi w:val="0"/>
        <w:spacing w:lineRule="auto" w:line="480" w:before="0" w:after="0"/>
        <w:ind w:firstLine="720"/>
        <w:jc w:val="start"/>
        <w:rPr/>
      </w:pPr>
      <w:r>
        <w:rPr/>
        <w:t xml:space="preserve">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w:t>
      </w:r>
      <w:r>
        <w:rPr/>
        <w:t>According to</w:t>
      </w:r>
      <w:r>
        <w:rPr/>
        <w:t xml:space="preserve"> a retrospective report, written by a “Mr. Cowdrick” in 1930, the Modern Housing Corporation was created to conduct “all the more important housing activities” of GM</w:t>
      </w:r>
      <w:r>
        <w:rPr/>
        <w:t>.</w:t>
      </w:r>
      <w:r>
        <w:rPr>
          <w:rStyle w:val="FootnoteReference"/>
        </w:rPr>
        <w:footnoteReference w:id="92"/>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t>.</w:t>
      </w:r>
      <w:r>
        <w:rPr/>
        <w:t>”</w:t>
      </w:r>
      <w:r>
        <w:rPr>
          <w:rStyle w:val="FootnoteReference"/>
        </w:rPr>
        <w:footnoteReference w:id="93"/>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 xml:space="preserve">Indeed, direct return on investment seems to have been less of a concern for the Modern Housing Corporation </w:t>
      </w:r>
      <w:commentRangeStart w:id="16"/>
      <w:r>
        <w:rPr/>
        <w:t>than developing a pattern that others would follow</w:t>
      </w:r>
      <w:r>
        <w:rPr/>
      </w:r>
      <w:commentRangeEnd w:id="16"/>
      <w:r>
        <w:commentReference w:id="16"/>
      </w:r>
      <w:r>
        <w:rPr/>
        <w:t>. The small profit made on each house in the project’s mature years mostly funded the salaries of project administrators. After taxes and interest, if the company is to be believed (which is a big “if,” to be sure), it “about ‘[broke] even’ on its expenditures</w:t>
      </w:r>
      <w:r>
        <w:rPr/>
        <w:t>.</w:t>
      </w:r>
      <w:r>
        <w:rPr/>
        <w:t>”</w:t>
      </w:r>
      <w:r>
        <w:rPr>
          <w:rStyle w:val="FootnoteReference"/>
        </w:rPr>
        <w:footnoteReference w:id="94"/>
      </w:r>
      <w:r>
        <w:rPr/>
        <w:t xml:space="preserve"> For the first several years of the project homes were sold at a loss, and for the length of the project, “at the time a house [was] sold, the Modern Housing Corporation ... secure[d] a mortgage from an outside lender</w:t>
      </w:r>
      <w:r>
        <w:rPr/>
        <w:t>,</w:t>
      </w:r>
      <w:r>
        <w:rPr/>
        <w:t>”</w:t>
      </w:r>
      <w:r>
        <w:rPr>
          <w:rStyle w:val="FootnoteReference"/>
        </w:rPr>
        <w:footnoteReference w:id="95"/>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Flint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 xml:space="preserve">General Motors did not create its housing division solely for the purpose of alleviating population issues, nor was the Modern Housing Corporation a venture into conventional real estate investment. The project was explicitly one of </w:t>
      </w:r>
      <w:commentRangeStart w:id="17"/>
      <w:r>
        <w:rPr/>
        <w:t>Americanization</w:t>
      </w:r>
      <w:r>
        <w:rPr/>
      </w:r>
      <w:commentRangeEnd w:id="17"/>
      <w:r>
        <w:commentReference w:id="17"/>
      </w:r>
      <w:r>
        <w:rPr/>
        <w:t>, in which the reproductive apparatus was brought under the company's control. Mr. Cowdrick’s report hints at the scope of the project. The homes sold to employees were not placed outside of cities in small company owned communities, but were</w:t>
      </w:r>
      <w:r>
        <w:rPr/>
        <w:t xml:space="preserve"> inside city limits. </w:t>
      </w:r>
      <w:r>
        <w:rPr/>
        <w:t>This provided the communities with “the benefits of customary municipal services, including police and fire protection and sanitary regulations,”</w:t>
      </w:r>
      <w:r>
        <w:rPr>
          <w:rStyle w:val="FootnoteReference"/>
        </w:rPr>
        <w:footnoteReference w:id="96"/>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t>,</w:t>
      </w:r>
      <w:r>
        <w:rPr/>
        <w:t>”</w:t>
      </w:r>
      <w:r>
        <w:rPr>
          <w:rStyle w:val="FootnoteReference"/>
        </w:rPr>
        <w:footnoteReference w:id="97"/>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98"/>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t>.</w:t>
      </w:r>
      <w:r>
        <w:rPr/>
        <w:t>”</w:t>
      </w:r>
      <w:r>
        <w:rPr>
          <w:rStyle w:val="FootnoteReference"/>
        </w:rPr>
        <w:footnoteReference w:id="99"/>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100"/>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t>.</w:t>
      </w:r>
      <w:r>
        <w:rPr/>
        <w:t>”</w:t>
      </w:r>
      <w:r>
        <w:rPr>
          <w:rStyle w:val="FootnoteReference"/>
        </w:rPr>
        <w:footnoteReference w:id="101"/>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t>.</w:t>
      </w:r>
      <w:r>
        <w:rPr/>
        <w:t>”</w:t>
      </w:r>
      <w:r>
        <w:rPr>
          <w:rStyle w:val="FootnoteReference"/>
        </w:rPr>
        <w:footnoteReference w:id="102"/>
      </w:r>
      <w:r>
        <w:rPr/>
        <w:t xml:space="preserve"> Described by the city building inspector as “shanty towns,” these unserved and informal suburbs were “more gritty and undeveloped than those in many other metropolitan areas</w:t>
      </w:r>
      <w:r>
        <w:rPr/>
        <w:t>.</w:t>
      </w:r>
      <w:r>
        <w:rPr/>
        <w:t>”</w:t>
      </w:r>
      <w:r>
        <w:rPr>
          <w:rStyle w:val="FootnoteReference"/>
        </w:rPr>
        <w:footnoteReference w:id="103"/>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commentRangeStart w:id="18"/>
      <w:r>
        <w:rPr/>
        <w:t>General Motors’ project of Americanism was not a uni-directional imposition of norms: rather the makeup of the town and the makeup of the company were co-constituted</w:t>
      </w:r>
      <w:r>
        <w:rPr/>
      </w:r>
      <w:commentRangeEnd w:id="18"/>
      <w:r>
        <w:commentReference w:id="18"/>
      </w:r>
      <w:r>
        <w:rPr/>
        <w:t>.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t>.</w:t>
      </w:r>
      <w:r>
        <w:rPr/>
        <w:t>”</w:t>
      </w:r>
      <w:r>
        <w:rPr>
          <w:rStyle w:val="FootnoteReference"/>
        </w:rPr>
        <w:footnoteReference w:id="104"/>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Normal"/>
        <w:bidi w:val="0"/>
        <w:spacing w:lineRule="auto" w:line="480" w:before="0" w:after="0"/>
        <w:ind w:firstLine="720"/>
        <w:jc w:val="start"/>
        <w:rPr/>
      </w:pPr>
      <w:r>
        <w:rPr/>
      </w:r>
    </w:p>
    <w:p>
      <w:pPr>
        <w:pStyle w:val="Normal"/>
        <w:bidi w:val="0"/>
        <w:spacing w:lineRule="auto" w:line="480" w:before="0" w:after="0"/>
        <w:ind w:hanging="0"/>
        <w:jc w:val="start"/>
        <w:rPr>
          <w:b/>
          <w:bCs/>
        </w:rPr>
      </w:pPr>
      <w:r>
        <w:rPr>
          <w:b/>
          <w:bCs/>
        </w:rPr>
        <w:t>Conclusion</w:t>
      </w:r>
    </w:p>
    <w:p>
      <w:pPr>
        <w:pStyle w:val="Normal"/>
        <w:bidi w:val="0"/>
        <w:spacing w:lineRule="auto" w:line="480" w:before="0" w:after="0"/>
        <w:ind w:firstLine="720"/>
        <w:jc w:val="start"/>
        <w:rPr/>
      </w:pPr>
      <w:r>
        <w:rPr/>
        <w:t xml:space="preserve">What emerges from this soup of demographic data is a complex hierarchy of labor that does not fit neatly into categories of waged/unwaged and productive/unproductive. </w:t>
      </w:r>
      <w:commentRangeStart w:id="19"/>
      <w:r>
        <w:rPr/>
        <w:t>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105"/>
      </w:r>
      <w:commentRangeEnd w:id="19"/>
      <w:r>
        <w:commentReference w:id="19"/>
      </w:r>
      <w:r>
        <w:rPr/>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t>.</w:t>
      </w:r>
      <w:r>
        <w:rPr/>
        <w:t>”</w:t>
      </w:r>
      <w:r>
        <w:rPr>
          <w:rStyle w:val="FootnoteReference"/>
        </w:rPr>
        <w:footnoteReference w:id="106"/>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107"/>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 xml:space="preserve">Earlier I noted that a full elaboration of industrial Michigan’s role in the United States’ hegemonic ascent was outside the scope of this paper. The gap here is larger than I let on, primarily because </w:t>
      </w:r>
      <w:r>
        <w:rPr/>
        <w:t>'</w:t>
      </w:r>
      <w:r>
        <w:rPr/>
        <w:t>industrial Michigan</w:t>
      </w:r>
      <w:r>
        <w:rPr/>
        <w:t>'</w:t>
      </w:r>
      <w:r>
        <w:rPr/>
        <w:t xml:space="preserve">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enquiry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firstLine="720"/>
        <w:jc w:val="start"/>
        <w:rPr/>
      </w:pPr>
      <w:r>
        <w:rPr/>
        <w:t>References</w:t>
      </w:r>
    </w:p>
    <w:p>
      <w:pPr>
        <w:pStyle w:val="Normal"/>
        <w:bidi w:val="0"/>
        <w:spacing w:lineRule="auto" w:line="480" w:before="0" w:after="0"/>
        <w:ind w:firstLine="720"/>
        <w:jc w:val="start"/>
        <w:rPr/>
      </w:pPr>
      <w:r>
        <w:rPr/>
        <w:t>Arrighi, Giovanni. 2010. The Long Twentieth Century: Money, Power and the Origins of our Times. New and updated edition. London, New York: Verso.</w:t>
      </w:r>
    </w:p>
    <w:p>
      <w:pPr>
        <w:pStyle w:val="Normal"/>
        <w:bidi w:val="0"/>
        <w:spacing w:lineRule="auto" w:line="480" w:before="0" w:after="0"/>
        <w:ind w:firstLine="720"/>
        <w:jc w:val="start"/>
        <w:rPr/>
      </w:pPr>
      <w:r>
        <w:rPr/>
        <w:t>Bhattacharya, Tithi, ed. 2017. Social Reproduction Theory: Remapping Class, Recentering Oppression. London: Pluto Press.</w:t>
      </w:r>
    </w:p>
    <w:p>
      <w:pPr>
        <w:pStyle w:val="Normal"/>
        <w:bidi w:val="0"/>
        <w:spacing w:lineRule="auto" w:line="480" w:before="0" w:after="0"/>
        <w:ind w:firstLine="720"/>
        <w:jc w:val="start"/>
        <w:rPr/>
      </w:pPr>
      <w:r>
        <w:rPr/>
        <w:t>Brenner, Johanna, and Barbara Laslett. 1991. “Gender, Social Reproduction, and Women’s Self-Organization: Considering the US Welfare State.” Gender &amp; Society, 5:3. 314.</w:t>
      </w:r>
    </w:p>
    <w:p>
      <w:pPr>
        <w:pStyle w:val="Normal"/>
        <w:bidi w:val="0"/>
        <w:spacing w:lineRule="auto" w:line="480" w:before="0" w:after="0"/>
        <w:ind w:firstLine="720"/>
        <w:jc w:val="start"/>
        <w:rPr/>
      </w:pPr>
      <w:r>
        <w:rPr/>
        <w:t>Bresnahan, T. F., &amp; Raff, D. M. G. 1991. “Intra-Industry Heterogeneity and the Great Depression: The American Motor Vehicles Industry, 1929–1935.” The Journal of Economic History, 51(02), 317–331.</w:t>
      </w:r>
    </w:p>
    <w:p>
      <w:pPr>
        <w:pStyle w:val="Normal"/>
        <w:bidi w:val="0"/>
        <w:spacing w:lineRule="auto" w:line="480" w:before="0" w:after="0"/>
        <w:ind w:firstLine="720"/>
        <w:jc w:val="start"/>
        <w:rPr/>
      </w:pPr>
      <w:r>
        <w:rPr/>
        <w:t>Clarke, Simon. 1990. “What in the F---‘s name is Fordism.” British Sociological Association Conference. University of Surrey.</w:t>
      </w:r>
    </w:p>
    <w:p>
      <w:pPr>
        <w:pStyle w:val="Normal"/>
        <w:bidi w:val="0"/>
        <w:spacing w:lineRule="auto" w:line="480" w:before="0" w:after="0"/>
        <w:ind w:firstLine="720"/>
        <w:jc w:val="start"/>
        <w:rPr/>
      </w:pPr>
      <w:r>
        <w:rPr/>
        <w:t>Cowdrick. 1930. “Operations of Modern Housing Corporation.” General Motors Library. Accessed Dec 7, 2021.</w:t>
      </w:r>
    </w:p>
    <w:p>
      <w:pPr>
        <w:pStyle w:val="Normal"/>
        <w:bidi w:val="0"/>
        <w:spacing w:lineRule="auto" w:line="480" w:before="0" w:after="0"/>
        <w:ind w:firstLine="720"/>
        <w:jc w:val="start"/>
        <w:rPr/>
      </w:pPr>
      <w:r>
        <w:rPr/>
        <w:t>Foote, Christopher L., Warren C. Whatley, and Gavin Wright. 2003. “Arbitraging a Discriminatory Labor Market: Black Workers at the Ford Motor Company, 1918-1947.” Journal of Labor Economics, 21:3. 493-532.</w:t>
      </w:r>
    </w:p>
    <w:p>
      <w:pPr>
        <w:pStyle w:val="Normal"/>
        <w:bidi w:val="0"/>
        <w:spacing w:lineRule="auto" w:line="480" w:before="0" w:after="0"/>
        <w:ind w:firstLine="720"/>
        <w:jc w:val="start"/>
        <w:rPr/>
      </w:pPr>
      <w:r>
        <w:rPr/>
        <w:t>Fraser, Nancy. 2017. “Crisis of Care? On the Social-Reproductive Contradictions of Contemporary Capitalism.” in Social Reproduction Theory: Remapping Class, Recentering Oppression. Ed. Tithi Bhattacharya. London: Pluto Press. 21-36.</w:t>
      </w:r>
    </w:p>
    <w:p>
      <w:pPr>
        <w:pStyle w:val="Normal"/>
        <w:bidi w:val="0"/>
        <w:spacing w:lineRule="auto" w:line="480" w:before="0" w:after="0"/>
        <w:ind w:firstLine="720"/>
        <w:jc w:val="start"/>
        <w:rPr/>
      </w:pPr>
      <w:r>
        <w:rPr/>
        <w:t>Heinrich, Michael. 2012. An Introduction to the Three Volumes of Karl Marx’s Capital. Translated by Alexander Locascio. New York: Monthly Review Press.</w:t>
      </w:r>
    </w:p>
    <w:p>
      <w:pPr>
        <w:pStyle w:val="Normal"/>
        <w:bidi w:val="0"/>
        <w:spacing w:lineRule="auto" w:line="480" w:before="0" w:after="0"/>
        <w:ind w:firstLine="720"/>
        <w:jc w:val="start"/>
        <w:rPr/>
      </w:pPr>
      <w:r>
        <w:rPr/>
        <w:t>Highsmith, Andrew. 2015. Demolition Means Progress: Flint, Michigan, and the Fate of the American Metropolis. Chicago: The University of Chicago Press.</w:t>
      </w:r>
    </w:p>
    <w:p>
      <w:pPr>
        <w:pStyle w:val="Normal"/>
        <w:bidi w:val="0"/>
        <w:spacing w:lineRule="auto" w:line="480" w:before="0" w:after="0"/>
        <w:ind w:firstLine="720"/>
        <w:jc w:val="start"/>
        <w:rPr/>
      </w:pPr>
      <w:r>
        <w:rPr/>
        <w:t>Jay, Mark and Philip Conklin. 2020. A People’s History of Detroit. Durham: Duke University Press.</w:t>
      </w:r>
    </w:p>
    <w:p>
      <w:pPr>
        <w:pStyle w:val="Normal"/>
        <w:bidi w:val="0"/>
        <w:spacing w:lineRule="auto" w:line="480" w:before="0" w:after="0"/>
        <w:ind w:firstLine="720"/>
        <w:jc w:val="start"/>
        <w:rPr/>
      </w:pPr>
      <w:r>
        <w:rPr/>
        <w:t>Lichtenstein, Nelson, and Stephen Meyer III. 1988. On The Line: Essays in the History of Auto Work. Champaign: University of Illinois Press.</w:t>
      </w:r>
    </w:p>
    <w:p>
      <w:pPr>
        <w:pStyle w:val="Normal"/>
        <w:bidi w:val="0"/>
        <w:spacing w:lineRule="auto" w:line="480" w:before="0" w:after="0"/>
        <w:ind w:firstLine="720"/>
        <w:jc w:val="start"/>
        <w:rPr/>
      </w:pPr>
      <w:r>
        <w:rPr/>
        <w:t>Marx, Karl. 1973. Grundrisse. London: Penguin Classics.</w:t>
      </w:r>
    </w:p>
    <w:p>
      <w:pPr>
        <w:pStyle w:val="Normal"/>
        <w:bidi w:val="0"/>
        <w:spacing w:lineRule="auto" w:line="480" w:before="0" w:after="0"/>
        <w:ind w:firstLine="720"/>
        <w:jc w:val="start"/>
        <w:rPr/>
      </w:pPr>
      <w:r>
        <w:rPr/>
        <w:t>Marx, Karl. 1976. Capital. Volume one: a critique of political economy. London: Penguin Classics.</w:t>
      </w:r>
    </w:p>
    <w:p>
      <w:pPr>
        <w:pStyle w:val="Normal"/>
        <w:bidi w:val="0"/>
        <w:spacing w:lineRule="auto" w:line="480" w:before="0" w:after="0"/>
        <w:ind w:firstLine="720"/>
        <w:jc w:val="start"/>
        <w:rPr/>
      </w:pPr>
      <w:r>
        <w:rPr/>
        <w:t>Mau, Søren. 2023. Mute Compulsion: A Marxist Theory of the Economic Power of Capital. London; Brooklyn, NY: Verso.</w:t>
      </w:r>
    </w:p>
    <w:p>
      <w:pPr>
        <w:pStyle w:val="Normal"/>
        <w:bidi w:val="0"/>
        <w:spacing w:lineRule="auto" w:line="480" w:before="0" w:after="0"/>
        <w:ind w:firstLine="720"/>
        <w:jc w:val="start"/>
        <w:rPr/>
      </w:pPr>
      <w:r>
        <w:rPr/>
        <w:t>Meyer, Stephen III. 1981. The Five Dollar Day: Labor Management and Social Control in the Ford Motor Company, 1908-1921. Albany: State University of New York Press.</w:t>
      </w:r>
    </w:p>
    <w:p>
      <w:pPr>
        <w:pStyle w:val="Normal"/>
        <w:bidi w:val="0"/>
        <w:spacing w:lineRule="auto" w:line="480" w:before="0" w:after="0"/>
        <w:ind w:firstLine="720"/>
        <w:jc w:val="start"/>
        <w:rPr/>
      </w:pPr>
      <w:r>
        <w:rPr/>
        <w:t>Mies, Maria. 1986. Patriarchy and Accumulation on a World Scale: Women in the International Division of Labor. London: Zed Books Ltd.</w:t>
      </w:r>
    </w:p>
    <w:p>
      <w:pPr>
        <w:pStyle w:val="Normal"/>
        <w:bidi w:val="0"/>
        <w:spacing w:lineRule="auto" w:line="480" w:before="0" w:after="0"/>
        <w:ind w:firstLine="720"/>
        <w:jc w:val="start"/>
        <w:rPr/>
      </w:pPr>
      <w:r>
        <w:rPr/>
        <w:t>Mohandesi, Salar and Emma Teitelman. 2017. “Without Reserves.” in Social Reproduction Theory: Remapping Class, Recentering Oppression. Ed. Tithi Bhattacharya. London: Pluto Press. 37-67.</w:t>
      </w:r>
    </w:p>
    <w:p>
      <w:pPr>
        <w:pStyle w:val="Normal"/>
        <w:bidi w:val="0"/>
        <w:spacing w:lineRule="auto" w:line="480" w:before="0" w:after="0"/>
        <w:ind w:firstLine="720"/>
        <w:jc w:val="start"/>
        <w:rPr/>
      </w:pPr>
      <w:r>
        <w:rPr/>
        <w:t>Munro, Kirstin. 2021. “Unproductive Workers and State Repression.” Review of Radical Political Economics, 53:4. 623-630.</w:t>
      </w:r>
    </w:p>
    <w:p>
      <w:pPr>
        <w:pStyle w:val="Normal"/>
        <w:bidi w:val="0"/>
        <w:spacing w:lineRule="auto" w:line="480" w:before="0" w:after="0"/>
        <w:ind w:firstLine="720"/>
        <w:jc w:val="start"/>
        <w:rPr/>
      </w:pPr>
      <w:r>
        <w:rPr/>
        <w:t>Munro, Kirstin. 2023. The Production of Everyday Life in Eco-Conscious Households: Compromise, Conflict, Complicity. Bristol: Bristol University Press.</w:t>
      </w:r>
    </w:p>
    <w:p>
      <w:pPr>
        <w:pStyle w:val="Normal"/>
        <w:bidi w:val="0"/>
        <w:spacing w:lineRule="auto" w:line="480" w:before="0" w:after="0"/>
        <w:ind w:firstLine="720"/>
        <w:jc w:val="start"/>
        <w:rPr/>
      </w:pPr>
      <w:r>
        <w:rPr/>
        <w:t>Nightingale, Carl H. 2012. Segregation: A Global History of Divided Cities. Chicago: University of Chicago Press.</w:t>
      </w:r>
    </w:p>
    <w:p>
      <w:pPr>
        <w:pStyle w:val="Normal"/>
        <w:bidi w:val="0"/>
        <w:spacing w:lineRule="auto" w:line="480" w:before="0" w:after="0"/>
        <w:ind w:firstLine="720"/>
        <w:jc w:val="start"/>
        <w:rPr/>
      </w:pPr>
      <w:r>
        <w:rPr/>
        <w:t>Quijano, Aníbal, and Immanuel Wallerstein. 1992. "Americanity as a concept, or the Americas in the modern world." International Social Science Journal 44:4. 549-557.</w:t>
      </w:r>
    </w:p>
    <w:p>
      <w:pPr>
        <w:pStyle w:val="Normal"/>
        <w:bidi w:val="0"/>
        <w:spacing w:lineRule="auto" w:line="480" w:before="0" w:after="0"/>
        <w:ind w:firstLine="720"/>
        <w:jc w:val="start"/>
        <w:rPr/>
      </w:pPr>
      <w:r>
        <w:rPr/>
        <w:t>Scott, Mel. American City Planning Since 1890. Berkeley and Los Angeles: University of California Press.</w:t>
      </w:r>
    </w:p>
    <w:p>
      <w:pPr>
        <w:pStyle w:val="Normal"/>
        <w:bidi w:val="0"/>
        <w:spacing w:lineRule="auto" w:line="480" w:before="0" w:after="0"/>
        <w:ind w:firstLine="720"/>
        <w:jc w:val="start"/>
        <w:rPr/>
      </w:pPr>
      <w:r>
        <w:rPr/>
        <w:t>Stanley, Kathleen and Joan Smith. 1992. “The Detroit Story: the crucible of Fordism.” in Creating and Transforming Households: the constraints of the world-economy. eds Joan Smith and Immanuel Wallerstein. Cambridge: Cambridge University Press.</w:t>
      </w:r>
    </w:p>
    <w:p>
      <w:pPr>
        <w:pStyle w:val="Normal"/>
        <w:bidi w:val="0"/>
        <w:spacing w:lineRule="auto" w:line="480" w:before="0" w:after="0"/>
        <w:ind w:firstLine="720"/>
        <w:jc w:val="start"/>
        <w:rPr/>
      </w:pPr>
      <w:r>
        <w:rPr/>
        <w:t>Storper, Michael, and Richard Walker. 1989. The Capitalist Imperative: Territory, Technology, and Industrial Growth. Cambridge, Oxford: Blackwell Publishers.</w:t>
      </w:r>
    </w:p>
    <w:p>
      <w:pPr>
        <w:pStyle w:val="Normal"/>
        <w:bidi w:val="0"/>
        <w:spacing w:lineRule="auto" w:line="480" w:before="0" w:after="0"/>
        <w:ind w:firstLine="720"/>
        <w:jc w:val="start"/>
        <w:rPr/>
      </w:pPr>
      <w:r>
        <w:rPr/>
        <w:t>U.S. Census Bureau. 1930 Census of the Population: Volume 4. Occupations, by States. https://www.census.gov/programs-surveys/decennial-census/decade/decennial-publications.1930.html.</w:t>
      </w:r>
    </w:p>
    <w:p>
      <w:pPr>
        <w:pStyle w:val="Normal"/>
        <w:bidi w:val="0"/>
        <w:spacing w:lineRule="auto" w:line="480" w:before="0" w:after="0"/>
        <w:ind w:firstLine="720"/>
        <w:jc w:val="start"/>
        <w:rPr/>
      </w:pPr>
      <w:r>
        <w:rPr/>
        <w:t>U.S. Census Bureau. 1940 Census of the Population: Volume 2. Characteristics of the Population. https://www.census.gov/programs-surveys/decennial-census/decade/decennial-publications.1940.html.</w:t>
      </w:r>
    </w:p>
    <w:p>
      <w:pPr>
        <w:pStyle w:val="Normal"/>
        <w:bidi w:val="0"/>
        <w:spacing w:lineRule="auto" w:line="480" w:before="0" w:after="0"/>
        <w:ind w:firstLine="720"/>
        <w:jc w:val="start"/>
        <w:rPr/>
      </w:pPr>
      <w:r>
        <w:rPr/>
        <w:t>Vogel, Lise. 2013. Marxism and the Oppression of Women: Toward a Unitary Theory. Chicago: Haymarket Books.</w:t>
      </w:r>
    </w:p>
    <w:p>
      <w:pPr>
        <w:pStyle w:val="Normal"/>
        <w:bidi w:val="0"/>
        <w:spacing w:lineRule="auto" w:line="480" w:before="0" w:after="0"/>
        <w:ind w:firstLine="720"/>
        <w:jc w:val="start"/>
        <w:rPr/>
      </w:pPr>
      <w:r>
        <w:rPr/>
        <w:t>Wallerstein, Immanuel. 1983. Historical Capitalism. London: Verso.</w:t>
      </w:r>
    </w:p>
    <w:p>
      <w:pPr>
        <w:pStyle w:val="Normal"/>
        <w:bidi w:val="0"/>
        <w:spacing w:lineRule="auto" w:line="480" w:before="0" w:after="0"/>
        <w:ind w:firstLine="720"/>
        <w:jc w:val="start"/>
        <w:rPr/>
      </w:pPr>
      <w:r>
        <w:rPr/>
        <w:t>Wallerstein, Immanuel. 2004. World-systems Analysis: An Introduction. Durham and London: Duke University Press.</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5-21T10:18:08Z" w:initials="">
    <w:p>
      <w:pPr>
        <w:overflowPunct w:val="false"/>
        <w:rPr/>
      </w:pPr>
      <w:r>
        <w:rPr>
          <w:rFonts w:eastAsia="DejaVu Sans" w:cs="Noto Sans Arabic"/>
          <w:kern w:val="0"/>
          <w:lang w:val="en-US" w:eastAsia="en-US" w:bidi="en-US"/>
        </w:rPr>
        <w:t>Postone?</w:t>
      </w:r>
    </w:p>
  </w:comment>
  <w:comment w:id="1" w:author="Unknown Author" w:date="2026-05-20T12:16:16Z" w:initials="">
    <w:p>
      <w:pPr>
        <w:overflowPunct w:val="true"/>
        <w:bidi w:val="0"/>
        <w:rPr/>
      </w:pPr>
      <w:r>
        <w:rPr>
          <w:rFonts w:eastAsia="DejaVu Sans" w:cs="Noto Sans Arabic"/>
          <w:kern w:val="0"/>
          <w:lang w:val="en-US" w:eastAsia="en-US" w:bidi="en-US"/>
        </w:rPr>
        <w:t>Heidi – ‘Periphery in the sense of racialized people too?’</w:t>
      </w:r>
    </w:p>
  </w:comment>
  <w:comment w:id="2" w:author="Unknown Author" w:date="2026-05-20T12:17:45Z" w:initials="">
    <w:p>
      <w:pPr>
        <w:overflowPunct w:val="true"/>
        <w:bidi w:val="0"/>
        <w:rPr/>
      </w:pPr>
      <w:r>
        <w:rPr>
          <w:rFonts w:eastAsia="DejaVu Sans" w:cs="Noto Sans Arabic"/>
          <w:kern w:val="0"/>
          <w:lang w:val="en-US" w:eastAsia="en-US" w:bidi="en-US"/>
        </w:rPr>
        <w:t>Heidi says this is good phrasing, but it reads like ai in 2026 lol</w:t>
      </w:r>
    </w:p>
  </w:comment>
  <w:comment w:id="3" w:author="Unknown Author" w:date="2026-05-21T14:27:03Z" w:initials="">
    <w:p>
      <w:pPr>
        <w:overflowPunct w:val="false"/>
        <w:rPr/>
      </w:pPr>
      <w:r>
        <w:rPr>
          <w:rFonts w:ascii="Liberation Serif;Times New Roman" w:hAnsi="Liberation Serif;Times New Roman" w:eastAsia="Noto Serif CJK SC" w:cs="Liberation Serif;Times New Roman"/>
          <w:b w:val="false"/>
          <w:bCs w:val="false"/>
          <w:i w:val="false"/>
          <w:iCs w:val="false"/>
          <w:color w:val="auto"/>
          <w:kern w:val="2"/>
          <w:sz w:val="24"/>
          <w:szCs w:val="24"/>
          <w:lang w:val="en-US" w:eastAsia="zh-CN" w:bidi="hi-IN"/>
        </w:rPr>
        <w:t>[add in review of americanism here]</w:t>
      </w:r>
    </w:p>
  </w:comment>
  <w:comment w:id="4" w:author="Unknown Author" w:date="2026-05-20T12:19:01Z" w:initials="">
    <w:p>
      <w:pPr>
        <w:overflowPunct w:val="true"/>
        <w:bidi w:val="0"/>
        <w:rPr/>
      </w:pPr>
      <w:r>
        <w:rPr>
          <w:rFonts w:eastAsia="DejaVu Sans" w:cs="Noto Sans Arabic"/>
          <w:kern w:val="0"/>
          <w:lang w:val="en-US" w:eastAsia="en-US" w:bidi="en-US"/>
        </w:rPr>
        <w:t>Say more, and explain the complicity</w:t>
      </w:r>
    </w:p>
  </w:comment>
  <w:comment w:id="5" w:author="Unknown Author" w:date="2026-05-20T12:20:00Z" w:initials="">
    <w:p>
      <w:pPr>
        <w:overflowPunct w:val="true"/>
        <w:bidi w:val="0"/>
        <w:rPr/>
      </w:pPr>
      <w:r>
        <w:rPr>
          <w:rFonts w:eastAsia="DejaVu Sans" w:cs="Noto Sans Arabic"/>
          <w:kern w:val="0"/>
          <w:lang w:val="en-US" w:eastAsia="en-US" w:bidi="en-US"/>
        </w:rPr>
        <w:t>Heidi – give an example</w:t>
      </w:r>
    </w:p>
  </w:comment>
  <w:comment w:id="6" w:author="Unknown Author" w:date="2026-05-21T14:18:37Z" w:initials="">
    <w:p>
      <w:pPr>
        <w:overflowPunct w:val="false"/>
        <w:rPr/>
      </w:pPr>
      <w:r>
        <w:rPr>
          <w:rFonts w:eastAsia="DejaVu Sans" w:cs="Noto Sans Arabic"/>
          <w:kern w:val="0"/>
          <w:lang w:val="en-US" w:eastAsia="en-US" w:bidi="en-US"/>
        </w:rPr>
        <w:t>Make sure this is clear</w:t>
      </w:r>
    </w:p>
  </w:comment>
  <w:comment w:id="7" w:author="Unknown Author" w:date="2026-05-20T12:21:25Z" w:initials="">
    <w:p>
      <w:pPr>
        <w:overflowPunct w:val="false"/>
        <w:rPr/>
      </w:pPr>
      <w:r>
        <w:rPr>
          <w:rFonts w:eastAsia="DejaVu Sans" w:cs="Noto Sans Arabic"/>
          <w:kern w:val="0"/>
          <w:lang w:val="en-US" w:eastAsia="en-US" w:bidi="en-US"/>
        </w:rPr>
        <w:t>Citations in this and the following paragraph</w:t>
      </w:r>
    </w:p>
  </w:comment>
  <w:comment w:id="8" w:author="Unknown Author" w:date="2026-05-20T12:24:15Z" w:initials="">
    <w:p>
      <w:pPr>
        <w:overflowPunct w:val="false"/>
        <w:rPr/>
      </w:pPr>
      <w:r>
        <w:rPr>
          <w:rFonts w:eastAsia="DejaVu Sans" w:cs="Noto Sans Arabic"/>
          <w:kern w:val="0"/>
          <w:lang w:val="en-US" w:eastAsia="en-US" w:bidi="en-US"/>
        </w:rPr>
        <w:t>Heidi – why does americanism not work for europe, and how is this relevant to the argument?</w:t>
      </w:r>
    </w:p>
  </w:comment>
  <w:comment w:id="9" w:author="Unknown Author" w:date="2026-05-20T12:25:07Z" w:initials="">
    <w:p>
      <w:pPr>
        <w:overflowPunct w:val="false"/>
        <w:rPr/>
      </w:pPr>
      <w:r>
        <w:rPr>
          <w:rFonts w:eastAsia="DejaVu Sans" w:cs="Noto Sans Arabic"/>
          <w:kern w:val="0"/>
          <w:lang w:val="en-US" w:eastAsia="en-US" w:bidi="en-US"/>
        </w:rPr>
        <w:t>cite</w:t>
      </w:r>
    </w:p>
  </w:comment>
  <w:comment w:id="10" w:author="Unknown Author" w:date="2026-05-06T11:24:36Z" w:initials="">
    <w:p>
      <w:pPr>
        <w:overflowPunct w:val="false"/>
        <w:bidi w:val="0"/>
        <w:rPr/>
      </w:pPr>
      <w:r>
        <w:rPr>
          <w:rFonts w:eastAsia="DejaVu Sans" w:cs="Noto Sans Arabic"/>
          <w:kern w:val="0"/>
          <w:lang w:val="en-US" w:eastAsia="en-US" w:bidi="en-US"/>
        </w:rPr>
        <w:t>Cite this</w:t>
      </w:r>
    </w:p>
  </w:comment>
  <w:comment w:id="11" w:author="Unknown Author" w:date="2026-05-26T12:14:10Z" w:initials="">
    <w:p>
      <w:pPr>
        <w:overflowPunct w:val="false"/>
        <w:rPr/>
      </w:pPr>
      <w:r>
        <w:rPr>
          <w:rFonts w:eastAsia="DejaVu Sans" w:cs="Noto Sans Arabic"/>
          <w:kern w:val="0"/>
          <w:lang w:val="en-US" w:eastAsia="en-US" w:bidi="en-US"/>
        </w:rPr>
        <w:t>check</w:t>
      </w:r>
    </w:p>
  </w:comment>
  <w:comment w:id="12" w:author="Unknown Author" w:date="2026-05-20T12:26:23Z" w:initials="">
    <w:p>
      <w:pPr>
        <w:overflowPunct w:val="false"/>
        <w:rPr/>
      </w:pPr>
      <w:r>
        <w:rPr>
          <w:rFonts w:eastAsia="DejaVu Sans" w:cs="Noto Sans Arabic"/>
          <w:kern w:val="0"/>
          <w:lang w:val="en-US" w:eastAsia="en-US" w:bidi="en-US"/>
        </w:rPr>
        <w:t>Jessi Quizar – Comeback as Resettlement</w:t>
      </w:r>
    </w:p>
  </w:comment>
  <w:comment w:id="13" w:author="Unknown Author" w:date="2026-05-26T12:16:35Z" w:initials="">
    <w:p>
      <w:pPr>
        <w:overflowPunct w:val="false"/>
        <w:rPr/>
      </w:pPr>
      <w:r>
        <w:rPr>
          <w:rFonts w:eastAsia="DejaVu Sans" w:cs="Noto Sans Arabic"/>
          <w:kern w:val="0"/>
          <w:lang w:val="en-US" w:eastAsia="en-US" w:bidi="en-US"/>
        </w:rPr>
        <w:t>Not good</w:t>
      </w:r>
    </w:p>
  </w:comment>
  <w:comment w:id="14" w:author="Unknown Author" w:date="2026-05-20T12:27:00Z" w:initials="">
    <w:p>
      <w:pPr>
        <w:overflowPunct w:val="false"/>
        <w:rPr/>
      </w:pPr>
      <w:r>
        <w:rPr>
          <w:rFonts w:eastAsia="DejaVu Sans" w:cs="Noto Sans Arabic"/>
          <w:kern w:val="0"/>
          <w:lang w:val="en-US" w:eastAsia="en-US" w:bidi="en-US"/>
        </w:rPr>
        <w:t>Heidi – “How does this whole piece figure into the argument about social reproduction”</w:t>
      </w:r>
    </w:p>
  </w:comment>
  <w:comment w:id="15" w:author="Unknown Author" w:date="2026-05-20T12:57:09Z" w:initials="">
    <w:p>
      <w:pPr>
        <w:overflowPunct w:val="false"/>
        <w:rPr/>
      </w:pPr>
      <w:r>
        <w:rPr>
          <w:rFonts w:eastAsia="DejaVu Sans" w:cs="Noto Sans Arabic"/>
          <w:kern w:val="0"/>
          <w:lang w:val="en-US" w:eastAsia="en-US" w:bidi="en-US"/>
        </w:rPr>
        <w:t>The whole housing section seems detached from srt; needs to be integrated better</w:t>
      </w:r>
    </w:p>
  </w:comment>
  <w:comment w:id="16" w:author="Unknown Author" w:date="2026-05-26T12:18:29Z" w:initials="">
    <w:p>
      <w:pPr>
        <w:overflowPunct w:val="false"/>
        <w:rPr/>
      </w:pPr>
      <w:r>
        <w:rPr>
          <w:rFonts w:eastAsia="DejaVu Sans" w:cs="Noto Sans Arabic"/>
          <w:kern w:val="0"/>
          <w:lang w:val="en-US" w:eastAsia="en-US" w:bidi="en-US"/>
        </w:rPr>
        <w:t>Were they concerned with others following?</w:t>
      </w:r>
    </w:p>
  </w:comment>
  <w:comment w:id="17" w:author="Unknown Author" w:date="2026-05-20T12:28:07Z" w:initials="">
    <w:p>
      <w:pPr>
        <w:overflowPunct w:val="false"/>
        <w:rPr/>
      </w:pPr>
      <w:r>
        <w:rPr>
          <w:rFonts w:eastAsia="DejaVu Sans" w:cs="Noto Sans Arabic"/>
          <w:kern w:val="0"/>
          <w:lang w:val="en-US" w:eastAsia="en-US" w:bidi="en-US"/>
        </w:rPr>
        <w:t>Relationship between gramsci and more contemporary theories of settler colonialism</w:t>
      </w:r>
    </w:p>
  </w:comment>
  <w:comment w:id="18" w:author="Unknown Author" w:date="2026-05-20T12:28:48Z" w:initials="">
    <w:p>
      <w:pPr>
        <w:overflowPunct w:val="false"/>
        <w:rPr/>
      </w:pPr>
      <w:r>
        <w:rPr>
          <w:rFonts w:eastAsia="DejaVu Sans" w:cs="Noto Sans Arabic"/>
          <w:kern w:val="0"/>
          <w:lang w:val="en-US" w:eastAsia="en-US" w:bidi="en-US"/>
        </w:rPr>
        <w:t>Relate back to theories of social reproduction</w:t>
      </w:r>
    </w:p>
  </w:comment>
  <w:comment w:id="19" w:author="Unknown Author" w:date="2026-05-20T12:29:16Z" w:initials="">
    <w:p>
      <w:pPr>
        <w:overflowPunct w:val="false"/>
        <w:rPr/>
      </w:pPr>
      <w:r>
        <w:rPr>
          <w:rFonts w:eastAsia="DejaVu Sans" w:cs="Noto Sans Arabic"/>
          <w:kern w:val="0"/>
          <w:lang w:val="en-US" w:eastAsia="en-US" w:bidi="en-US"/>
        </w:rPr>
        <w:t>An example like this could help the lit review above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0" w:name="PageNumWizard_FOOTER_Default_Page_Style3"/>
    <w:r>
      <w:rPr/>
      <w:fldChar w:fldCharType="begin"/>
    </w:r>
    <w:r>
      <w:rPr/>
      <w:instrText xml:space="preserve"> PAGE </w:instrText>
    </w:r>
    <w:r>
      <w:rPr/>
      <w:fldChar w:fldCharType="separate"/>
    </w:r>
    <w:r>
      <w:rPr/>
      <w:t>52</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1" w:name="PageNumWizard_FOOTER_Default_Page_Style3"/>
    <w:r>
      <w:rPr/>
      <w:fldChar w:fldCharType="begin"/>
    </w:r>
    <w:r>
      <w:rPr/>
      <w:instrText xml:space="preserve"> PAGE </w:instrText>
    </w:r>
    <w:r>
      <w:rPr/>
      <w:fldChar w:fldCharType="separate"/>
    </w:r>
    <w:r>
      <w:rPr/>
      <w:t>52</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3">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4">
    <w:p>
      <w:pPr>
        <w:pStyle w:val="FootnoteText"/>
        <w:rPr/>
      </w:pPr>
      <w:r>
        <w:rPr>
          <w:rStyle w:val="FootnoteCharacters"/>
        </w:rPr>
        <w:footnoteRef/>
      </w:r>
      <w:r>
        <w:rPr/>
        <w:tab/>
        <w:t>Clarke, “What in the F—’s Name Is Fordism,” 17.</w:t>
      </w:r>
    </w:p>
  </w:footnote>
  <w:footnote w:id="5">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6">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7">
    <w:p>
      <w:pPr>
        <w:pStyle w:val="FootnoteText"/>
        <w:rPr/>
      </w:pPr>
      <w:r>
        <w:rPr>
          <w:rStyle w:val="FootnoteCharacters"/>
        </w:rPr>
        <w:footnoteRef/>
      </w:r>
      <w:r>
        <w:rPr/>
        <w:tab/>
        <w:t xml:space="preserve">Arrighi, </w:t>
      </w:r>
      <w:r>
        <w:rPr>
          <w:i/>
        </w:rPr>
        <w:t>The Long Twentieth Century</w:t>
      </w:r>
      <w:r>
        <w:rPr>
          <w:i w:val="false"/>
          <w:iCs w:val="false"/>
        </w:rPr>
        <w:t>, 62.</w:t>
      </w:r>
    </w:p>
  </w:footnote>
  <w:footnote w:id="8">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9">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0">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1">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2">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3">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4">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6">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7">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8">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9">
    <w:p>
      <w:pPr>
        <w:pStyle w:val="FootnoteText"/>
        <w:rPr/>
      </w:pPr>
      <w:r>
        <w:rPr>
          <w:rStyle w:val="FootnoteCharacters"/>
        </w:rPr>
        <w:footnoteRef/>
      </w:r>
      <w:r>
        <w:rPr/>
        <w:tab/>
        <w:t xml:space="preserve">Marx, </w:t>
      </w:r>
      <w:r>
        <w:rPr>
          <w:i/>
        </w:rPr>
        <w:t>Capital</w:t>
      </w:r>
      <w:r>
        <w:rPr/>
        <w:t>, vol. 1, 345.</w:t>
      </w:r>
    </w:p>
  </w:footnote>
  <w:footnote w:id="20">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21">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22">
    <w:p>
      <w:pPr>
        <w:pStyle w:val="FootnoteText"/>
        <w:rPr/>
      </w:pPr>
      <w:r>
        <w:rPr>
          <w:rStyle w:val="FootnoteCharacters"/>
        </w:rPr>
        <w:footnoteRef/>
      </w:r>
      <w:r>
        <w:rPr/>
        <w:tab/>
        <w:t xml:space="preserve">Wallerstein, </w:t>
      </w:r>
      <w:r>
        <w:rPr>
          <w:i/>
        </w:rPr>
        <w:t>Historical Capitalism</w:t>
      </w:r>
      <w:r>
        <w:rPr>
          <w:i w:val="false"/>
          <w:iCs w:val="false"/>
        </w:rPr>
        <w:t>, 24.</w:t>
      </w:r>
    </w:p>
  </w:footnote>
  <w:footnote w:id="23">
    <w:p>
      <w:pPr>
        <w:pStyle w:val="FootnoteText"/>
        <w:rPr/>
      </w:pPr>
      <w:r>
        <w:rPr>
          <w:rStyle w:val="FootnoteCharacters"/>
        </w:rPr>
        <w:footnoteRef/>
      </w:r>
      <w:r>
        <w:rPr/>
        <w:tab/>
        <w:t xml:space="preserve">Wallerstein, </w:t>
      </w:r>
      <w:r>
        <w:rPr>
          <w:i/>
        </w:rPr>
        <w:t>Historical Capitalism</w:t>
      </w:r>
      <w:r>
        <w:rPr>
          <w:i w:val="false"/>
          <w:iCs w:val="false"/>
        </w:rPr>
        <w:t>, 35.</w:t>
      </w:r>
    </w:p>
  </w:footnote>
  <w:footnote w:id="24">
    <w:p>
      <w:pPr>
        <w:pStyle w:val="FootnoteText"/>
        <w:rPr/>
      </w:pPr>
      <w:r>
        <w:rPr>
          <w:rStyle w:val="FootnoteCharacters"/>
        </w:rPr>
        <w:footnoteRef/>
      </w:r>
      <w:r>
        <w:rPr/>
        <w:tab/>
        <w:t xml:space="preserve">Wallerstein, </w:t>
      </w:r>
      <w:r>
        <w:rPr>
          <w:i/>
        </w:rPr>
        <w:t>Historical Capitalism</w:t>
      </w:r>
      <w:r>
        <w:rPr>
          <w:i w:val="false"/>
          <w:iCs w:val="false"/>
        </w:rPr>
        <w:t>, 35.</w:t>
      </w:r>
    </w:p>
  </w:footnote>
  <w:footnote w:id="25">
    <w:p>
      <w:pPr>
        <w:pStyle w:val="FootnoteText"/>
        <w:rPr/>
      </w:pPr>
      <w:r>
        <w:rPr>
          <w:rStyle w:val="FootnoteCharacters"/>
        </w:rPr>
        <w:footnoteRef/>
      </w:r>
      <w:r>
        <w:rPr/>
        <w:tab/>
        <w:t xml:space="preserve">Wallerstein, </w:t>
      </w:r>
      <w:r>
        <w:rPr>
          <w:i/>
        </w:rPr>
        <w:t>Historical Capitalism</w:t>
      </w:r>
      <w:r>
        <w:rPr>
          <w:i w:val="false"/>
          <w:iCs w:val="false"/>
        </w:rPr>
        <w:t>, 35.</w:t>
      </w:r>
    </w:p>
  </w:footnote>
  <w:footnote w:id="26">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27">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28">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29">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30">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31">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32">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33">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34">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35">
    <w:p>
      <w:pPr>
        <w:pStyle w:val="Normal"/>
        <w:bidi w:val="0"/>
        <w:spacing w:before="0" w:after="288"/>
        <w:jc w:val="start"/>
        <w:rPr/>
      </w:pPr>
      <w:r>
        <w:rPr>
          <w:rStyle w:val="FootnoteCharacters"/>
        </w:rPr>
        <w:footnoteRef/>
      </w:r>
      <w:r>
        <w:rPr/>
        <w:t xml:space="preserve"> </w:t>
      </w:r>
      <w:r>
        <w:rPr>
          <w:shd w:fill="FFFF00" w:val="clear"/>
        </w:rPr>
        <w:t>For a theoretical critique of Vogel’s transhistorical association of the category of woman with the process of childbearing, see chapter 7 of Mute Compulsion, “Capitalism and Difference,” (Mau 2023, 152-173). For a historical explication of the contingent nature of this association, see Patriarchy and Accumulation on a World Scale by Maria Mies, especially chapter 3, “Colonization and Housewifization” (Mies 1986, 74-111).</w:t>
      </w:r>
    </w:p>
  </w:footnote>
  <w:footnote w:id="36">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37">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38">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39">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40">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41">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42">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43">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44">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45">
    <w:p>
      <w:pPr>
        <w:pStyle w:val="FootnoteText"/>
        <w:rPr/>
      </w:pPr>
      <w:r>
        <w:rPr>
          <w:rStyle w:val="FootnoteCharacters"/>
        </w:rPr>
        <w:footnoteRef/>
      </w:r>
      <w:r>
        <w:rPr/>
        <w:tab/>
        <w:t>Fraser, “Crisis of Care? On the Social-Reproductive Contradictions of Contemporary Capitalism,” 24.</w:t>
      </w:r>
    </w:p>
  </w:footnote>
  <w:footnote w:id="46">
    <w:p>
      <w:pPr>
        <w:pStyle w:val="FootnoteText"/>
        <w:rPr/>
      </w:pPr>
      <w:r>
        <w:rPr>
          <w:rStyle w:val="FootnoteCharacters"/>
        </w:rPr>
        <w:footnoteRef/>
      </w:r>
      <w:r>
        <w:rPr/>
        <w:tab/>
        <w:t>Fraser, “Crisis of Care? On the Social-Reproductive Contradictions of Contemporary Capitalism,” 32.</w:t>
      </w:r>
    </w:p>
  </w:footnote>
  <w:footnote w:id="47">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48">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49">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50">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51">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52">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53">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5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55">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56">
    <w:p>
      <w:pPr>
        <w:pStyle w:val="FootnoteText"/>
        <w:rPr/>
      </w:pPr>
      <w:r>
        <w:rPr>
          <w:rStyle w:val="FootnoteCharacters"/>
        </w:rPr>
        <w:footnoteRef/>
      </w:r>
      <w:r>
        <w:rPr/>
        <w:tab/>
        <w:t>Munro, “Unproductive Workers and State Repression,” 624.</w:t>
      </w:r>
    </w:p>
  </w:footnote>
  <w:footnote w:id="57">
    <w:p>
      <w:pPr>
        <w:pStyle w:val="FootnoteText"/>
        <w:rPr/>
      </w:pPr>
      <w:r>
        <w:rPr>
          <w:rStyle w:val="FootnoteCharacters"/>
        </w:rPr>
        <w:footnoteRef/>
      </w:r>
      <w:r>
        <w:rPr/>
        <w:tab/>
        <w:t>Munro, “Unproductive Workers and State Repression,” 625.</w:t>
      </w:r>
    </w:p>
  </w:footnote>
  <w:footnote w:id="58">
    <w:p>
      <w:pPr>
        <w:pStyle w:val="FootnoteText"/>
        <w:rPr/>
      </w:pPr>
      <w:r>
        <w:rPr>
          <w:rStyle w:val="FootnoteCharacters"/>
        </w:rPr>
        <w:footnoteRef/>
      </w:r>
      <w:r>
        <w:rPr/>
        <w:tab/>
        <w:t>Munro, “Unproductive Workers and State Repression,” 625.</w:t>
      </w:r>
    </w:p>
  </w:footnote>
  <w:footnote w:id="59">
    <w:p>
      <w:pPr>
        <w:pStyle w:val="FootnoteText"/>
        <w:rPr/>
      </w:pPr>
      <w:r>
        <w:rPr>
          <w:rStyle w:val="FootnoteCharacters"/>
        </w:rPr>
        <w:footnoteRef/>
      </w:r>
      <w:r>
        <w:rPr/>
        <w:tab/>
        <w:t>Munro, “Unproductive Workers and State Repression,” 623.</w:t>
      </w:r>
    </w:p>
  </w:footnote>
  <w:footnote w:id="60">
    <w:p>
      <w:pPr>
        <w:pStyle w:val="FootnoteText"/>
        <w:rPr/>
      </w:pPr>
      <w:r>
        <w:rPr>
          <w:rStyle w:val="FootnoteCharacters"/>
        </w:rPr>
        <w:footnoteRef/>
      </w:r>
      <w:r>
        <w:rPr/>
        <w:tab/>
        <w:t>Munro, “Unproductive Workers and State Repression,” 624.</w:t>
      </w:r>
    </w:p>
  </w:footnote>
  <w:footnote w:id="61">
    <w:p>
      <w:pPr>
        <w:pStyle w:val="FootnoteText"/>
        <w:rPr/>
      </w:pPr>
      <w:r>
        <w:rPr>
          <w:rStyle w:val="FootnoteCharacters"/>
        </w:rPr>
        <w:footnoteRef/>
      </w:r>
      <w:r>
        <w:rPr/>
        <w:tab/>
        <w:t xml:space="preserve">Marx, </w:t>
      </w:r>
      <w:r>
        <w:rPr>
          <w:i/>
        </w:rPr>
        <w:t>Capital</w:t>
      </w:r>
      <w:r>
        <w:rPr/>
        <w:t>, vol. 1, 276.</w:t>
      </w:r>
    </w:p>
  </w:footnote>
  <w:footnote w:id="62">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63">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64">
    <w:p>
      <w:pPr>
        <w:pStyle w:val="FootnoteText"/>
        <w:rPr/>
      </w:pPr>
      <w:r>
        <w:rPr>
          <w:rStyle w:val="FootnoteCharacters"/>
        </w:rPr>
        <w:footnoteRef/>
      </w:r>
      <w:r>
        <w:rPr/>
        <w:tab/>
        <w:t>Munro, “‘Social Reproduction Theory,’ Social Reproduction, and Household Production,” 454-455.</w:t>
      </w:r>
    </w:p>
  </w:footnote>
  <w:footnote w:id="65">
    <w:p>
      <w:pPr>
        <w:pStyle w:val="FootnoteText"/>
        <w:rPr/>
      </w:pPr>
      <w:r>
        <w:rPr>
          <w:rStyle w:val="FootnoteCharacters"/>
        </w:rPr>
        <w:footnoteRef/>
      </w:r>
      <w:r>
        <w:rPr/>
        <w:tab/>
        <w:t>Munro, “‘Social Reproduction Theory,’ Social Reproduction, and Household Production,” 455.</w:t>
      </w:r>
    </w:p>
  </w:footnote>
  <w:footnote w:id="66">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67">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68">
    <w:p>
      <w:pPr>
        <w:pStyle w:val="FootnoteText"/>
        <w:rPr/>
      </w:pPr>
      <w:r>
        <w:rPr>
          <w:rStyle w:val="FootnoteCharacters"/>
        </w:rPr>
        <w:footnoteRef/>
      </w:r>
      <w:r>
        <w:rPr/>
        <w:tab/>
        <w:t xml:space="preserve">US Census Bureau, </w:t>
      </w:r>
      <w:r>
        <w:rPr>
          <w:i/>
        </w:rPr>
        <w:t>Characteristics of the Population</w:t>
      </w:r>
      <w:r>
        <w:rPr/>
        <w:t>, no. 2 (1940).</w:t>
      </w:r>
    </w:p>
  </w:footnote>
  <w:footnote w:id="69">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70">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71">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72">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73">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74">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75">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76">
    <w:p>
      <w:pPr>
        <w:pStyle w:val="FootnoteText"/>
        <w:rPr/>
      </w:pPr>
      <w:r>
        <w:rPr>
          <w:rStyle w:val="FootnoteCharacters"/>
        </w:rPr>
        <w:footnoteRef/>
      </w:r>
      <w:r>
        <w:rPr>
          <w:i/>
        </w:rPr>
        <w:tab/>
        <w:t>Meyer III, The Five Dollar Day</w:t>
      </w:r>
      <w:r>
        <w:rPr>
          <w:i w:val="false"/>
          <w:iCs w:val="false"/>
        </w:rPr>
        <w:t>, 6.</w:t>
      </w:r>
    </w:p>
  </w:footnote>
  <w:footnote w:id="77">
    <w:p>
      <w:pPr>
        <w:pStyle w:val="FootnoteText"/>
        <w:rPr/>
      </w:pPr>
      <w:r>
        <w:rPr>
          <w:rStyle w:val="FootnoteCharacters"/>
        </w:rPr>
        <w:footnoteRef/>
      </w:r>
      <w:r>
        <w:rPr>
          <w:i/>
        </w:rPr>
        <w:tab/>
        <w:t>Meyer III, The Five Dollar Day</w:t>
      </w:r>
      <w:r>
        <w:rPr>
          <w:i w:val="false"/>
          <w:iCs w:val="false"/>
        </w:rPr>
        <w:t>, 7.</w:t>
      </w:r>
    </w:p>
  </w:footnote>
  <w:footnote w:id="78">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79">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80">
    <w:p>
      <w:pPr>
        <w:pStyle w:val="FootnoteText"/>
        <w:rPr/>
      </w:pPr>
      <w:r>
        <w:rPr>
          <w:rStyle w:val="FootnoteCharacters"/>
        </w:rPr>
        <w:footnoteRef/>
      </w:r>
      <w:r>
        <w:rPr/>
        <w:tab/>
        <w:t>Stanley and Smith, “The Detroit Story,” 38.</w:t>
      </w:r>
    </w:p>
  </w:footnote>
  <w:footnote w:id="81">
    <w:p>
      <w:pPr>
        <w:pStyle w:val="FootnoteText"/>
        <w:rPr/>
      </w:pPr>
      <w:r>
        <w:rPr>
          <w:rStyle w:val="FootnoteCharacters"/>
        </w:rPr>
        <w:footnoteRef/>
      </w:r>
      <w:r>
        <w:rPr/>
        <w:tab/>
        <w:t>Stanley and Smith, “The Detroit Story,” 46.</w:t>
      </w:r>
    </w:p>
  </w:footnote>
  <w:footnote w:id="82">
    <w:p>
      <w:pPr>
        <w:pStyle w:val="FootnoteText"/>
        <w:rPr/>
      </w:pPr>
      <w:r>
        <w:rPr>
          <w:rStyle w:val="FootnoteCharacters"/>
        </w:rPr>
        <w:footnoteRef/>
      </w:r>
      <w:r>
        <w:rPr/>
        <w:tab/>
        <w:t>Stanley and Smith, “The Detroit Story,” 47.</w:t>
      </w:r>
    </w:p>
  </w:footnote>
  <w:footnote w:id="83">
    <w:p>
      <w:pPr>
        <w:pStyle w:val="FootnoteText"/>
        <w:rPr/>
      </w:pPr>
      <w:r>
        <w:rPr>
          <w:rStyle w:val="FootnoteCharacters"/>
        </w:rPr>
        <w:footnoteRef/>
      </w:r>
      <w:r>
        <w:rPr/>
        <w:tab/>
        <w:t>Stanley and Smith, “The Detroit Story,” 46.</w:t>
      </w:r>
    </w:p>
  </w:footnote>
  <w:footnote w:id="84">
    <w:p>
      <w:pPr>
        <w:pStyle w:val="FootnoteText"/>
        <w:rPr/>
      </w:pPr>
      <w:r>
        <w:rPr>
          <w:rStyle w:val="FootnoteCharacters"/>
        </w:rPr>
        <w:footnoteRef/>
      </w:r>
      <w:r>
        <w:rPr/>
        <w:tab/>
        <w:t xml:space="preserve">US Census Bureau, </w:t>
      </w:r>
      <w:r>
        <w:rPr>
          <w:i/>
        </w:rPr>
        <w:t>Occupations, by States</w:t>
      </w:r>
      <w:r>
        <w:rPr/>
        <w:t>, no. 4 (1930), 805.</w:t>
      </w:r>
    </w:p>
  </w:footnote>
  <w:footnote w:id="85">
    <w:p>
      <w:pPr>
        <w:pStyle w:val="FootnoteText"/>
        <w:rPr/>
      </w:pPr>
      <w:r>
        <w:rPr>
          <w:rStyle w:val="FootnoteCharacters"/>
        </w:rPr>
        <w:footnoteRef/>
      </w:r>
      <w:r>
        <w:rPr/>
        <w:tab/>
        <w:t xml:space="preserve">Meyer III, </w:t>
      </w:r>
      <w:r>
        <w:rPr>
          <w:i/>
        </w:rPr>
        <w:t>The Five Dollar Day</w:t>
      </w:r>
      <w:r>
        <w:rPr>
          <w:i w:val="false"/>
          <w:iCs w:val="false"/>
        </w:rPr>
        <w:t>, 130.</w:t>
      </w:r>
    </w:p>
  </w:footnote>
  <w:footnote w:id="86">
    <w:p>
      <w:pPr>
        <w:pStyle w:val="FootnoteText"/>
        <w:rPr/>
      </w:pPr>
      <w:r>
        <w:rPr>
          <w:rStyle w:val="FootnoteCharacters"/>
        </w:rPr>
        <w:footnoteRef/>
      </w:r>
      <w:r>
        <w:rPr/>
        <w:tab/>
        <w:t xml:space="preserve">Meyer III, </w:t>
      </w:r>
      <w:r>
        <w:rPr>
          <w:i/>
        </w:rPr>
        <w:t>The Five Dollar Day</w:t>
      </w:r>
      <w:r>
        <w:rPr>
          <w:i w:val="false"/>
          <w:iCs w:val="false"/>
        </w:rPr>
        <w:t>, 133.</w:t>
      </w:r>
    </w:p>
  </w:footnote>
  <w:footnote w:id="87">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w:t>
      </w:r>
      <w:r>
        <w:rPr/>
        <w:t>, 47.</w:t>
      </w:r>
    </w:p>
  </w:footnote>
  <w:footnote w:id="88">
    <w:p>
      <w:pPr>
        <w:pStyle w:val="FootnoteText"/>
        <w:rPr/>
      </w:pPr>
      <w:r>
        <w:rPr>
          <w:rStyle w:val="FootnoteCharacters"/>
        </w:rPr>
        <w:footnoteRef/>
      </w:r>
      <w:r>
        <w:rPr/>
        <w:tab/>
        <w:t xml:space="preserve">Nightingale, </w:t>
      </w:r>
      <w:r>
        <w:rPr>
          <w:i/>
        </w:rPr>
        <w:t>Segregation</w:t>
      </w:r>
      <w:r>
        <w:rPr>
          <w:i w:val="false"/>
          <w:iCs w:val="false"/>
        </w:rPr>
        <w:t>, 296.</w:t>
      </w:r>
    </w:p>
  </w:footnote>
  <w:footnote w:id="89">
    <w:p>
      <w:pPr>
        <w:pStyle w:val="FootnoteText"/>
        <w:rPr/>
      </w:pPr>
      <w:r>
        <w:rPr>
          <w:rStyle w:val="FootnoteCharacters"/>
        </w:rPr>
        <w:footnoteRef/>
      </w:r>
      <w:r>
        <w:rPr/>
        <w:tab/>
        <w:t xml:space="preserve">Nightingale, </w:t>
      </w:r>
      <w:r>
        <w:rPr>
          <w:i/>
        </w:rPr>
        <w:t>Segregation</w:t>
      </w:r>
      <w:r>
        <w:rPr>
          <w:i w:val="false"/>
          <w:iCs w:val="false"/>
        </w:rPr>
        <w:t>, 296.</w:t>
      </w:r>
    </w:p>
  </w:footnote>
  <w:footnote w:id="90">
    <w:p>
      <w:pPr>
        <w:pStyle w:val="FootnoteText"/>
        <w:rPr/>
      </w:pPr>
      <w:r>
        <w:rPr>
          <w:rStyle w:val="FootnoteCharacters"/>
        </w:rPr>
        <w:footnoteRef/>
      </w:r>
      <w:r>
        <w:rPr/>
        <w:tab/>
        <w:t xml:space="preserve">Mark Jay and Philip Conklin, </w:t>
      </w:r>
      <w:r>
        <w:rPr>
          <w:i/>
        </w:rPr>
        <w:t>A People’s History of Detroit</w:t>
      </w:r>
      <w:r>
        <w:rPr/>
        <w:t xml:space="preserve"> (Duke University Press, 2020)</w:t>
      </w:r>
      <w:r>
        <w:rPr/>
        <w:t>, 84.</w:t>
      </w:r>
    </w:p>
  </w:footnote>
  <w:footnote w:id="91">
    <w:p>
      <w:pPr>
        <w:pStyle w:val="FootnoteText"/>
        <w:rPr/>
      </w:pPr>
      <w:r>
        <w:rPr>
          <w:rStyle w:val="FootnoteCharacters"/>
        </w:rPr>
        <w:footnoteRef/>
      </w:r>
      <w:r>
        <w:rPr/>
        <w:tab/>
        <w:t xml:space="preserve">Jay and Conklin, </w:t>
      </w:r>
      <w:r>
        <w:rPr>
          <w:i/>
        </w:rPr>
        <w:t>A People’s History of Detroit</w:t>
      </w:r>
      <w:r>
        <w:rPr>
          <w:i/>
        </w:rPr>
        <w:t>,</w:t>
      </w:r>
      <w:r>
        <w:rPr>
          <w:i w:val="false"/>
          <w:iCs w:val="false"/>
        </w:rPr>
        <w:t xml:space="preserve"> 14.</w:t>
      </w:r>
    </w:p>
  </w:footnote>
  <w:footnote w:id="92">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93">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94">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95">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96">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97">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98">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99">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100">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101">
    <w:p>
      <w:pPr>
        <w:pStyle w:val="FootnoteText"/>
        <w:rPr/>
      </w:pPr>
      <w:r>
        <w:rPr>
          <w:rStyle w:val="FootnoteCharacters"/>
        </w:rPr>
        <w:footnoteRef/>
      </w:r>
      <w:r>
        <w:rPr/>
        <w:tab/>
        <w:t xml:space="preserve">Cowdrick, </w:t>
      </w:r>
      <w:r>
        <w:rPr>
          <w:i/>
        </w:rPr>
        <w:t>Operations of Modern Housing Corporation</w:t>
      </w:r>
      <w:r>
        <w:rPr>
          <w:i w:val="false"/>
          <w:iCs w:val="false"/>
        </w:rPr>
        <w:t xml:space="preserve">, </w:t>
      </w:r>
      <w:r>
        <w:rPr>
          <w:i w:val="false"/>
          <w:iCs w:val="false"/>
        </w:rPr>
        <w:t>6</w:t>
      </w:r>
      <w:r>
        <w:rPr>
          <w:i w:val="false"/>
          <w:iCs w:val="false"/>
        </w:rPr>
        <w:t>.</w:t>
      </w:r>
    </w:p>
  </w:footnote>
  <w:footnote w:id="102">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w:t>
      </w:r>
      <w:r>
        <w:rPr/>
        <w:t>, 28.</w:t>
      </w:r>
    </w:p>
  </w:footnote>
  <w:footnote w:id="103">
    <w:p>
      <w:pPr>
        <w:pStyle w:val="FootnoteText"/>
        <w:rPr/>
      </w:pPr>
      <w:r>
        <w:rPr>
          <w:rStyle w:val="FootnoteCharacters"/>
        </w:rPr>
        <w:footnoteRef/>
      </w:r>
      <w:r>
        <w:rPr/>
        <w:tab/>
        <w:t xml:space="preserve">Highsmith, </w:t>
      </w:r>
      <w:r>
        <w:rPr>
          <w:i/>
        </w:rPr>
        <w:t>Demolition Means Progress</w:t>
      </w:r>
      <w:r>
        <w:rPr>
          <w:i w:val="false"/>
          <w:iCs w:val="false"/>
        </w:rPr>
        <w:t>, 28.</w:t>
      </w:r>
    </w:p>
  </w:footnote>
  <w:footnote w:id="104">
    <w:p>
      <w:pPr>
        <w:pStyle w:val="FootnoteText"/>
        <w:rPr/>
      </w:pPr>
      <w:r>
        <w:rPr>
          <w:rStyle w:val="FootnoteCharacters"/>
        </w:rPr>
        <w:footnoteRef/>
      </w:r>
      <w:r>
        <w:rPr/>
        <w:tab/>
        <w:t xml:space="preserve">Cowdrick, </w:t>
      </w:r>
      <w:r>
        <w:rPr>
          <w:i/>
        </w:rPr>
        <w:t>Operations of Modern Housing Corporation</w:t>
      </w:r>
      <w:r>
        <w:rPr>
          <w:i w:val="false"/>
          <w:iCs w:val="false"/>
        </w:rPr>
        <w:t xml:space="preserve">, </w:t>
      </w:r>
      <w:r>
        <w:rPr>
          <w:i w:val="false"/>
          <w:iCs w:val="false"/>
        </w:rPr>
        <w:t>6</w:t>
      </w:r>
      <w:r>
        <w:rPr>
          <w:i w:val="false"/>
          <w:iCs w:val="false"/>
        </w:rPr>
        <w:t>.</w:t>
      </w:r>
    </w:p>
  </w:footnote>
  <w:footnote w:id="105">
    <w:p>
      <w:pPr>
        <w:pStyle w:val="FootnoteText"/>
        <w:rPr>
          <w:highlight w:val="none"/>
          <w:shd w:fill="FFFF00" w:val="clear"/>
        </w:rPr>
      </w:pPr>
      <w:r>
        <w:rPr>
          <w:rStyle w:val="FootnoteCharacters"/>
        </w:rPr>
        <w:footnoteRef/>
      </w:r>
      <w:r>
        <w:rPr>
          <w:shd w:fill="FFFF00" w:val="clear"/>
        </w:rPr>
        <w:tab/>
        <w:t xml:space="preserve"> </w:t>
      </w:r>
      <w:r>
        <w:rPr>
          <w:shd w:fill="FFFF00" w:val="clear"/>
        </w:rPr>
        <w:t>For the question of whether service can be considered a commodity, and therefore whether service work can be considered productive labor, see (Heinrich 2012, 44). A service provided for pay is simply a commodity whose production and consumption are not separated either spatially or temporally: they occur at the same time.</w:t>
      </w:r>
    </w:p>
  </w:footnote>
  <w:footnote w:id="106">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107">
    <w:p>
      <w:pPr>
        <w:pStyle w:val="FootnoteText"/>
        <w:rPr/>
      </w:pPr>
      <w:r>
        <w:rPr>
          <w:rStyle w:val="FootnoteCharacters"/>
        </w:rPr>
        <w:footnoteRef/>
      </w:r>
      <w:r>
        <w:rPr/>
        <w:tab/>
        <w:t xml:space="preserve">Bhattacharya, </w:t>
      </w:r>
      <w:r>
        <w:rPr>
          <w:i/>
        </w:rPr>
        <w:t>Social Reproduction Theory</w:t>
      </w:r>
      <w:r>
        <w:rPr>
          <w:i w:val="false"/>
          <w:iCs w:val="false"/>
        </w:rPr>
        <w:t>, 1-2.</w:t>
      </w:r>
    </w:p>
  </w:footnote>
</w:footnotes>
</file>

<file path=word/settings.xml><?xml version="1.0" encoding="utf-8"?>
<w:settings xmlns:w="http://schemas.openxmlformats.org/wordprocessingml/2006/main">
  <w:zoom w:percent="68"/>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320</TotalTime>
  <Application>LibreOffice/24.2.7.2$Linux_X86_64 LibreOffice_project/420$Build-2</Application>
  <AppVersion>15.0000</AppVersion>
  <Pages>52</Pages>
  <Words>15488</Words>
  <Characters>85537</Characters>
  <CharactersWithSpaces>100875</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2025-05-27T11:03:45Z</dcterms:created>
  <dc:creator/>
  <dc:description/>
  <dc:language>en-US</dc:language>
  <cp:lastModifiedBy/>
  <dcterms:modified xsi:type="dcterms:W3CDTF">2026-05-27T11:06:01Z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