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0"/>
        <w:ind w:firstLine="720" w:start="0" w:end="0"/>
        <w:jc w:val="center"/>
        <w:rPr>
          <w:rFonts w:ascii="Liberation Serif" w:hAnsi="Liberation Serif"/>
        </w:rPr>
      </w:pPr>
      <w:bookmarkStart w:id="0" w:name="_d1mvoqxbkobt"/>
      <w:bookmarkEnd w:id="0"/>
      <w:r>
        <w:rPr>
          <w:rFonts w:ascii="Liberation Serif" w:hAnsi="Liberation Serif"/>
          <w:b/>
          <w:i w:val="false"/>
          <w:sz w:val="24"/>
          <w:szCs w:val="24"/>
        </w:rPr>
        <w:t xml:space="preserve"> </w:t>
      </w:r>
      <w:r>
        <w:rPr>
          <w:rFonts w:ascii="Liberation Serif" w:hAnsi="Liberation Serif"/>
          <w:b/>
          <w:i w:val="false"/>
          <w:sz w:val="24"/>
          <w:szCs w:val="24"/>
        </w:rPr>
        <w:t>The Fordist Revolution: Social Reproduction, Commodity Chains, and the Global Division of Labor</w:t>
      </w:r>
    </w:p>
    <w:p>
      <w:pPr>
        <w:pStyle w:val="Heading1"/>
        <w:spacing w:lineRule="auto" w:line="480" w:before="0" w:after="0"/>
        <w:ind w:firstLine="720" w:start="0" w:end="0"/>
        <w:rPr>
          <w:rFonts w:ascii="Liberation Serif" w:hAnsi="Liberation Serif"/>
          <w:b/>
          <w:bCs/>
          <w:sz w:val="24"/>
          <w:szCs w:val="24"/>
          <w:highlight w:val="none"/>
          <w:shd w:fill="FFFF00" w:val="clear"/>
        </w:rPr>
      </w:pPr>
      <w:bookmarkStart w:id="1" w:name="_6f2shsuos59"/>
      <w:bookmarkEnd w:id="1"/>
      <w:r>
        <w:rPr>
          <w:rFonts w:ascii="Liberation Serif" w:hAnsi="Liberation Serif"/>
          <w:b/>
          <w:bCs/>
          <w:sz w:val="24"/>
          <w:szCs w:val="24"/>
          <w:shd w:fill="FFFF00" w:val="clear"/>
        </w:rPr>
        <w:t>FIX CITATIONS MAKE THEM UNIFORM</w:t>
      </w:r>
    </w:p>
    <w:p>
      <w:pPr>
        <w:pStyle w:val="Heading1"/>
        <w:spacing w:lineRule="auto" w:line="480" w:before="0" w:after="0"/>
        <w:ind w:hanging="0" w:start="0" w:end="0"/>
        <w:rPr>
          <w:rFonts w:ascii="Liberation Serif" w:hAnsi="Liberation Serif"/>
        </w:rPr>
      </w:pPr>
      <w:bookmarkStart w:id="2" w:name="_lp6lxj2p1g3s"/>
      <w:bookmarkEnd w:id="2"/>
      <w:r>
        <w:rPr>
          <w:rFonts w:ascii="Liberation Serif" w:hAnsi="Liberation Serif"/>
          <w:b/>
          <w:bCs/>
          <w:i w:val="false"/>
          <w:iCs w:val="false"/>
          <w:sz w:val="24"/>
          <w:szCs w:val="24"/>
        </w:rPr>
        <w:t>Introduction</w:t>
      </w:r>
    </w:p>
    <w:p>
      <w:pPr>
        <w:pStyle w:val="Normal"/>
        <w:bidi w:val="0"/>
        <w:spacing w:lineRule="auto" w:line="480" w:before="0" w:after="0"/>
        <w:ind w:firstLine="720" w:start="0" w:end="0"/>
        <w:jc w:val="start"/>
        <w:rPr>
          <w:rFonts w:ascii="Liberation Serif" w:hAnsi="Liberation Serif"/>
        </w:rPr>
      </w:pPr>
      <w:r>
        <w:rPr>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i/>
          <w:sz w:val="24"/>
          <w:szCs w:val="24"/>
        </w:rPr>
        <w:t>is</w:t>
      </w:r>
      <w:r>
        <w:rPr>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characterisation of Fordism.”</w:t>
      </w:r>
      <w:r>
        <w:rPr>
          <w:rStyle w:val="FootnoteReference"/>
          <w:sz w:val="24"/>
          <w:szCs w:val="24"/>
          <w:vertAlign w:val="superscript"/>
        </w:rPr>
        <w:footnoteReference w:id="2"/>
      </w:r>
      <w:r>
        <w:rPr>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the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rFonts w:ascii="Liberation Serif" w:hAnsi="Liberation Serif"/>
        </w:rPr>
      </w:pPr>
      <w:r>
        <w:rPr>
          <w:sz w:val="24"/>
          <w:szCs w:val="24"/>
        </w:rPr>
        <w:t>The boundaries of this revolution are blurred.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sz w:val="24"/>
          <w:szCs w:val="24"/>
          <w:vertAlign w:val="superscript"/>
        </w:rPr>
        <w:footnoteReference w:id="3"/>
      </w:r>
      <w:r>
        <w:rPr>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rFonts w:ascii="Liberation Serif" w:hAnsi="Liberation Serif"/>
        </w:rPr>
      </w:pPr>
      <w:r>
        <w:rPr>
          <w:sz w:val="24"/>
          <w:szCs w:val="24"/>
        </w:rPr>
        <w:t>Each of these definitions is unsatisfactory, however. In the first place, "[t]here was nothing original in either the detail or the general principles which Our Ford applied to the production of motor vehicles,"</w:t>
      </w:r>
      <w:r>
        <w:rPr>
          <w:rStyle w:val="FootnoteReference"/>
          <w:sz w:val="24"/>
          <w:szCs w:val="24"/>
        </w:rPr>
        <w:footnoteReference w:id="4"/>
      </w:r>
      <w:r>
        <w:rPr>
          <w:sz w:val="24"/>
          <w:szCs w:val="24"/>
        </w:rPr>
        <w:t xml:space="preserve"> and so it makes little sense to isolate them from their social component. If Fordism is to be defined by the unique articulation between these general production principles and his social policy, then why have analysts found it "difficult to discover any examples of ‘Fordism’ in its pure form, even in the United States"?</w:t>
      </w:r>
      <w:r>
        <w:rPr>
          <w:rStyle w:val="FootnoteReference"/>
          <w:sz w:val="24"/>
          <w:szCs w:val="24"/>
        </w:rPr>
        <w:footnoteReference w:id="5"/>
      </w:r>
      <w:r>
        <w:rPr>
          <w:sz w:val="24"/>
          <w:szCs w:val="24"/>
        </w:rPr>
        <w:t xml:space="preserve"> In the US, the generalization of social provision to workers was not effected by private capital, but by the state, with Roosevelt's new deal. This flew in the face of Henry Ford's ideology and policy, as he was a </w:t>
      </w:r>
      <w:commentRangeStart w:id="0"/>
      <w:r>
        <w:rPr>
          <w:sz w:val="24"/>
          <w:szCs w:val="24"/>
        </w:rPr>
        <w:t>fierce opponent of the welfare state</w:t>
      </w:r>
      <w:r>
        <w:rPr>
          <w:sz w:val="24"/>
          <w:szCs w:val="24"/>
        </w:rPr>
      </w:r>
      <w:commentRangeEnd w:id="0"/>
      <w:r>
        <w:commentReference w:id="0"/>
      </w:r>
      <w:r>
        <w:rPr>
          <w:sz w:val="24"/>
          <w:szCs w:val="24"/>
        </w:rPr>
        <w:t xml:space="preserve">, and had placed severe restrictions on his worker's access to social benefits. </w:t>
      </w:r>
    </w:p>
    <w:p>
      <w:pPr>
        <w:pStyle w:val="Normal"/>
        <w:bidi w:val="0"/>
        <w:spacing w:lineRule="auto" w:line="480" w:before="0" w:after="0"/>
        <w:ind w:firstLine="720" w:start="0" w:end="0"/>
        <w:jc w:val="start"/>
        <w:rPr>
          <w:highlight w:val="none"/>
          <w:shd w:fill="FFFF00" w:val="clear"/>
        </w:rPr>
      </w:pPr>
      <w:r>
        <w:rPr>
          <w:sz w:val="24"/>
          <w:szCs w:val="24"/>
          <w:shd w:fill="FFFF00" w:val="clear"/>
        </w:rPr>
        <w:t>[lacuna]</w:t>
      </w:r>
    </w:p>
    <w:p>
      <w:pPr>
        <w:pStyle w:val="Normal"/>
        <w:bidi w:val="0"/>
        <w:spacing w:lineRule="auto" w:line="480" w:before="0" w:after="0"/>
        <w:ind w:firstLine="720" w:start="0" w:end="0"/>
        <w:jc w:val="start"/>
        <w:rPr>
          <w:rFonts w:ascii="Liberation Serif" w:hAnsi="Liberation Serif"/>
        </w:rPr>
      </w:pPr>
      <w:r>
        <w:rPr>
          <w:sz w:val="24"/>
          <w:szCs w:val="24"/>
        </w:rPr>
        <w:t>The local legacy is also one of stratification. Simple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the market.</w:t>
      </w:r>
      <w:r>
        <w:rPr>
          <w:rStyle w:val="FootnoteReference"/>
          <w:sz w:val="24"/>
          <w:szCs w:val="24"/>
          <w:vertAlign w:val="superscript"/>
        </w:rPr>
        <w:footnoteReference w:id="6"/>
      </w:r>
      <w:r>
        <w:rPr>
          <w:sz w:val="24"/>
          <w:szCs w:val="24"/>
        </w:rPr>
        <w:t xml:space="preserve"> Outside the factories, the living conditions of workers were similarly divided. Skilled and semi-skilled workers, mostly white, </w:t>
      </w:r>
      <w:commentRangeStart w:id="1"/>
      <w:r>
        <w:rPr>
          <w:sz w:val="24"/>
          <w:szCs w:val="24"/>
        </w:rPr>
        <w:t>were inducted into a class of homeowners</w:t>
      </w:r>
      <w:r>
        <w:rPr>
          <w:sz w:val="24"/>
          <w:szCs w:val="24"/>
        </w:rPr>
      </w:r>
      <w:commentRangeEnd w:id="1"/>
      <w:r>
        <w:commentReference w:id="1"/>
      </w:r>
      <w:r>
        <w:rPr>
          <w:sz w:val="24"/>
          <w:szCs w:val="24"/>
        </w:rPr>
        <w:t xml:space="preserve">, while racialized and menial laborers often lived in crowded slums. </w:t>
      </w:r>
    </w:p>
    <w:p>
      <w:pPr>
        <w:pStyle w:val="Normal"/>
        <w:bidi w:val="0"/>
        <w:spacing w:lineRule="auto" w:line="480" w:before="0" w:after="0"/>
        <w:ind w:firstLine="720" w:start="0" w:end="0"/>
        <w:jc w:val="start"/>
        <w:rPr>
          <w:rFonts w:ascii="Liberation Serif" w:hAnsi="Liberation Serif"/>
        </w:rPr>
      </w:pPr>
      <w:commentRangeStart w:id="2"/>
      <w:r>
        <w:rPr>
          <w:sz w:val="24"/>
          <w:szCs w:val="24"/>
        </w:rPr>
        <w:t xml:space="preserve">Of course, the labor that contributed to the manufacturing of automobiles was not confined to factory work. Raw materials had to be imported - especially rubber which needed to be sourced from the global south. The stratified labor market in industrial Michigan was mirrored by a global division of labor, in which wild rubber harvesters in the Amazon and the Congo, and to a lesser extent the later rubber plantation workers </w:t>
      </w:r>
      <w:r>
        <w:rPr>
          <w:sz w:val="24"/>
          <w:szCs w:val="24"/>
        </w:rPr>
      </w:r>
      <w:commentRangeEnd w:id="2"/>
      <w:r>
        <w:commentReference w:id="2"/>
      </w:r>
      <w:r>
        <w:rPr>
          <w:sz w:val="24"/>
          <w:szCs w:val="24"/>
        </w:rPr>
        <w:t xml:space="preserve">in southeast Asia, occupied an intensely degraded position. The labor conditions were harsh, and so were the living conditions. </w:t>
      </w:r>
    </w:p>
    <w:p>
      <w:pPr>
        <w:pStyle w:val="Normal"/>
        <w:bidi w:val="0"/>
        <w:spacing w:lineRule="auto" w:line="480" w:before="0" w:after="0"/>
        <w:ind w:firstLine="720" w:start="0" w:end="0"/>
        <w:jc w:val="start"/>
        <w:rPr>
          <w:rFonts w:ascii="Liberation Serif" w:hAnsi="Liberation Serif"/>
        </w:rPr>
      </w:pPr>
      <w:r>
        <w:rPr>
          <w:sz w:val="24"/>
          <w:szCs w:val="24"/>
        </w:rPr>
        <w:t>This chapter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sz w:val="24"/>
          <w:szCs w:val="24"/>
          <w:vertAlign w:val="superscript"/>
        </w:rPr>
        <w:footnoteReference w:id="7"/>
      </w:r>
      <w:r>
        <w:rPr>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i/>
          <w:sz w:val="24"/>
          <w:szCs w:val="24"/>
        </w:rPr>
        <w:t>not</w:t>
      </w:r>
      <w:r>
        <w:rPr>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bidi w:val="0"/>
        <w:spacing w:lineRule="auto" w:line="480" w:before="0" w:after="0"/>
        <w:ind w:firstLine="720" w:start="0" w:end="0"/>
        <w:jc w:val="start"/>
        <w:rPr>
          <w:rFonts w:ascii="Liberation Serif" w:hAnsi="Liberation Serif"/>
        </w:rPr>
      </w:pPr>
      <w:r>
        <w:rPr>
          <w:sz w:val="24"/>
          <w:szCs w:val="24"/>
        </w:rPr>
        <w:t>The second purpose of this chapter is to look at social reproduction within this global context.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sz w:val="24"/>
          <w:szCs w:val="24"/>
          <w:vertAlign w:val="superscript"/>
        </w:rPr>
        <w:footnoteReference w:id="8"/>
      </w:r>
      <w:r>
        <w:rPr>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sz w:val="24"/>
          <w:szCs w:val="24"/>
          <w:vertAlign w:val="superscript"/>
        </w:rPr>
        <w:footnoteReference w:id="9"/>
      </w:r>
      <w:r>
        <w:rPr>
          <w:sz w:val="24"/>
          <w:szCs w:val="24"/>
        </w:rPr>
        <w:t xml:space="preserve"> This paper aims to look at the configuration of working class housing as a component of social reproduction along the global Fordist commodity chains. The scope of this chapter will focus primarily on the origins of Fordism: the production of automobiles in the first decades of the twentieth century. By clarifying the stakes of early Fordism as a global project, and housing as one of its crucial tools, I hope to prepare the ground for a broader investigation of the manipulation of working-class housing as constituent of the capitalist world-system.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Heading1"/>
        <w:spacing w:lineRule="auto" w:line="480" w:before="0" w:after="0"/>
        <w:ind w:hanging="0" w:start="0" w:end="0"/>
        <w:rPr>
          <w:b/>
          <w:bCs/>
          <w:i w:val="false"/>
          <w:i w:val="false"/>
          <w:iCs w:val="false"/>
        </w:rPr>
      </w:pPr>
      <w:bookmarkStart w:id="3" w:name="_wn5wa6q13dn_Copy_1"/>
      <w:bookmarkEnd w:id="3"/>
      <w:r>
        <w:rPr>
          <w:rFonts w:ascii="Liberation Serif" w:hAnsi="Liberation Serif"/>
          <w:b/>
          <w:bCs/>
          <w:i w:val="false"/>
          <w:iCs w:val="false"/>
          <w:sz w:val="24"/>
          <w:szCs w:val="24"/>
        </w:rPr>
        <w:t>The Contradictions of Fordism (1703)</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10"/>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popular conception is problematic on several counts. Ford’s production practices were enormously successful, but the core idea of an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11"/>
      </w:r>
      <w:r>
        <w:rPr>
          <w:sz w:val="24"/>
          <w:szCs w:val="24"/>
          <w:shd w:fill="auto" w:val="clear"/>
        </w:rPr>
        <w:t xml:space="preserve"> Ford would not install his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12"/>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them, of compelling them to stay in their jobs.</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synechdoche for larger structural changes in the global accumulation of capital in the mid twentieth century. Each of these approaches is untenable. The first reduces Fordism to a loose collection of stolen ideas that were implemented with a ruthless intensity, but which explain </w:t>
      </w:r>
      <w:r>
        <w:rPr>
          <w:sz w:val="24"/>
          <w:szCs w:val="24"/>
        </w:rPr>
        <w:t>very little</w:t>
      </w:r>
      <w:r>
        <w:rPr>
          <w:sz w:val="24"/>
          <w:szCs w:val="24"/>
        </w:rPr>
        <w:t xml:space="preserve"> about the history of capital. The second attempts to establish an ideal type of capitalist society that bears little resemblence to any actually existing world. It inevitably devolves into a list of </w:t>
      </w:r>
      <w:r>
        <w:rPr>
          <w:sz w:val="24"/>
          <w:szCs w:val="24"/>
        </w:rPr>
        <w:t xml:space="preserve">precursors, </w:t>
      </w:r>
      <w:r>
        <w:rPr>
          <w:sz w:val="24"/>
          <w:szCs w:val="24"/>
        </w:rPr>
        <w:t>exceptions</w:t>
      </w:r>
      <w:r>
        <w:rPr>
          <w:sz w:val="24"/>
          <w:szCs w:val="24"/>
        </w:rPr>
        <w:t>, and modifications</w:t>
      </w:r>
      <w:r>
        <w:rPr>
          <w:sz w:val="24"/>
          <w:szCs w:val="24"/>
        </w:rPr>
        <w:t xml:space="preserve"> that overwhelm the type itself: </w:t>
      </w:r>
      <w:r>
        <w:rPr>
          <w:sz w:val="24"/>
          <w:szCs w:val="24"/>
        </w:rPr>
        <w:t>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13"/>
      </w:r>
      <w:r>
        <w:rPr>
          <w:sz w:val="24"/>
          <w:szCs w:val="24"/>
        </w:rPr>
        <w:t xml:space="preserve"> Indeed, it is hard to see why Fordism would stand out in this list as the dominant element.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deeply flawed. Within this group, </w:t>
      </w:r>
      <w:r>
        <w:rPr>
          <w:sz w:val="24"/>
          <w:szCs w:val="24"/>
        </w:rPr>
        <w:t>Michel Aglietta</w:t>
      </w:r>
      <w:r>
        <w:rPr>
          <w:sz w:val="24"/>
          <w:szCs w:val="24"/>
        </w:rPr>
        <w:t xml:space="preserve"> provides the</w:t>
      </w:r>
      <w:r>
        <w:rPr>
          <w:sz w:val="24"/>
          <w:szCs w:val="24"/>
        </w:rPr>
        <w:t xml:space="preserv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14"/>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15"/>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16"/>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17"/>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18"/>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potential answer to changing economic conditions.</w:t>
      </w:r>
    </w:p>
    <w:p>
      <w:pPr>
        <w:pStyle w:val="Normal"/>
        <w:bidi w:val="0"/>
        <w:spacing w:lineRule="auto" w:line="480" w:before="0" w:after="0"/>
        <w:ind w:firstLine="720" w:start="0" w:end="0"/>
        <w:jc w:val="start"/>
        <w:rPr>
          <w:rFonts w:ascii="Liberation Serif" w:hAnsi="Liberation Serif"/>
          <w:sz w:val="24"/>
          <w:szCs w:val="24"/>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19"/>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Liberation Serif" w:hAnsi="Liberation Serif"/>
          <w:sz w:val="24"/>
          <w:szCs w:val="24"/>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20"/>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21"/>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22"/>
      </w:r>
    </w:p>
    <w:p>
      <w:pPr>
        <w:pStyle w:val="Normal"/>
        <w:bidi w:val="0"/>
        <w:spacing w:lineRule="auto" w:line="480" w:before="0" w:after="0"/>
        <w:ind w:firstLine="720" w:start="0" w:end="0"/>
        <w:jc w:val="start"/>
        <w:rPr>
          <w:rFonts w:ascii="Liberation Serif" w:hAnsi="Liberation Serif"/>
          <w:sz w:val="24"/>
          <w:szCs w:val="24"/>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23"/>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24"/>
      </w:r>
      <w:r>
        <w:rPr>
          <w:sz w:val="24"/>
          <w:szCs w:val="24"/>
        </w:rPr>
        <w:t xml:space="preserve"> In this sense, the Fordist revolution went hand in hand with the managerial revolution described by Alfred Chandler.</w:t>
      </w:r>
      <w:r>
        <w:rPr>
          <w:rStyle w:val="FootnoteReference"/>
          <w:sz w:val="24"/>
          <w:szCs w:val="24"/>
        </w:rPr>
        <w:footnoteReference w:id="25"/>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26"/>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process of rationalization extended far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 the nineteenth century pattern of roaming peddlers bringing such necessities as pots, pans or medicines, directly to the tenement buildings where workers lived, was replaced by workers taking their now-indispensible cars on trips to the grocer and hardware store.</w:t>
      </w:r>
      <w:r>
        <w:rPr>
          <w:rStyle w:val="FootnoteReference"/>
          <w:sz w:val="24"/>
          <w:szCs w:val="24"/>
        </w:rPr>
        <w:footnoteReference w:id="27"/>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28"/>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29"/>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Aglietta’s account of Fordism as an historical articulation of means of production and consumption responding to the global needs of capital accumulation is a compelling one, but it </w:t>
      </w:r>
      <w:r>
        <w:rPr>
          <w:sz w:val="24"/>
          <w:szCs w:val="24"/>
        </w:rPr>
        <w:t>fails on two counts, both related to his idealist conception of Fordism.</w:t>
      </w:r>
      <w:r>
        <w:rPr>
          <w:sz w:val="24"/>
          <w:szCs w:val="24"/>
        </w:rPr>
        <w:t xml:space="preserve"> </w:t>
      </w:r>
      <w:r>
        <w:rPr>
          <w:sz w:val="24"/>
          <w:szCs w:val="24"/>
        </w:rPr>
        <w:t>First, Aglietta considers</w:t>
      </w:r>
      <w:r>
        <w:rPr>
          <w:sz w:val="24"/>
          <w:szCs w:val="24"/>
        </w:rPr>
        <w:t xml:space="preserve"> the intensive regime of accumulation </w:t>
      </w:r>
      <w:r>
        <w:rPr>
          <w:sz w:val="24"/>
          <w:szCs w:val="24"/>
        </w:rPr>
        <w:t>to be</w:t>
      </w:r>
      <w:r>
        <w:rPr>
          <w:sz w:val="24"/>
          <w:szCs w:val="24"/>
        </w:rPr>
        <w:t xml:space="preserve"> an ideal type of capitalist society embodied by Fordist America, and against which other societies can be measured, rather than </w:t>
      </w:r>
      <w:r>
        <w:rPr>
          <w:sz w:val="24"/>
          <w:szCs w:val="24"/>
        </w:rPr>
        <w:t xml:space="preserve">the outcome of a struggle </w:t>
      </w:r>
      <w:r>
        <w:rPr>
          <w:sz w:val="24"/>
          <w:szCs w:val="24"/>
        </w:rPr>
        <w:t>between the concrete interests of specific classes and actors. Simon Clarke criticizes Aglietta, deeming his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30"/>
      </w:r>
      <w:r>
        <w:rPr>
          <w:sz w:val="24"/>
          <w:szCs w:val="24"/>
        </w:rPr>
        <w:t xml:space="preserve"> On the question of working-class struggle this charge is perhaps more applicable to Aglietta’s followers than to his own work, which deals at length with working class organization. But </w:t>
      </w:r>
      <w:r>
        <w:rPr>
          <w:sz w:val="24"/>
          <w:szCs w:val="24"/>
        </w:rPr>
        <w:t>the working classes are not merely a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calls into question the regulationist framework of extensive vs intensive regimes of accumulation. Clarke criticizes the concept of a regime of accumulation, which </w:t>
      </w:r>
      <w:r>
        <w:rPr>
          <w:sz w:val="24"/>
          <w:szCs w:val="24"/>
        </w:rPr>
        <w:t xml:space="preserve">first </w:t>
      </w:r>
      <w:r>
        <w:rPr>
          <w:sz w:val="24"/>
          <w:szCs w:val="24"/>
        </w:rPr>
        <w:t xml:space="preserve">assumes a structural equilibrium and </w:t>
      </w:r>
      <w:r>
        <w:rPr>
          <w:sz w:val="24"/>
          <w:szCs w:val="24"/>
        </w:rPr>
        <w:t xml:space="preserve">then </w:t>
      </w:r>
      <w:r>
        <w:rPr>
          <w:sz w:val="24"/>
          <w:szCs w:val="24"/>
        </w:rPr>
        <w:t>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institutionalisation of a particular balance of class forces in the immediate post-war period."</w:t>
      </w:r>
      <w:r>
        <w:rPr>
          <w:rStyle w:val="FootnoteReference"/>
          <w:sz w:val="24"/>
          <w:szCs w:val="24"/>
        </w:rPr>
        <w:footnoteReference w:id="31"/>
      </w:r>
      <w:r>
        <w:rPr>
          <w:sz w:val="24"/>
          <w:szCs w:val="24"/>
        </w:rPr>
        <w:t xml:space="preserve"> In other words, the dynamic pioneered by Ford in the 1910s and 1920s was established primarily through the concrete social and political struggles. The economic policy of Keynesianism was dictated by “the balance of class forces, institutionalised in the systems of industrial relations, electoral politics and the welfare state.”</w:t>
      </w:r>
      <w:r>
        <w:rPr>
          <w:rStyle w:val="FootnoteReference"/>
          <w:sz w:val="24"/>
          <w:szCs w:val="24"/>
          <w:vertAlign w:val="superscript"/>
        </w:rPr>
        <w:footnoteReference w:id="32"/>
      </w:r>
      <w:r>
        <w:rPr>
          <w:sz w:val="24"/>
          <w:szCs w:val="24"/>
        </w:rPr>
        <w:t xml:space="preserve"> In short, the regulation approach “overestimates the stability and duration of ‘Fordist’ modes of regulation” and “the extent to which Fordism can be considered a systematic ‘regime of accumulation’</w:t>
      </w:r>
      <w:r>
        <w:rPr>
          <w:sz w:val="24"/>
          <w:szCs w:val="24"/>
        </w:rPr>
        <w:t>.</w:t>
      </w:r>
      <w:r>
        <w:rPr>
          <w:sz w:val="24"/>
          <w:szCs w:val="24"/>
        </w:rPr>
        <w:t>”</w:t>
      </w:r>
      <w:r>
        <w:rPr>
          <w:rStyle w:val="FootnoteReference"/>
          <w:sz w:val="24"/>
          <w:szCs w:val="24"/>
        </w:rPr>
        <w:footnoteReference w:id="33"/>
      </w:r>
    </w:p>
    <w:p>
      <w:pPr>
        <w:pStyle w:val="Normal"/>
        <w:bidi w:val="0"/>
        <w:spacing w:lineRule="auto" w:line="480" w:before="0" w:after="0"/>
        <w:ind w:firstLine="720" w:start="0" w:end="0"/>
        <w:jc w:val="start"/>
        <w:rPr>
          <w:rFonts w:ascii="Liberation Serif" w:hAnsi="Liberation Serif"/>
          <w:sz w:val="24"/>
          <w:szCs w:val="24"/>
        </w:rPr>
      </w:pPr>
      <w:r>
        <w:rPr>
          <w:sz w:val="24"/>
          <w:szCs w:val="24"/>
        </w:rPr>
        <w:t>Th</w:t>
      </w:r>
      <w:r>
        <w:rPr>
          <w:sz w:val="24"/>
          <w:szCs w:val="24"/>
        </w:rPr>
        <w:t xml:space="preserve">e second shortcoming of Aglietta's work is </w:t>
      </w:r>
      <w:r>
        <w:rPr>
          <w:sz w:val="24"/>
          <w:szCs w:val="24"/>
        </w:rPr>
        <w:t xml:space="preserve">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sz w:val="24"/>
          <w:szCs w:val="24"/>
          <w:vertAlign w:val="superscript"/>
        </w:rPr>
        <w:footnoteReference w:id="34"/>
      </w:r>
      <w:r>
        <w:rPr>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sz w:val="24"/>
          <w:szCs w:val="24"/>
          <w:vertAlign w:val="superscript"/>
        </w:rPr>
        <w:footnoteReference w:id="35"/>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The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rFonts w:ascii="Liberation Serif" w:hAnsi="Liberation Serif"/>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36"/>
      </w:r>
    </w:p>
    <w:p>
      <w:pPr>
        <w:pStyle w:val="Normal"/>
        <w:bidi w:val="0"/>
        <w:spacing w:lineRule="auto" w:line="480" w:before="0" w:after="0"/>
        <w:jc w:val="start"/>
        <w:rPr>
          <w:rFonts w:ascii="Liberation Serif" w:hAnsi="Liberation Serif"/>
        </w:rPr>
      </w:pPr>
      <w:r>
        <w:rPr>
          <w:sz w:val="24"/>
          <w:szCs w:val="24"/>
        </w:rPr>
        <w:t xml:space="preserve">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w:t>
      </w:r>
      <w:r>
        <w:rPr>
          <w:sz w:val="24"/>
          <w:szCs w:val="24"/>
        </w:rPr>
        <w:t>had devolved into another one of its non-ideal, mutated forms. Lipietz describes a Global South Fordism stripped of its impetus to consumption as "sub-Fordism" and "'Bloody' Taylorization."</w:t>
      </w:r>
      <w:r>
        <w:rPr>
          <w:rStyle w:val="FootnoteReference"/>
          <w:sz w:val="24"/>
          <w:szCs w:val="24"/>
        </w:rPr>
        <w:footnoteReference w:id="37"/>
      </w:r>
      <w:r>
        <w:rPr>
          <w:sz w:val="24"/>
          <w:szCs w:val="24"/>
        </w:rPr>
        <w:t xml:space="preserve"> </w:t>
      </w:r>
    </w:p>
    <w:p>
      <w:pPr>
        <w:pStyle w:val="Normal"/>
        <w:bidi w:val="0"/>
        <w:spacing w:lineRule="auto" w:line="480" w:before="0" w:after="0"/>
        <w:jc w:val="start"/>
        <w:rPr>
          <w:rFonts w:ascii="Liberation Serif" w:hAnsi="Liberation Serif"/>
        </w:rPr>
      </w:pPr>
      <w:r>
        <w:rPr>
          <w:sz w:val="24"/>
          <w:szCs w:val="24"/>
        </w:rPr>
        <w:tab/>
        <w:t xml:space="preserve">Although Lipietz's work is rigorous and empirically rich, </w:t>
      </w:r>
      <w:r>
        <w:rPr>
          <w:sz w:val="24"/>
          <w:szCs w:val="24"/>
        </w:rPr>
        <w:t>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w:t>
      </w:r>
      <w:r>
        <w:rPr>
          <w:sz w:val="24"/>
          <w:szCs w:val="24"/>
          <w:shd w:fill="auto" w:val="clear"/>
        </w:rPr>
        <w:t>A useful</w:t>
      </w:r>
      <w:r>
        <w:rPr>
          <w:sz w:val="24"/>
          <w:szCs w:val="24"/>
          <w:shd w:fill="auto" w:val="clear"/>
        </w:rPr>
        <w:t xml:space="preserve"> framework for such an analysis is the commodity chain - the</w:t>
      </w:r>
      <w:r>
        <w:rPr>
          <w:sz w:val="24"/>
          <w:szCs w:val="24"/>
          <w:shd w:fill="auto" w:val="clear"/>
        </w:rPr>
        <w:t xml:space="preserve"> global</w:t>
      </w:r>
      <w:r>
        <w:rPr>
          <w:sz w:val="24"/>
          <w:szCs w:val="24"/>
          <w:shd w:fill="auto" w:val="clear"/>
        </w:rPr>
        <w:t xml:space="preserve"> network of extraction and production processes that transform raw materials into finished goods. As an raw essential material unavailable in the US and Europe, rubber and its conditions of production expose the fundamental</w:t>
      </w:r>
      <w:r>
        <w:rPr>
          <w:sz w:val="24"/>
          <w:szCs w:val="24"/>
          <w:shd w:fill="auto" w:val="clear"/>
        </w:rPr>
        <w:t>ly</w:t>
      </w:r>
      <w:r>
        <w:rPr>
          <w:sz w:val="24"/>
          <w:szCs w:val="24"/>
          <w:shd w:fill="auto" w:val="clear"/>
        </w:rPr>
        <w:t xml:space="preserve">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variables that were so important to Henry Ford: the possibilities of rationalizing processes of production and the substitution of commodity consumption for subsistence labor. These two variables were manipulated in different ways than in the US Midwest, but just as in the North, they were unified as part of a "logic that operates on the totality of time and space occupied or traversed by its individuals in daily life."</w:t>
      </w:r>
      <w:r>
        <w:rPr>
          <w:rStyle w:val="FootnoteReference"/>
          <w:sz w:val="24"/>
          <w:szCs w:val="24"/>
          <w:shd w:fill="auto" w:val="clear"/>
        </w:rPr>
        <w:footnoteReference w:id="38"/>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Liberation Serif" w:hAnsi="Liberation Serif"/>
          <w:sz w:val="24"/>
          <w:szCs w:val="24"/>
        </w:rPr>
      </w:pPr>
      <w:r>
        <w:rPr/>
        <w:t xml:space="preserve">If we have called into question Fordism as a systematic regime of accumulation, and its validity as a mode of regulation divorced from both state action and the global contours of capital, we might reasonably ask what use the concept of Fordism provides, and what value we can gain from </w:t>
      </w:r>
      <w:r>
        <w:rPr/>
        <w:t>the regulation school's</w:t>
      </w:r>
      <w:r>
        <w:rPr/>
        <w:t xml:space="preserve"> treatment of it. Two of Aglietta’s core interventions - Fordism as a specific qualitative change in the articulation of production and consumption, and the increased stratification of the wage-earning class - are crucial</w:t>
      </w:r>
      <w:r>
        <w:rPr/>
        <w:t>, but they must be reformulated as questions. We are interested in asking what concrete struggles led to the particular relationship between production and consumption in the early automotive industry, as well as interrogating the limits of this relationship. Further,</w:t>
      </w:r>
      <w:r>
        <w:rPr/>
        <w:t xml:space="preserve"> we cannot define Fordism so narrowly as to exclude the conditions of production in the Global South. The production of rubber in the Amazon, Africa and Southeast Asia were not external to the automotive industry, but internal to it. With this in mind, we will investigate the articulation between production and consumption in the rubber industry, and the stratification of the rubber workers. We will especially pay attention to the development of commodity consumption and attempts at the rationalization of rubber gathering. In the following sections, we will look more closely at these phenomena both in the early Michigan automo</w:t>
      </w:r>
      <w:r>
        <w:rPr/>
        <w:t>t</w:t>
      </w:r>
      <w:r>
        <w:rPr/>
        <w:t>ive industry, and in the rubber industry abroad.</w:t>
      </w:r>
    </w:p>
    <w:p>
      <w:pPr>
        <w:pStyle w:val="Normal"/>
        <w:bidi w:val="0"/>
        <w:spacing w:lineRule="auto" w:line="480" w:before="0" w:after="0"/>
        <w:ind w:firstLine="720" w:start="0" w:end="0"/>
        <w:jc w:val="start"/>
        <w:rPr>
          <w:rFonts w:ascii="Liberation Serif" w:hAnsi="Liberation Serif"/>
          <w:sz w:val="24"/>
          <w:szCs w:val="24"/>
        </w:rPr>
      </w:pPr>
      <w:r>
        <w:rPr/>
      </w:r>
    </w:p>
    <w:p>
      <w:pPr>
        <w:pStyle w:val="Normal"/>
        <w:bidi w:val="0"/>
        <w:spacing w:lineRule="auto" w:line="480" w:before="0" w:after="0"/>
        <w:ind w:hanging="0" w:start="0" w:end="0"/>
        <w:jc w:val="start"/>
        <w:rPr>
          <w:rFonts w:ascii="Liberation Serif" w:hAnsi="Liberation Serif"/>
        </w:rPr>
      </w:pPr>
      <w:commentRangeStart w:id="3"/>
      <w:commentRangeStart w:id="4"/>
      <w:r>
        <w:rPr>
          <w:b/>
          <w:bCs/>
          <w:i w:val="false"/>
          <w:iCs w:val="false"/>
          <w:sz w:val="24"/>
          <w:szCs w:val="24"/>
        </w:rPr>
        <w:t>Local Fordism: the Labor History of Fordist Michigan</w:t>
      </w:r>
      <w:r>
        <w:rPr>
          <w:b/>
          <w:bCs/>
          <w:i w:val="false"/>
          <w:iCs w:val="false"/>
          <w:sz w:val="24"/>
          <w:szCs w:val="24"/>
        </w:rPr>
      </w:r>
      <w:commentRangeEnd w:id="4"/>
      <w:r>
        <w:commentReference w:id="4"/>
      </w:r>
      <w:commentRangeEnd w:id="3"/>
      <w:r>
        <w:commentReference w:id="3"/>
      </w:r>
      <w:r>
        <w:rPr>
          <w:b/>
          <w:bCs/>
          <w:i w:val="false"/>
          <w:iCs w:val="false"/>
          <w:sz w:val="24"/>
          <w:szCs w:val="24"/>
        </w:rPr>
      </w:r>
    </w:p>
    <w:p>
      <w:pPr>
        <w:pStyle w:val="Normal"/>
        <w:bidi w:val="0"/>
        <w:spacing w:lineRule="auto" w:line="480" w:before="0" w:after="0"/>
        <w:ind w:firstLine="720" w:start="0" w:end="0"/>
        <w:jc w:val="start"/>
        <w:rPr>
          <w:rFonts w:ascii="Liberation Serif" w:hAnsi="Liberation Serif"/>
        </w:rPr>
      </w:pPr>
      <w:r>
        <w:rPr>
          <w:sz w:val="24"/>
          <w:szCs w:val="24"/>
        </w:rPr>
        <w:t>As the birthplace of Fordism,</w:t>
      </w:r>
      <w:r>
        <w:rPr>
          <w:sz w:val="24"/>
          <w:szCs w:val="24"/>
        </w:rPr>
        <w:t xml:space="preserve"> however defined,</w:t>
      </w:r>
      <w:r>
        <w:rPr>
          <w:sz w:val="24"/>
          <w:szCs w:val="24"/>
        </w:rPr>
        <w:t xml:space="preserve"> industrial Michigan bears the imprint of Fordism’s early development. Since the Second World War, American labor historians have been arguing over these dynamics. Marxist historians in the US emphasized the labor process itself as an essential component of labor history. Harry Braverman’s </w:t>
      </w:r>
      <w:r>
        <w:rPr>
          <w:i/>
          <w:sz w:val="24"/>
          <w:szCs w:val="24"/>
        </w:rPr>
        <w:t>Labor and Monopoly Capital: The Degradation of Work in the Twentieth Century</w:t>
      </w:r>
      <w:r>
        <w:rPr>
          <w:sz w:val="24"/>
          <w:szCs w:val="24"/>
        </w:rPr>
        <w:t xml:space="preserve"> centered the deskilling of the workforce as a method of labor control. Nelson Lichtenstein writes in the introduction to </w:t>
      </w:r>
      <w:r>
        <w:rPr>
          <w:i/>
          <w:sz w:val="24"/>
          <w:szCs w:val="24"/>
        </w:rPr>
        <w:t>On the Line: Essays in the History of Auto Work</w:t>
      </w:r>
      <w:r>
        <w:rPr>
          <w:sz w:val="24"/>
          <w:szCs w:val="24"/>
        </w:rPr>
        <w:t xml:space="preserve"> that “Braverman broke new ground by alerting historians and sociologists to the social context within which the technology of production was embedded.”</w:t>
      </w:r>
      <w:r>
        <w:rPr>
          <w:rStyle w:val="FootnoteReference"/>
          <w:sz w:val="24"/>
          <w:szCs w:val="24"/>
          <w:vertAlign w:val="superscript"/>
        </w:rPr>
        <w:footnoteReference w:id="39"/>
      </w:r>
    </w:p>
    <w:p>
      <w:pPr>
        <w:pStyle w:val="Normal"/>
        <w:bidi w:val="0"/>
        <w:spacing w:lineRule="auto" w:line="480" w:before="0" w:after="0"/>
        <w:ind w:firstLine="720" w:start="0" w:end="0"/>
        <w:jc w:val="start"/>
        <w:rPr>
          <w:rFonts w:ascii="Liberation Serif" w:hAnsi="Liberation Serif"/>
        </w:rPr>
      </w:pPr>
      <w:r>
        <w:rPr>
          <w:sz w:val="24"/>
          <w:szCs w:val="24"/>
        </w:rPr>
        <w:t xml:space="preserve">Braverman’s view was oversimplified, however, and labor historians </w:t>
      </w:r>
      <w:r>
        <w:rPr>
          <w:sz w:val="24"/>
          <w:szCs w:val="24"/>
        </w:rPr>
        <w:t xml:space="preserve">later </w:t>
      </w:r>
      <w:r>
        <w:rPr>
          <w:sz w:val="24"/>
          <w:szCs w:val="24"/>
        </w:rPr>
        <w:t>debated “the extent to which craft skills were actually eroded in mass production industry.”</w:t>
      </w:r>
      <w:r>
        <w:rPr>
          <w:rStyle w:val="FootnoteReference"/>
          <w:sz w:val="24"/>
          <w:szCs w:val="24"/>
          <w:vertAlign w:val="superscript"/>
        </w:rPr>
        <w:footnoteReference w:id="40"/>
      </w:r>
      <w:r>
        <w:rPr>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bidi w:val="0"/>
        <w:spacing w:lineRule="auto" w:line="480" w:before="0" w:after="0"/>
        <w:ind w:firstLine="720" w:start="0" w:end="0"/>
        <w:jc w:val="start"/>
        <w:rPr>
          <w:rFonts w:ascii="Liberation Serif" w:hAnsi="Liberation Serif"/>
        </w:rPr>
      </w:pPr>
      <w:r>
        <w:rPr>
          <w:sz w:val="24"/>
          <w:szCs w:val="24"/>
        </w:rPr>
        <w:t xml:space="preserve">It is often repeated that unions in late 19th </w:t>
      </w:r>
      <w:r>
        <w:rPr>
          <w:sz w:val="24"/>
          <w:szCs w:val="24"/>
        </w:rPr>
        <w:t xml:space="preserve">and </w:t>
      </w:r>
      <w:r>
        <w:rPr>
          <w:sz w:val="24"/>
          <w:szCs w:val="24"/>
        </w:rPr>
        <w:t xml:space="preserve">early 20th century Michigan were weak and listless - supposedly this contributed to the rise of Fordism as a new method of labor exploitation. However, this claim is challenged by Thomas Klug, in an essay in </w:t>
      </w:r>
      <w:r>
        <w:rPr>
          <w:i/>
          <w:sz w:val="24"/>
          <w:szCs w:val="24"/>
        </w:rPr>
        <w:t>On the Line</w:t>
      </w:r>
      <w:r>
        <w:rPr>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sz w:val="24"/>
          <w:szCs w:val="24"/>
          <w:vertAlign w:val="superscript"/>
        </w:rPr>
        <w:footnoteReference w:id="41"/>
      </w:r>
      <w:r>
        <w:rPr>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rFonts w:ascii="Liberation Serif" w:hAnsi="Liberation Serif"/>
        </w:rPr>
      </w:pPr>
      <w:r>
        <w:rPr>
          <w:sz w:val="24"/>
          <w:szCs w:val="24"/>
        </w:rPr>
        <w:t>The craft unions in fact posed enough of a threat to employers that in 1902, “metal trade employers organized the Employers’ Association of Detroit (EAD).”</w:t>
      </w:r>
      <w:r>
        <w:rPr>
          <w:rStyle w:val="FootnoteReference"/>
          <w:sz w:val="24"/>
          <w:szCs w:val="24"/>
          <w:vertAlign w:val="superscript"/>
        </w:rPr>
        <w:footnoteReference w:id="42"/>
      </w:r>
      <w:r>
        <w:rPr>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sz w:val="24"/>
          <w:szCs w:val="24"/>
          <w:vertAlign w:val="superscript"/>
        </w:rPr>
        <w:footnoteReference w:id="43"/>
      </w:r>
      <w:r>
        <w:rPr>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bidi w:val="0"/>
        <w:spacing w:lineRule="auto" w:line="480" w:before="0" w:after="0"/>
        <w:ind w:firstLine="720" w:start="0" w:end="0"/>
        <w:jc w:val="start"/>
        <w:rPr>
          <w:rFonts w:ascii="Liberation Serif" w:hAnsi="Liberation Serif"/>
        </w:rPr>
      </w:pPr>
      <w:r>
        <w:rPr>
          <w:sz w:val="24"/>
          <w:szCs w:val="24"/>
        </w:rPr>
        <w:t>Detroit employers were also troubled by what they saw as a decrease in control over the labor process itself. As the unions had a monopoly on skilled labor, which was crucial to the operation of heavy manufacturing</w:t>
      </w:r>
      <w:r>
        <w:rPr>
          <w:sz w:val="24"/>
          <w:szCs w:val="24"/>
        </w:rPr>
        <w:t>, they were able to exercise significant influence on the operations of firms</w:t>
      </w:r>
      <w:r>
        <w:rPr>
          <w:sz w:val="24"/>
          <w:szCs w:val="24"/>
        </w:rPr>
        <w:t>.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sz w:val="24"/>
          <w:szCs w:val="24"/>
          <w:vertAlign w:val="superscript"/>
        </w:rPr>
        <w:footnoteReference w:id="44"/>
      </w:r>
      <w:r>
        <w:rPr>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rFonts w:ascii="Liberation Serif" w:hAnsi="Liberation Serif"/>
        </w:rPr>
      </w:pPr>
      <w:r>
        <w:rPr>
          <w:sz w:val="24"/>
          <w:szCs w:val="24"/>
        </w:rPr>
        <w:t>And it was a revolution. The automobile was not invented in Michigan – in fact the first two viable gasoline powered cars were built in Massachusetts and Indiana in 1892 and 1894.</w:t>
      </w:r>
      <w:r>
        <w:rPr>
          <w:rStyle w:val="FootnoteReference"/>
          <w:sz w:val="24"/>
          <w:szCs w:val="24"/>
          <w:vertAlign w:val="superscript"/>
        </w:rPr>
        <w:footnoteReference w:id="45"/>
      </w:r>
      <w:r>
        <w:rPr>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bidi w:val="0"/>
        <w:spacing w:lineRule="auto" w:line="480" w:before="0" w:after="0"/>
        <w:ind w:firstLine="720" w:start="0" w:end="0"/>
        <w:jc w:val="start"/>
        <w:rPr>
          <w:rFonts w:ascii="Liberation Serif" w:hAnsi="Liberation Serif"/>
        </w:rPr>
      </w:pPr>
      <w:r>
        <w:rPr>
          <w:sz w:val="24"/>
          <w:szCs w:val="24"/>
        </w:rPr>
        <w:t xml:space="preserve">Initially, auto production was a craft industry: each car was handmade by skilled craftsmen. Due to the competitive market in Michigan, it was difficult for employers to keep workers from leaving for greener pastures at another company. </w:t>
      </w:r>
      <w:commentRangeStart w:id="5"/>
      <w:r>
        <w:rPr>
          <w:sz w:val="24"/>
          <w:szCs w:val="24"/>
        </w:rPr>
        <w:t>Likewise, the cars were expensive, and so there was a limited market for the product being produced.</w:t>
      </w:r>
      <w:r>
        <w:rPr>
          <w:sz w:val="24"/>
          <w:szCs w:val="24"/>
        </w:rPr>
      </w:r>
      <w:commentRangeEnd w:id="5"/>
      <w:r>
        <w:commentReference w:id="5"/>
      </w:r>
      <w:r>
        <w:rPr>
          <w:sz w:val="24"/>
          <w:szCs w:val="24"/>
        </w:rPr>
        <w:t xml:space="preserve"> Henry Ford’s solutions to these problems transformed the industry.</w:t>
      </w:r>
    </w:p>
    <w:p>
      <w:pPr>
        <w:pStyle w:val="Normal"/>
        <w:bidi w:val="0"/>
        <w:spacing w:lineRule="auto" w:line="480" w:before="0" w:after="0"/>
        <w:ind w:firstLine="720" w:start="0" w:end="0"/>
        <w:jc w:val="start"/>
        <w:rPr>
          <w:rFonts w:ascii="Liberation Serif" w:hAnsi="Liberation Serif"/>
        </w:rPr>
      </w:pPr>
      <w:r>
        <w:rPr>
          <w:sz w:val="24"/>
          <w:szCs w:val="24"/>
        </w:rPr>
        <w:t xml:space="preserve">In 1908, Ford introduced the Model T, a mass produced car with standardized parts that required less skill to make and cost far less than competitor’s cars, contributing to a rise in sales. In 1913 he introduced </w:t>
      </w:r>
      <w:r>
        <w:rPr>
          <w:sz w:val="24"/>
          <w:szCs w:val="24"/>
        </w:rPr>
        <w:t xml:space="preserve">his version of </w:t>
      </w:r>
      <w:r>
        <w:rPr>
          <w:sz w:val="24"/>
          <w:szCs w:val="24"/>
        </w:rPr>
        <w:t xml:space="preserve">the automated assembly line, further standardizing production and reducing costs. And in 1914, he </w:t>
      </w:r>
      <w:r>
        <w:rPr>
          <w:sz w:val="24"/>
          <w:szCs w:val="24"/>
        </w:rPr>
        <w:t>initiated</w:t>
      </w:r>
      <w:r>
        <w:rPr>
          <w:sz w:val="24"/>
          <w:szCs w:val="24"/>
        </w:rPr>
        <w:t xml:space="preserve"> the Five Dollar Day</w:t>
      </w:r>
      <w:r>
        <w:rPr>
          <w:sz w:val="24"/>
          <w:szCs w:val="24"/>
        </w:rPr>
        <w:t xml:space="preserve"> program</w:t>
      </w:r>
      <w:r>
        <w:rPr>
          <w:sz w:val="24"/>
          <w:szCs w:val="24"/>
        </w:rPr>
        <w:t>, a wage increase that solved the problems of employee turnover and bloated training costs. In order to compete, rival firms had to adopt and advance Fordist innovations and in the 1920s, General Motors introduced the yearly model change, further driving up consumer demand.</w:t>
      </w:r>
    </w:p>
    <w:p>
      <w:pPr>
        <w:pStyle w:val="Normal"/>
        <w:bidi w:val="0"/>
        <w:spacing w:lineRule="auto" w:line="480" w:before="0" w:after="0"/>
        <w:ind w:firstLine="720" w:start="0" w:end="0"/>
        <w:jc w:val="start"/>
        <w:rPr>
          <w:rFonts w:ascii="Liberation Serif" w:hAnsi="Liberation Serif"/>
        </w:rPr>
      </w:pPr>
      <w:r>
        <w:rPr>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would require a labor history that is critical of the notion of labor itself. </w:t>
      </w:r>
    </w:p>
    <w:p>
      <w:pPr>
        <w:pStyle w:val="Normal"/>
        <w:bidi w:val="0"/>
        <w:spacing w:lineRule="auto" w:line="480" w:before="0" w:after="0"/>
        <w:ind w:firstLine="720" w:start="0" w:end="0"/>
        <w:jc w:val="start"/>
        <w:rPr>
          <w:rFonts w:ascii="Liberation Serif" w:hAnsi="Liberation Serif"/>
        </w:rPr>
      </w:pPr>
      <w:r>
        <w:rPr>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bidi w:val="0"/>
        <w:spacing w:lineRule="auto" w:line="480" w:before="0" w:after="0"/>
        <w:ind w:firstLine="720" w:start="0" w:end="0"/>
        <w:jc w:val="start"/>
        <w:rPr>
          <w:rFonts w:ascii="Liberation Serif" w:hAnsi="Liberation Serif"/>
        </w:rPr>
      </w:pPr>
      <w:r>
        <w:rPr>
          <w:sz w:val="24"/>
          <w:szCs w:val="24"/>
        </w:rPr>
        <w:t xml:space="preserve">In 1971, Thomas Krueger, in “American Labor Historiography,” narrates a partial break with the shared paradigm of the liberal and Marxist historiography, but at the time of his writing that break was still incomplete. He is concerned with a shift away from </w:t>
      </w:r>
      <w:r>
        <w:rPr>
          <w:sz w:val="24"/>
          <w:szCs w:val="24"/>
        </w:rPr>
        <w:t>the traditional</w:t>
      </w:r>
      <w:r>
        <w:rPr>
          <w:sz w:val="24"/>
          <w:szCs w:val="24"/>
        </w:rPr>
        <w:t xml:space="preserve"> conception of labor history, citing Hyman Berman’s opinion that labor history “is more than the rise or fall or the failures and successes of organizations</w:t>
      </w:r>
      <w:r>
        <w:rPr>
          <w:sz w:val="24"/>
          <w:szCs w:val="24"/>
        </w:rPr>
        <w:t>,</w:t>
      </w:r>
      <w:r>
        <w:rPr>
          <w:sz w:val="24"/>
          <w:szCs w:val="24"/>
        </w:rPr>
        <w:t>” and David Montgomery’s call to research “the cultural and intellectual life of the working classes.”</w:t>
      </w:r>
      <w:r>
        <w:rPr>
          <w:rStyle w:val="FootnoteReference"/>
          <w:sz w:val="24"/>
          <w:szCs w:val="24"/>
          <w:vertAlign w:val="superscript"/>
        </w:rPr>
        <w:footnoteReference w:id="46"/>
      </w:r>
      <w:r>
        <w:rPr>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rFonts w:ascii="Liberation Serif" w:hAnsi="Liberation Serif"/>
        </w:rPr>
      </w:pPr>
      <w:r>
        <w:rPr>
          <w:sz w:val="24"/>
          <w:szCs w:val="24"/>
        </w:rPr>
        <w:t>Krueger notes that in 1971, this development was still immature, and had to “solve some of its intellectual problems.”</w:t>
      </w:r>
      <w:r>
        <w:rPr>
          <w:rStyle w:val="FootnoteReference"/>
          <w:sz w:val="24"/>
          <w:szCs w:val="24"/>
          <w:vertAlign w:val="superscript"/>
        </w:rPr>
        <w:footnoteReference w:id="47"/>
      </w:r>
      <w:r>
        <w:rPr>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i/>
          <w:sz w:val="24"/>
          <w:szCs w:val="24"/>
        </w:rPr>
        <w:t>history</w:t>
      </w:r>
      <w:r>
        <w:rPr>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sz w:val="24"/>
          <w:szCs w:val="24"/>
          <w:vertAlign w:val="superscript"/>
        </w:rPr>
        <w:footnoteReference w:id="48"/>
      </w:r>
      <w:r>
        <w:rPr>
          <w:sz w:val="24"/>
          <w:szCs w:val="24"/>
        </w:rPr>
        <w:t xml:space="preserve"> Implicit in this question is the orientation of a nuclear family around labor and the elevation of specifically male waged labor.</w:t>
      </w:r>
    </w:p>
    <w:p>
      <w:pPr>
        <w:pStyle w:val="Normal"/>
        <w:bidi w:val="0"/>
        <w:spacing w:lineRule="auto" w:line="480" w:before="0" w:after="0"/>
        <w:ind w:firstLine="720" w:start="0" w:end="0"/>
        <w:jc w:val="start"/>
        <w:rPr>
          <w:rFonts w:ascii="Liberation Serif" w:hAnsi="Liberation Serif"/>
        </w:rPr>
      </w:pPr>
      <w:r>
        <w:rPr>
          <w:sz w:val="24"/>
          <w:szCs w:val="24"/>
        </w:rPr>
        <w:t xml:space="preserve">In the 1970s, a significant challenge was posed to this traditional notion of labor, and to both Marxist and classical labor historiography, by feminist movements such as the Wages for Housework campaign. </w:t>
      </w:r>
      <w:commentRangeStart w:id="6"/>
      <w:r>
        <w:rPr>
          <w:sz w:val="24"/>
          <w:szCs w:val="24"/>
        </w:rPr>
        <w:t>Though not a primarily American movement, the challenge posed by radical and Marxist feminists fundamentally changed the way that labor history in the US could be written.</w:t>
      </w:r>
      <w:r>
        <w:rPr>
          <w:sz w:val="24"/>
          <w:szCs w:val="24"/>
        </w:rPr>
      </w:r>
      <w:commentRangeEnd w:id="6"/>
      <w:r>
        <w:commentReference w:id="6"/>
      </w:r>
      <w:r>
        <w:rPr>
          <w:sz w:val="24"/>
          <w:szCs w:val="24"/>
        </w:rPr>
        <w:t xml:space="preserve"> Writers and activists in this tradition challenged the notion that only waged labor contributed to the economy and took traditional Marxism to task for accepting the capitalist devaluation of feminized work.</w:t>
      </w:r>
    </w:p>
    <w:p>
      <w:pPr>
        <w:pStyle w:val="Normal"/>
        <w:bidi w:val="0"/>
        <w:spacing w:lineRule="auto" w:line="480" w:before="0" w:after="0"/>
        <w:ind w:firstLine="720" w:start="0" w:end="0"/>
        <w:jc w:val="start"/>
        <w:rPr>
          <w:rFonts w:ascii="Liberation Serif" w:hAnsi="Liberation Serif"/>
        </w:rPr>
      </w:pPr>
      <w:r>
        <w:rPr>
          <w:sz w:val="24"/>
          <w:szCs w:val="24"/>
        </w:rPr>
        <w:t>Sylvia Federici, in the 1975 essay “Counterplanning from the Kitchen” lays out the feminist challenge to a wage-centric notion of labor posed by Wages for Housework:</w:t>
      </w:r>
    </w:p>
    <w:p>
      <w:pPr>
        <w:pStyle w:val="Normal"/>
        <w:bidi w:val="0"/>
        <w:spacing w:lineRule="auto" w:line="240" w:before="0" w:after="200"/>
        <w:ind w:hanging="0" w:start="720" w:end="0"/>
        <w:jc w:val="start"/>
        <w:rPr>
          <w:rFonts w:ascii="Liberation Serif" w:hAnsi="Liberation Serif"/>
        </w:rPr>
      </w:pPr>
      <w:r>
        <w:rPr>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sz w:val="24"/>
          <w:szCs w:val="24"/>
          <w:vertAlign w:val="superscript"/>
        </w:rPr>
        <w:footnoteReference w:id="49"/>
      </w:r>
    </w:p>
    <w:p>
      <w:pPr>
        <w:pStyle w:val="Normal"/>
        <w:bidi w:val="0"/>
        <w:spacing w:lineRule="auto" w:line="480" w:before="0" w:after="0"/>
        <w:ind w:hanging="0" w:start="0" w:end="0"/>
        <w:jc w:val="start"/>
        <w:rPr>
          <w:rFonts w:ascii="Liberation Serif" w:hAnsi="Liberation Serif"/>
        </w:rPr>
      </w:pPr>
      <w:r>
        <w:rPr>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bidi w:val="0"/>
        <w:spacing w:lineRule="auto" w:line="480" w:before="0" w:after="0"/>
        <w:ind w:firstLine="720" w:start="0" w:end="0"/>
        <w:jc w:val="start"/>
        <w:rPr>
          <w:rFonts w:ascii="Liberation Serif" w:hAnsi="Liberation Serif"/>
        </w:rPr>
      </w:pPr>
      <w:r>
        <w:rPr>
          <w:sz w:val="24"/>
          <w:szCs w:val="24"/>
        </w:rPr>
        <w:t>The point of this intervention is not to merely add a new type of labor to an old conception: the ne category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Rather,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sz w:val="24"/>
          <w:szCs w:val="24"/>
          <w:vertAlign w:val="superscript"/>
        </w:rPr>
        <w:footnoteReference w:id="50"/>
      </w:r>
      <w:r>
        <w:rPr>
          <w:sz w:val="24"/>
          <w:szCs w:val="24"/>
        </w:rPr>
        <w:t xml:space="preserve"> To remedy this, we must examine not how the category of gender </w:t>
      </w:r>
      <w:r>
        <w:rPr>
          <w:i/>
          <w:sz w:val="24"/>
          <w:szCs w:val="24"/>
        </w:rPr>
        <w:t>acts on</w:t>
      </w:r>
      <w:r>
        <w:rPr>
          <w:sz w:val="24"/>
          <w:szCs w:val="24"/>
        </w:rPr>
        <w:t xml:space="preserve"> the category of labor, but how it permeates</w:t>
      </w:r>
      <w:r>
        <w:rPr>
          <w:i/>
          <w:sz w:val="24"/>
          <w:szCs w:val="24"/>
        </w:rPr>
        <w:t xml:space="preserve"> </w:t>
      </w:r>
      <w:r>
        <w:rPr>
          <w:sz w:val="24"/>
          <w:szCs w:val="24"/>
        </w:rPr>
        <w:t xml:space="preserve">and </w:t>
      </w:r>
      <w:r>
        <w:rPr>
          <w:i/>
          <w:sz w:val="24"/>
          <w:szCs w:val="24"/>
        </w:rPr>
        <w:t>constitutes</w:t>
      </w:r>
      <w:r>
        <w:rPr>
          <w:sz w:val="24"/>
          <w:szCs w:val="24"/>
        </w:rPr>
        <w:t xml:space="preserve"> it. </w:t>
      </w:r>
    </w:p>
    <w:p>
      <w:pPr>
        <w:pStyle w:val="Normal"/>
        <w:bidi w:val="0"/>
        <w:spacing w:lineRule="auto" w:line="480" w:before="0" w:after="0"/>
        <w:ind w:firstLine="720" w:start="0" w:end="0"/>
        <w:jc w:val="start"/>
        <w:rPr>
          <w:rFonts w:ascii="Liberation Serif" w:hAnsi="Liberation Serif"/>
        </w:rPr>
      </w:pPr>
      <w:r>
        <w:rPr>
          <w:sz w:val="24"/>
          <w:szCs w:val="24"/>
        </w:rPr>
        <w:t xml:space="preserve">Two complementary theoretical traditions are of use to us here. Social Reproduction Theory and World-Systems Analysis employ the overlapping categories of the family (SRT) and the household (WSA) to examine the gendered dynamics of labor. Labor is reproduced in different ways for different circumstances/locations and the category of labor itself has been opened up to include processes outside the shop floor. How are these processes disciplined and managed? </w:t>
      </w:r>
    </w:p>
    <w:p>
      <w:pPr>
        <w:pStyle w:val="Normal"/>
        <w:bidi w:val="0"/>
        <w:spacing w:lineRule="auto" w:line="480" w:before="0" w:after="0"/>
        <w:ind w:firstLine="720" w:start="0" w:end="0"/>
        <w:jc w:val="start"/>
        <w:rPr>
          <w:rFonts w:ascii="Liberation Serif" w:hAnsi="Liberation Serif"/>
        </w:rPr>
      </w:pPr>
      <w:r>
        <w:rPr>
          <w:sz w:val="24"/>
          <w:szCs w:val="24"/>
        </w:rPr>
        <w:t>For Immanuel Wallerstein, the household is a</w:t>
      </w:r>
      <w:r>
        <w:rPr>
          <w:sz w:val="24"/>
          <w:szCs w:val="24"/>
        </w:rPr>
        <w:t>n important institution</w:t>
      </w:r>
      <w:r>
        <w:rPr>
          <w:sz w:val="24"/>
          <w:szCs w:val="24"/>
        </w:rPr>
        <w:t xml:space="preserve"> </w:t>
      </w:r>
      <w:r>
        <w:rPr>
          <w:sz w:val="24"/>
          <w:szCs w:val="24"/>
        </w:rPr>
        <w:t>in</w:t>
      </w:r>
      <w:r>
        <w:rPr>
          <w:sz w:val="24"/>
          <w:szCs w:val="24"/>
        </w:rPr>
        <w:t xml:space="preserve"> the capitalist world-system. Borrowing from Marxist thought, he identifies proletarianization as one of the constitutive processes of historical capitalism, but contra orthodox Marxism, he associates it not with an individual worker, but with households. Households are “relatively stable structures which share a common fund of current income and accumulated capital”</w:t>
      </w:r>
      <w:r>
        <w:rPr>
          <w:rStyle w:val="FootnoteReference"/>
          <w:sz w:val="24"/>
          <w:szCs w:val="24"/>
          <w:vertAlign w:val="superscript"/>
        </w:rPr>
        <w:footnoteReference w:id="51"/>
      </w:r>
      <w:r>
        <w:rPr>
          <w:sz w:val="24"/>
          <w:szCs w:val="24"/>
        </w:rPr>
        <w:t xml:space="preserve"> – in other words they are groups of people who pool their income from various sources in order to meet the collective needs of survival. This income (broadly conceived) can come from waged work, petty commodity production, unwaged reproductive work, or even cash transfers from kin or government agencies. </w:t>
      </w:r>
    </w:p>
    <w:p>
      <w:pPr>
        <w:pStyle w:val="Normal"/>
        <w:bidi w:val="0"/>
        <w:spacing w:lineRule="auto" w:line="480" w:before="0" w:after="0"/>
        <w:ind w:firstLine="720" w:start="0" w:end="0"/>
        <w:jc w:val="start"/>
        <w:rPr>
          <w:rFonts w:ascii="Liberation Serif" w:hAnsi="Liberation Serif"/>
        </w:rPr>
      </w:pPr>
      <w:commentRangeStart w:id="7"/>
      <w:r>
        <w:rPr>
          <w:sz w:val="24"/>
          <w:szCs w:val="24"/>
        </w:rPr>
        <w:t>Social Reproduction Theory hews more closely to Marxist feminist categories. Though SRT theorists disagree on exact demarcation, there is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sz w:val="24"/>
          <w:szCs w:val="24"/>
          <w:vertAlign w:val="superscript"/>
        </w:rPr>
        <w:footnoteReference w:id="52"/>
      </w:r>
      <w:commentRangeEnd w:id="7"/>
      <w:r>
        <w:commentReference w:id="7"/>
      </w:r>
      <w:r>
        <w:rPr>
          <w:sz w:val="24"/>
          <w:szCs w:val="24"/>
          <w:vertAlign w:val="superscript"/>
        </w:rPr>
      </w:r>
    </w:p>
    <w:p>
      <w:pPr>
        <w:pStyle w:val="Normal"/>
        <w:bidi w:val="0"/>
        <w:spacing w:lineRule="auto" w:line="480" w:before="0" w:after="0"/>
        <w:ind w:firstLine="720" w:start="0" w:end="0"/>
        <w:jc w:val="start"/>
        <w:rPr>
          <w:rFonts w:ascii="Liberation Serif" w:hAnsi="Liberation Serif"/>
        </w:rPr>
      </w:pPr>
      <w:r>
        <w:rPr>
          <w:sz w:val="24"/>
          <w:szCs w:val="24"/>
        </w:rPr>
        <w:t>Both of these frameworks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beyond the wages of a single laborer,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rFonts w:ascii="Liberation Serif" w:hAnsi="Liberation Serif"/>
        </w:rPr>
      </w:pPr>
      <w:r>
        <w:rPr>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sz w:val="24"/>
          <w:szCs w:val="24"/>
          <w:vertAlign w:val="superscript"/>
        </w:rPr>
        <w:footnoteReference w:id="53"/>
      </w:r>
      <w:r>
        <w:rPr>
          <w:sz w:val="24"/>
          <w:szCs w:val="24"/>
        </w:rPr>
        <w:t xml:space="preserve"> Over a third of the city’s workforce was made up of “semiskilled, unskilled, and service workers” who earned considerably less than this average.</w:t>
      </w:r>
    </w:p>
    <w:p>
      <w:pPr>
        <w:pStyle w:val="Normal"/>
        <w:bidi w:val="0"/>
        <w:spacing w:lineRule="auto" w:line="480" w:before="0" w:after="0"/>
        <w:ind w:firstLine="720" w:start="0" w:end="0"/>
        <w:jc w:val="start"/>
        <w:rPr>
          <w:rFonts w:ascii="Liberation Serif" w:hAnsi="Liberation Serif"/>
        </w:rPr>
      </w:pPr>
      <w:r>
        <w:rPr>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sz w:val="24"/>
          <w:szCs w:val="24"/>
          <w:vertAlign w:val="superscript"/>
        </w:rPr>
        <w:footnoteReference w:id="54"/>
      </w:r>
    </w:p>
    <w:p>
      <w:pPr>
        <w:pStyle w:val="Normal"/>
        <w:bidi w:val="0"/>
        <w:spacing w:lineRule="auto" w:line="480" w:before="0" w:after="0"/>
        <w:ind w:firstLine="720" w:start="0" w:end="0"/>
        <w:jc w:val="start"/>
        <w:rPr>
          <w:rFonts w:ascii="Liberation Serif" w:hAnsi="Liberation Serif"/>
        </w:rPr>
      </w:pPr>
      <w:r>
        <w:rPr>
          <w:sz w:val="24"/>
          <w:szCs w:val="24"/>
        </w:rPr>
        <w:t>It appears that “Polish families brought with them skills associated with their recent past as peasants, which could be put to use outside the wage nexus.”</w:t>
      </w:r>
      <w:r>
        <w:rPr>
          <w:rStyle w:val="FootnoteReference"/>
          <w:sz w:val="24"/>
          <w:szCs w:val="24"/>
          <w:vertAlign w:val="superscript"/>
        </w:rPr>
        <w:footnoteReference w:id="55"/>
      </w:r>
      <w:r>
        <w:rPr>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bidi w:val="0"/>
        <w:spacing w:lineRule="auto" w:line="480" w:before="0" w:after="0"/>
        <w:ind w:firstLine="720" w:start="0" w:end="0"/>
        <w:jc w:val="start"/>
        <w:rPr>
          <w:rFonts w:ascii="Liberation Serif" w:hAnsi="Liberation Serif"/>
        </w:rPr>
      </w:pPr>
      <w:r>
        <w:rPr>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sz w:val="24"/>
          <w:szCs w:val="24"/>
          <w:vertAlign w:val="superscript"/>
        </w:rPr>
        <w:footnoteReference w:id="56"/>
      </w:r>
      <w:r>
        <w:rPr>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bidi w:val="0"/>
        <w:spacing w:lineRule="auto" w:line="480" w:before="0" w:after="0"/>
        <w:ind w:firstLine="720" w:start="0" w:end="0"/>
        <w:jc w:val="start"/>
        <w:rPr>
          <w:rFonts w:ascii="Liberation Serif" w:hAnsi="Liberation Serif"/>
        </w:rPr>
      </w:pPr>
      <w:r>
        <w:rPr>
          <w:sz w:val="24"/>
          <w:szCs w:val="24"/>
        </w:rPr>
        <w:t>American born whites also depended on boarders, although to a lesser extent than other ethnic groups. They generally had children but pulled their children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sz w:val="24"/>
          <w:szCs w:val="24"/>
          <w:vertAlign w:val="superscript"/>
        </w:rPr>
        <w:footnoteReference w:id="57"/>
      </w:r>
      <w:r>
        <w:rPr>
          <w:sz w:val="24"/>
          <w:szCs w:val="24"/>
        </w:rPr>
        <w:t xml:space="preserve"> These families rarely sent married women into the workforce, although occasionally unmarried white women did work outside of the home.</w:t>
      </w:r>
    </w:p>
    <w:p>
      <w:pPr>
        <w:pStyle w:val="Normal"/>
        <w:bidi w:val="0"/>
        <w:spacing w:lineRule="auto" w:line="480" w:before="0" w:after="0"/>
        <w:ind w:firstLine="720" w:start="0" w:end="0"/>
        <w:jc w:val="start"/>
        <w:rPr>
          <w:rFonts w:ascii="Liberation Serif" w:hAnsi="Liberation Serif"/>
        </w:rPr>
      </w:pPr>
      <w:r>
        <w:rPr>
          <w:sz w:val="24"/>
          <w:szCs w:val="24"/>
        </w:rPr>
        <w:t>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sz w:val="24"/>
          <w:szCs w:val="24"/>
          <w:vertAlign w:val="superscript"/>
        </w:rPr>
        <w:footnoteReference w:id="58"/>
      </w:r>
      <w:r>
        <w:rPr>
          <w:sz w:val="24"/>
          <w:szCs w:val="24"/>
        </w:rPr>
        <w:t xml:space="preserve"> This picture looks much the same as pre-Fordist Detroit, so what changed? Was the social transformation of Fordism as radical as its labor transformation?</w:t>
      </w:r>
    </w:p>
    <w:p>
      <w:pPr>
        <w:pStyle w:val="Normal"/>
        <w:bidi w:val="0"/>
        <w:spacing w:lineRule="auto" w:line="480" w:before="0" w:after="0"/>
        <w:ind w:firstLine="720" w:start="0" w:end="0"/>
        <w:jc w:val="start"/>
        <w:rPr>
          <w:rFonts w:ascii="Liberation Serif" w:hAnsi="Liberation Serif"/>
        </w:rPr>
      </w:pPr>
      <w:r>
        <w:rPr>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i/>
          <w:sz w:val="24"/>
          <w:szCs w:val="24"/>
        </w:rPr>
        <w:t>thirteen</w:t>
      </w:r>
      <w:r>
        <w:rPr>
          <w:sz w:val="24"/>
          <w:szCs w:val="24"/>
        </w:rPr>
        <w:t>, from just over 15,000 to more than 208, 000.</w:t>
      </w:r>
      <w:r>
        <w:rPr>
          <w:rStyle w:val="FootnoteReference"/>
          <w:sz w:val="24"/>
          <w:szCs w:val="24"/>
          <w:vertAlign w:val="superscript"/>
        </w:rPr>
        <w:footnoteReference w:id="59"/>
      </w:r>
      <w:r>
        <w:rPr>
          <w:sz w:val="24"/>
          <w:szCs w:val="24"/>
        </w:rPr>
        <w:t xml:space="preserve"> Most of this increase was driven by Black migrants from the southern states, looking for better working conditions and wages in the industrial Midwest. </w:t>
      </w:r>
    </w:p>
    <w:p>
      <w:pPr>
        <w:pStyle w:val="Normal"/>
        <w:bidi w:val="0"/>
        <w:spacing w:lineRule="auto" w:line="480" w:before="0" w:after="0"/>
        <w:ind w:firstLine="720" w:start="0" w:end="0"/>
        <w:jc w:val="start"/>
        <w:rPr>
          <w:rFonts w:ascii="Liberation Serif" w:hAnsi="Liberation Serif"/>
        </w:rPr>
      </w:pPr>
      <w:r>
        <w:rPr>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sz w:val="24"/>
          <w:szCs w:val="24"/>
          <w:vertAlign w:val="superscript"/>
        </w:rPr>
        <w:footnoteReference w:id="60"/>
      </w:r>
      <w:r>
        <w:rPr>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bidi w:val="0"/>
        <w:spacing w:lineRule="auto" w:line="480" w:before="0" w:after="0"/>
        <w:ind w:firstLine="720" w:start="0" w:end="0"/>
        <w:jc w:val="start"/>
        <w:rPr>
          <w:rFonts w:ascii="Liberation Serif" w:hAnsi="Liberation Serif"/>
        </w:rPr>
      </w:pPr>
      <w:r>
        <w:rPr>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Normal"/>
        <w:bidi w:val="0"/>
        <w:spacing w:lineRule="auto" w:line="480" w:before="0" w:after="0"/>
        <w:ind w:hanging="0" w:start="0" w:end="0"/>
        <w:jc w:val="start"/>
        <w:rPr>
          <w:rFonts w:ascii="Liberation Serif" w:hAnsi="Liberation Serif"/>
        </w:rPr>
      </w:pPr>
      <w:commentRangeStart w:id="8"/>
      <w:r>
        <w:rPr>
          <w:b/>
          <w:bCs/>
          <w:i w:val="false"/>
          <w:iCs w:val="false"/>
          <w:sz w:val="24"/>
          <w:szCs w:val="24"/>
        </w:rPr>
        <w:t>Global Complications: the Rubber Industry</w:t>
      </w:r>
      <w:commentRangeEnd w:id="8"/>
      <w:r>
        <w:commentReference w:id="8"/>
      </w:r>
      <w:r>
        <w:rPr>
          <w:b/>
          <w:bCs/>
          <w:i w:val="false"/>
          <w:iCs w:val="false"/>
          <w:sz w:val="24"/>
          <w:szCs w:val="24"/>
        </w:rPr>
      </w:r>
    </w:p>
    <w:p>
      <w:pPr>
        <w:pStyle w:val="Normal"/>
        <w:bidi w:val="0"/>
        <w:spacing w:lineRule="auto" w:line="480" w:before="0" w:after="0"/>
        <w:ind w:firstLine="720" w:start="0" w:end="0"/>
        <w:jc w:val="start"/>
        <w:rPr>
          <w:rFonts w:ascii="Liberation Serif" w:hAnsi="Liberation Serif"/>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terms this global dynamic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61"/>
      </w:r>
      <w:r>
        <w:rPr>
          <w:sz w:val="24"/>
          <w:szCs w:val="24"/>
        </w:rPr>
        <w:t xml:space="preserve"> </w:t>
      </w:r>
    </w:p>
    <w:p>
      <w:pPr>
        <w:pStyle w:val="Normal"/>
        <w:bidi w:val="0"/>
        <w:spacing w:lineRule="auto" w:line="480" w:before="0" w:after="0"/>
        <w:ind w:firstLine="720" w:start="0" w:end="0"/>
        <w:jc w:val="start"/>
        <w:rPr>
          <w:rFonts w:ascii="Liberation Serif" w:hAnsi="Liberation Serif"/>
        </w:rPr>
      </w:pPr>
      <w:commentRangeStart w:id="9"/>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62"/>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63"/>
      </w:r>
      <w:r>
        <w:rPr>
          <w:sz w:val="24"/>
          <w:szCs w:val="24"/>
        </w:rPr>
        <w:t xml:space="preserve"> In other words, the underdevelopment of the global south is a condition positively created by the dynamics of global capitalism.</w:t>
      </w:r>
      <w:r>
        <w:rPr>
          <w:sz w:val="24"/>
          <w:szCs w:val="24"/>
        </w:rPr>
      </w:r>
      <w:commentRangeEnd w:id="9"/>
      <w:r>
        <w:commentReference w:id="9"/>
      </w:r>
      <w:r>
        <w:rPr>
          <w:sz w:val="24"/>
          <w:szCs w:val="24"/>
        </w:rPr>
        <w:t xml:space="preserve"> Samir Amin’s </w:t>
      </w:r>
      <w:r>
        <w:rPr>
          <w:i/>
          <w:sz w:val="24"/>
          <w:szCs w:val="24"/>
        </w:rPr>
        <w:t>Accumulation on a World Scale</w:t>
      </w:r>
      <w:r>
        <w:rPr>
          <w:sz w:val="24"/>
          <w:szCs w:val="24"/>
        </w:rPr>
        <w:t xml:space="preserve"> deals with this dynamic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64"/>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65"/>
      </w:r>
    </w:p>
    <w:p>
      <w:pPr>
        <w:pStyle w:val="Normal"/>
        <w:bidi w:val="0"/>
        <w:spacing w:lineRule="auto" w:line="480" w:before="0" w:after="0"/>
        <w:ind w:firstLine="720" w:start="0" w:end="0"/>
        <w:jc w:val="start"/>
        <w:rPr>
          <w:rFonts w:ascii="Liberation Serif" w:hAnsi="Liberation Serif"/>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66"/>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67"/>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rFonts w:ascii="Liberation Serif" w:hAnsi="Liberation Serif"/>
        </w:rPr>
      </w:pPr>
      <w:r>
        <w:rPr>
          <w:sz w:val="24"/>
          <w:szCs w:val="24"/>
        </w:rPr>
        <w:t>This dynamic can be traced along what world-systems analysts call commodity chains: the global chain of labor and raw-material inputs that results in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68"/>
      </w:r>
      <w:r>
        <w:rPr>
          <w:sz w:val="24"/>
          <w:szCs w:val="24"/>
        </w:rPr>
        <w:t xml:space="preserve"> Criticizing an analytical nationalism which attempts to abstract autonomous societies from each other, Wallerstein and Hopkins insist on analyzing the world-system in toto: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69"/>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Liberation Serif" w:hAnsi="Liberation Serif"/>
        </w:rPr>
      </w:pPr>
      <w:r>
        <w:rPr>
          <w:sz w:val="24"/>
          <w:szCs w:val="24"/>
        </w:rPr>
        <w:t>Commodity chains bring local and global dynamics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70"/>
      </w:r>
      <w:r>
        <w:rPr>
          <w:sz w:val="24"/>
          <w:szCs w:val="24"/>
        </w:rPr>
        <w:t xml:space="preserve"> </w:t>
      </w:r>
      <w:commentRangeStart w:id="10"/>
      <w:commentRangeStart w:id="11"/>
      <w:r>
        <w:rPr>
          <w:sz w:val="24"/>
          <w:szCs w:val="24"/>
        </w:rPr>
        <w:t xml:space="preserve">As a sort of vascular system for raw and processed materials within the capitalist world-system, commodity chains are a primary </w:t>
      </w:r>
      <w:r>
        <w:rPr>
          <w:sz w:val="24"/>
          <w:szCs w:val="24"/>
        </w:rPr>
      </w:r>
      <w:commentRangeEnd w:id="10"/>
      <w:r>
        <w:commentReference w:id="10"/>
      </w:r>
      <w:r>
        <w:rPr>
          <w:sz w:val="24"/>
          <w:szCs w:val="24"/>
        </w:rPr>
        <w:t xml:space="preserve">axis of contestation for actors across ‘geopolitical and physical space.’ The </w:t>
      </w:r>
      <w:commentRangeStart w:id="12"/>
      <w:r>
        <w:rPr>
          <w:sz w:val="24"/>
          <w:szCs w:val="24"/>
        </w:rPr>
        <w:t>state acts on commodity chains</w:t>
      </w:r>
      <w:r>
        <w:rPr>
          <w:sz w:val="24"/>
          <w:szCs w:val="24"/>
        </w:rPr>
      </w:r>
      <w:commentRangeEnd w:id="12"/>
      <w:r>
        <w:commentReference w:id="12"/>
      </w:r>
      <w:r>
        <w:rPr>
          <w:sz w:val="24"/>
          <w:szCs w:val="24"/>
        </w:rPr>
        <w:t xml:space="preserve">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rFonts w:ascii="Liberation Serif" w:hAnsi="Liberation Serif"/>
        </w:rPr>
      </w:pPr>
      <w:r>
        <w:rPr>
          <w:sz w:val="24"/>
          <w:szCs w:val="24"/>
        </w:rPr>
        <w:t>Commodity chains are a useful concept for countering overly-local views of capitalist accumulation.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71"/>
      </w:r>
      <w:r>
        <w:rPr>
          <w:sz w:val="24"/>
          <w:szCs w:val="24"/>
        </w:rPr>
        <w:t xml:space="preserve"> </w:t>
      </w:r>
      <w:commentRangeStart w:id="13"/>
      <w:r>
        <w:rPr>
          <w:sz w:val="24"/>
          <w:szCs w:val="24"/>
        </w:rPr>
        <w:t>The effect of these “extractive peripheries on existing population, and especially indigenous populations, are almost universally negative, (see, e.g., Hall and Fenelon 2009; Gedicks 2001; Bodley 2014; Mann 2006), engendering often strong and violent opposition from indigenous groups (Ciccantell and Gellert 2022).”</w:t>
      </w:r>
      <w:r>
        <w:rPr>
          <w:rStyle w:val="FootnoteReference"/>
          <w:sz w:val="24"/>
          <w:szCs w:val="24"/>
          <w:vertAlign w:val="superscript"/>
        </w:rPr>
        <w:footnoteReference w:id="72"/>
      </w:r>
      <w:r>
        <w:rPr>
          <w:sz w:val="24"/>
          <w:szCs w:val="24"/>
          <w:vertAlign w:val="superscript"/>
        </w:rPr>
      </w:r>
      <w:commentRangeEnd w:id="13"/>
      <w:r>
        <w:commentReference w:id="13"/>
      </w:r>
      <w:r>
        <w:rPr>
          <w:sz w:val="24"/>
          <w:szCs w:val="24"/>
        </w:rPr>
        <w:t xml:space="preserve"> The remainder of this section and the next will examine production and reproduction in this context along the Fordist commodity chain. </w:t>
      </w:r>
      <w:commentRangeEnd w:id="11"/>
      <w:r>
        <w:commentReference w:id="11"/>
      </w:r>
      <w:r>
        <w:rPr>
          <w:sz w:val="24"/>
          <w:szCs w:val="24"/>
        </w:rPr>
      </w:r>
    </w:p>
    <w:p>
      <w:pPr>
        <w:pStyle w:val="Normal"/>
        <w:bidi w:val="0"/>
        <w:spacing w:lineRule="auto" w:line="480" w:before="0" w:after="0"/>
        <w:ind w:firstLine="720" w:start="0" w:end="0"/>
        <w:jc w:val="start"/>
        <w:rPr>
          <w:rFonts w:ascii="Liberation Serif" w:hAnsi="Liberation Serif"/>
        </w:rPr>
      </w:pPr>
      <w:r>
        <w:rPr>
          <w:sz w:val="24"/>
          <w:szCs w:val="24"/>
        </w:rPr>
        <w:t>For early automobile producers in Michigan, many of these commodity chains were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73"/>
      </w:r>
      <w:r>
        <w:rPr>
          <w:sz w:val="24"/>
          <w:szCs w:val="24"/>
        </w:rPr>
        <w:t xml:space="preserve"> To acquire the rubber necessary for the production of automobiles, Ford and his competitors had to look outside the US - at first to </w:t>
      </w:r>
      <w:r>
        <w:rPr>
          <w:sz w:val="24"/>
          <w:szCs w:val="24"/>
        </w:rPr>
        <w:t>the Amazon</w:t>
      </w:r>
      <w:r>
        <w:rPr>
          <w:sz w:val="24"/>
          <w:szCs w:val="24"/>
        </w:rPr>
        <w:t xml:space="preserve"> and the Congo, and then later to Malaya</w:t>
      </w:r>
      <w:r>
        <w:rPr>
          <w:sz w:val="24"/>
          <w:szCs w:val="24"/>
        </w:rPr>
        <w:t xml:space="preserve"> and Sumatra in Southeast Asia</w:t>
      </w:r>
      <w:r>
        <w:rPr>
          <w:sz w:val="24"/>
          <w:szCs w:val="24"/>
        </w:rPr>
        <w:t>.</w:t>
      </w:r>
    </w:p>
    <w:p>
      <w:pPr>
        <w:pStyle w:val="Normal"/>
        <w:bidi w:val="0"/>
        <w:spacing w:lineRule="auto" w:line="480" w:before="0" w:after="0"/>
        <w:ind w:firstLine="720" w:start="0" w:end="0"/>
        <w:jc w:val="start"/>
        <w:rPr>
          <w:rFonts w:ascii="Liberation Serif" w:hAnsi="Liberation Serif"/>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1945 carriage wheels were equipped with solid rubber tires.</w:t>
      </w:r>
      <w:r>
        <w:rPr>
          <w:rStyle w:val="FootnoteReference"/>
          <w:sz w:val="24"/>
          <w:szCs w:val="24"/>
          <w:vertAlign w:val="superscript"/>
        </w:rPr>
        <w:footnoteReference w:id="74"/>
      </w:r>
      <w:r>
        <w:rPr>
          <w:sz w:val="24"/>
          <w:szCs w:val="24"/>
        </w:rPr>
        <w:t>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75"/>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rFonts w:ascii="Liberation Serif" w:hAnsi="Liberation Serif"/>
        </w:rPr>
      </w:pPr>
      <w:r>
        <w:rPr>
          <w:sz w:val="24"/>
          <w:szCs w:val="24"/>
        </w:rPr>
        <w:t xml:space="preserve">Industrial production of rubber began in Brazil and central Africa in the 1800s, where latex producing plants grew natively. </w:t>
      </w:r>
      <w:commentRangeStart w:id="14"/>
      <w:r>
        <w:rPr>
          <w:sz w:val="24"/>
          <w:szCs w:val="24"/>
        </w:rPr>
        <w:t>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76"/>
      </w:r>
      <w:r>
        <w:rPr>
          <w:sz w:val="24"/>
          <w:szCs w:val="24"/>
          <w:vertAlign w:val="superscript"/>
        </w:rPr>
      </w:r>
      <w:commentRangeEnd w:id="14"/>
      <w:r>
        <w:commentReference w:id="14"/>
      </w:r>
      <w:r>
        <w:rPr>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sz w:val="24"/>
          <w:szCs w:val="24"/>
          <w:vertAlign w:val="superscript"/>
        </w:rPr>
        <w:footnoteReference w:id="77"/>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had to be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Liberation Serif" w:hAnsi="Liberation Serif"/>
        </w:rPr>
      </w:pPr>
      <w:r>
        <w:rPr>
          <w:sz w:val="24"/>
          <w:szCs w:val="24"/>
        </w:rPr>
        <w:t>The working conditions in rubber fields in Brazil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78"/>
      </w:r>
      <w:r>
        <w:rPr>
          <w:sz w:val="24"/>
          <w:szCs w:val="24"/>
        </w:rPr>
        <w:t xml:space="preserve"> The companies ensured that the prices of necessary provisions were higher than the piece-wages for rubber, creating a vicious cycle of debt peonage. </w:t>
      </w:r>
    </w:p>
    <w:p>
      <w:pPr>
        <w:pStyle w:val="Normal"/>
        <w:bidi w:val="0"/>
        <w:spacing w:lineRule="auto" w:line="480" w:before="0" w:after="0"/>
        <w:ind w:firstLine="720" w:start="0" w:end="0"/>
        <w:jc w:val="start"/>
        <w:rPr>
          <w:highlight w:val="none"/>
          <w:shd w:fill="FFFF00" w:val="clear"/>
        </w:rPr>
      </w:pPr>
      <w:r>
        <w:rPr>
          <w:sz w:val="24"/>
          <w:szCs w:val="24"/>
          <w:shd w:fill="FFFF00" w:val="clear"/>
        </w:rPr>
        <w:t>[some linking framework]</w:t>
      </w:r>
    </w:p>
    <w:p>
      <w:pPr>
        <w:pStyle w:val="Normal"/>
        <w:bidi w:val="0"/>
        <w:spacing w:lineRule="auto" w:line="480" w:before="0" w:after="0"/>
        <w:ind w:firstLine="720" w:start="0" w:end="0"/>
        <w:jc w:val="start"/>
        <w:rPr>
          <w:rFonts w:ascii="Liberation Serif" w:hAnsi="Liberation Serif"/>
        </w:rPr>
      </w:pPr>
      <w:r>
        <w:rPr>
          <w:sz w:val="24"/>
          <w:szCs w:val="24"/>
        </w:rPr>
        <w:t>The two patterns of rubber production - wild collection and planned cultivation - were sustained by different patterns of social reproduction. Wild rubber harvesting was predominant in the Amazon and the Congo, and dominated the world market until 1913.</w:t>
      </w:r>
      <w:r>
        <w:rPr>
          <w:rStyle w:val="FootnoteReference"/>
          <w:sz w:val="24"/>
          <w:szCs w:val="24"/>
          <w:vertAlign w:val="superscript"/>
        </w:rPr>
        <w:footnoteReference w:id="79"/>
      </w:r>
      <w:r>
        <w:rPr>
          <w:sz w:val="24"/>
          <w:szCs w:val="24"/>
        </w:rPr>
        <w:t xml:space="preserve"> In Brazil, before the founding of Fordlandia, rubber cultivators operated on a pseudo piece-work basis. The costs of production were borne by the worker, who ventured into the jungle to collect raw rubber that he would then sell to the company. This work was seasonal, and depended on a transhumant workforce that traveled between port towns and rubber estates as weather conditions dictated.</w:t>
      </w:r>
      <w:r>
        <w:rPr>
          <w:rStyle w:val="FootnoteReference"/>
          <w:sz w:val="24"/>
          <w:szCs w:val="24"/>
          <w:vertAlign w:val="superscript"/>
        </w:rPr>
        <w:footnoteReference w:id="80"/>
      </w:r>
      <w:r>
        <w:rPr>
          <w:sz w:val="24"/>
          <w:szCs w:val="24"/>
        </w:rPr>
        <w:t xml:space="preserve"> A stable workforce was neither required nor desired in Brazil, and so there was no impetus for the companies to develop stable reproductive relations for workers. Rather workers were compelled to work through the cultivation of debt - through the sale of “the necessary working tools and basic goods such as foodstuff, which were forcibly acquired at the rubber patron’s storehouse or station.”</w:t>
      </w:r>
      <w:r>
        <w:rPr>
          <w:rStyle w:val="FootnoteReference"/>
          <w:sz w:val="24"/>
          <w:szCs w:val="24"/>
          <w:vertAlign w:val="superscript"/>
        </w:rPr>
        <w:footnoteReference w:id="81"/>
      </w:r>
      <w:r>
        <w:rPr>
          <w:sz w:val="24"/>
          <w:szCs w:val="24"/>
        </w:rPr>
        <w:t xml:space="preserve"> A continual supply of labor was ensured through the debt contract. </w:t>
      </w:r>
    </w:p>
    <w:p>
      <w:pPr>
        <w:pStyle w:val="Normal"/>
        <w:bidi w:val="0"/>
        <w:spacing w:lineRule="auto" w:line="480" w:before="0" w:after="0"/>
        <w:ind w:firstLine="720" w:start="0" w:end="0"/>
        <w:jc w:val="start"/>
        <w:rPr>
          <w:rFonts w:ascii="Liberation Serif" w:hAnsi="Liberation Serif"/>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82"/>
      </w:r>
      <w:r>
        <w:rPr>
          <w:sz w:val="24"/>
          <w:szCs w:val="24"/>
        </w:rPr>
        <w:t xml:space="preserve"> Whereas in the Amazon, workers migrated to the rubber regions due to harsh economic and environmental conditions, in the Congo the state and private firms sent expeditions into the countryside to capture and enslave native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83"/>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84"/>
      </w:r>
    </w:p>
    <w:p>
      <w:pPr>
        <w:pStyle w:val="Normal"/>
        <w:bidi w:val="0"/>
        <w:spacing w:lineRule="auto" w:line="480" w:before="0" w:after="0"/>
        <w:ind w:firstLine="720" w:start="0" w:end="0"/>
        <w:jc w:val="start"/>
        <w:rPr>
          <w:rFonts w:ascii="Liberation Serif" w:hAnsi="Liberation Serif"/>
        </w:rPr>
      </w:pPr>
      <w:commentRangeStart w:id="15"/>
      <w:r>
        <w:rPr>
          <w:sz w:val="24"/>
          <w:szCs w:val="24"/>
        </w:rPr>
        <w:t xml:space="preserve">The relevance of housing in the Amazon and the Congo lies in the </w:t>
      </w:r>
      <w:r>
        <w:rPr>
          <w:i/>
          <w:sz w:val="24"/>
          <w:szCs w:val="24"/>
        </w:rPr>
        <w:t>absence</w:t>
      </w:r>
      <w:r>
        <w:rPr>
          <w:sz w:val="24"/>
          <w:szCs w:val="24"/>
        </w:rPr>
        <w:t xml:space="preserve"> of any dedicated housing policy. If the impact of Fordism on housing in the core was to expand the commodification and the housing market, its impact in the periphery was the opposite. Existing communities and their social relations were violently disrupted by rubber barons and the state who saw no need to recreate conditions for the renewal of laborers.</w:t>
      </w:r>
      <w:r>
        <w:rPr>
          <w:sz w:val="24"/>
          <w:szCs w:val="24"/>
        </w:rPr>
      </w:r>
      <w:commentRangeEnd w:id="15"/>
      <w:r>
        <w:commentReference w:id="15"/>
      </w:r>
      <w:r>
        <w:rPr>
          <w:sz w:val="24"/>
          <w:szCs w:val="24"/>
        </w:rPr>
        <w:t xml:space="preserve"> Rather indigenous and migrant populations provided an external pool from which new labor could be drawn. The pay given to rubber workers (if it can be called pay) was insufficient to provide for the renewal of the conditions of labor on an open commodity market, and so the gap was filled by coercion, and by the workers’ informal reproductive labor. Although the workers were undoubtedly commodity producers, they were not commodity consumers in the same sense that workers in the core were. Their everyday necessities were obtained from closed company shops, and in both the </w:t>
      </w:r>
      <w:commentRangeStart w:id="16"/>
      <w:r>
        <w:rPr>
          <w:sz w:val="24"/>
          <w:szCs w:val="24"/>
        </w:rPr>
        <w:t>Amazon</w:t>
      </w:r>
      <w:r>
        <w:rPr>
          <w:sz w:val="24"/>
          <w:szCs w:val="24"/>
        </w:rPr>
      </w:r>
      <w:commentRangeEnd w:id="16"/>
      <w:r>
        <w:commentReference w:id="16"/>
      </w:r>
      <w:r>
        <w:rPr>
          <w:sz w:val="24"/>
          <w:szCs w:val="24"/>
        </w:rPr>
        <w:t xml:space="preserve"> and the Congo, roving rubber tappers built their own temporary shelters in the rubber fields.</w:t>
      </w:r>
      <w:r>
        <w:rPr>
          <w:rStyle w:val="FootnoteReference"/>
          <w:sz w:val="24"/>
          <w:szCs w:val="24"/>
          <w:vertAlign w:val="superscript"/>
        </w:rPr>
        <w:footnoteReference w:id="85"/>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rFonts w:ascii="Liberation Serif" w:hAnsi="Liberation Serif"/>
        </w:rPr>
      </w:pPr>
      <w:r>
        <w:rPr>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86"/>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87"/>
      </w:r>
    </w:p>
    <w:p>
      <w:pPr>
        <w:pStyle w:val="Normal"/>
        <w:bidi w:val="0"/>
        <w:spacing w:lineRule="auto" w:line="480" w:before="0" w:after="0"/>
        <w:ind w:firstLine="720" w:start="0" w:end="0"/>
        <w:jc w:val="start"/>
        <w:rPr>
          <w:rFonts w:ascii="Liberation Serif" w:hAnsi="Liberation Serif"/>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88"/>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89"/>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90"/>
      </w:r>
      <w:r>
        <w:rPr>
          <w:sz w:val="24"/>
          <w:szCs w:val="24"/>
        </w:rPr>
        <w:t xml:space="preserve"> </w:t>
      </w:r>
    </w:p>
    <w:p>
      <w:pPr>
        <w:pStyle w:val="Normal"/>
        <w:bidi w:val="0"/>
        <w:spacing w:lineRule="auto" w:line="480" w:before="0" w:after="0"/>
        <w:ind w:firstLine="720" w:start="0" w:end="0"/>
        <w:jc w:val="start"/>
        <w:rPr>
          <w:highlight w:val="none"/>
          <w:shd w:fill="FFFF00" w:val="clear"/>
        </w:rPr>
      </w:pPr>
      <w:r>
        <w:rPr>
          <w:sz w:val="24"/>
          <w:szCs w:val="24"/>
          <w:shd w:fill="FFFF00" w:val="clear"/>
        </w:rPr>
        <w:t>[transition to plantation rubber]</w:t>
      </w:r>
    </w:p>
    <w:p>
      <w:pPr>
        <w:pStyle w:val="Normal"/>
        <w:bidi w:val="0"/>
        <w:spacing w:lineRule="auto" w:line="480" w:before="0" w:after="0"/>
        <w:ind w:firstLine="720" w:start="0" w:end="0"/>
        <w:jc w:val="start"/>
        <w:rPr>
          <w:rFonts w:ascii="Liberation Serif" w:hAnsi="Liberation Serif"/>
        </w:rPr>
      </w:pPr>
      <w:r>
        <w:rPr>
          <w:sz w:val="24"/>
          <w:szCs w:val="24"/>
        </w:rPr>
        <w:t xml:space="preserve">The </w:t>
      </w:r>
      <w:commentRangeStart w:id="17"/>
      <w:r>
        <w:rPr>
          <w:sz w:val="24"/>
          <w:szCs w:val="24"/>
        </w:rPr>
        <w:t>Brazilian</w:t>
      </w:r>
      <w:r>
        <w:rPr>
          <w:sz w:val="24"/>
          <w:szCs w:val="24"/>
        </w:rPr>
      </w:r>
      <w:commentRangeEnd w:id="17"/>
      <w:r>
        <w:commentReference w:id="17"/>
      </w:r>
      <w:r>
        <w:rPr>
          <w:sz w:val="24"/>
          <w:szCs w:val="24"/>
        </w:rPr>
        <w:t xml:space="preserve"> rubber industry was quite volatile, in large part because of the inconsistent nature of the production system. Rubber in Brazil was not produced on plantations, but was gathered from wild rubber trees by contract workers. Although the exploitation of tappers by traders and barons was significant and the </w:t>
      </w:r>
      <w:r>
        <w:rPr>
          <w:sz w:val="24"/>
          <w:szCs w:val="24"/>
        </w:rPr>
        <w:t>labor productivity of wild tapping was low</w:t>
      </w:r>
      <w:r>
        <w:rPr>
          <w:sz w:val="24"/>
          <w:szCs w:val="24"/>
        </w:rPr>
        <w:t>, there were several factors that impeded the rationalization and industrialization of rubber production in Brazil. Oliver T. Coomes and Bradford L. Barham note two explanations for the relative failure of proletarianization among Brazilian rubber tappers.</w:t>
      </w:r>
      <w:r>
        <w:rPr>
          <w:rStyle w:val="FootnoteReference"/>
          <w:sz w:val="24"/>
          <w:szCs w:val="24"/>
          <w:vertAlign w:val="superscript"/>
        </w:rPr>
        <w:footnoteReference w:id="91"/>
      </w:r>
      <w:r>
        <w:rPr>
          <w:sz w:val="24"/>
          <w:szCs w:val="24"/>
        </w:rPr>
        <w:t xml:space="preserve"> The first was tapper resistance: the desire among tappers to maintain the relative autonomy of piece work and their aversion to wage-labor. Along with the traders, tappers actively resisted the development of plantations. The second explanation was “a South American leaf blight, which flourished in closed-canopy Amazonian rubber stands”</w:t>
      </w:r>
      <w:r>
        <w:rPr>
          <w:rStyle w:val="FootnoteReference"/>
          <w:sz w:val="24"/>
          <w:szCs w:val="24"/>
          <w:vertAlign w:val="superscript"/>
        </w:rPr>
        <w:footnoteReference w:id="92"/>
      </w:r>
      <w:r>
        <w:rPr>
          <w:sz w:val="24"/>
          <w:szCs w:val="24"/>
        </w:rPr>
        <w:t xml:space="preserve"> that damaged the Amazonian crop relative to rubber grown in Asia.</w:t>
      </w:r>
    </w:p>
    <w:p>
      <w:pPr>
        <w:pStyle w:val="Normal"/>
        <w:bidi w:val="0"/>
        <w:spacing w:lineRule="auto" w:line="480" w:before="0" w:after="0"/>
        <w:ind w:firstLine="720" w:start="0" w:end="0"/>
        <w:jc w:val="start"/>
        <w:rPr>
          <w:b w:val="false"/>
          <w:bCs w:val="false"/>
        </w:rPr>
      </w:pPr>
      <w:r>
        <w:rPr>
          <w:b w:val="false"/>
          <w:bCs w:val="false"/>
          <w:i w:val="false"/>
          <w:iCs w:val="false"/>
          <w:sz w:val="24"/>
          <w:szCs w:val="24"/>
          <w:shd w:fill="FFFF00" w:val="clear"/>
        </w:rPr>
        <w:t>[lacuna]</w:t>
      </w:r>
    </w:p>
    <w:p>
      <w:pPr>
        <w:pStyle w:val="Normal"/>
        <w:bidi w:val="0"/>
        <w:spacing w:lineRule="auto" w:line="480" w:before="0" w:after="0"/>
        <w:ind w:firstLine="720" w:start="0" w:end="0"/>
        <w:jc w:val="start"/>
        <w:rPr>
          <w:rFonts w:ascii="Liberation Serif" w:hAnsi="Liberation Serif"/>
        </w:rPr>
      </w:pPr>
      <w:commentRangeStart w:id="18"/>
      <w:r>
        <w:rPr>
          <w:sz w:val="24"/>
          <w:szCs w:val="24"/>
        </w:rPr>
        <w:t xml:space="preserve">The lesson of Fordlandia is not that the Brazilian Jungle was too wild to be tamed, or that its workers were somehow unready for rationalized proletarianization. Rather, the failed dynamic of peripheral/core relations within the Fordist outpost highlights what Gunder Frank called the development of underdevelopment. </w:t>
      </w:r>
      <w:r>
        <w:rPr>
          <w:sz w:val="24"/>
          <w:szCs w:val="24"/>
        </w:rPr>
      </w:r>
      <w:commentRangeEnd w:id="18"/>
      <w:r>
        <w:commentReference w:id="18"/>
      </w:r>
      <w:r>
        <w:rPr>
          <w:sz w:val="24"/>
          <w:szCs w:val="24"/>
        </w:rPr>
        <w:t>The strictures of the world-system did not allow for the generalization of production conditions in the core, but required the development of severe conditions specific to the periphery. The articulation between core-like productive relations and peripheral productive relations is of central concern to world-systems analysts, and mapping its contours in the Fordist case is the first step in my project. My ultimate goal is to situate housing policy and the social-reproduction of the labor force within this global dynamic. How do social reproductive pressures manifest at various points along the global commodity chain, and how do structures of housing respond to and influence them?</w:t>
      </w:r>
    </w:p>
    <w:p>
      <w:pPr>
        <w:pStyle w:val="Normal"/>
        <w:bidi w:val="0"/>
        <w:spacing w:lineRule="auto" w:line="480" w:before="0" w:after="0"/>
        <w:ind w:firstLine="720" w:start="0" w:end="0"/>
        <w:jc w:val="start"/>
        <w:rPr>
          <w:rFonts w:ascii="Liberation Serif" w:hAnsi="Liberation Serif"/>
        </w:rPr>
      </w:pPr>
      <w:r>
        <w:rPr>
          <w:sz w:val="24"/>
          <w:szCs w:val="24"/>
          <w:shd w:fill="FFFF00" w:val="clear"/>
        </w:rPr>
        <w:t>[lacuna]</w:t>
      </w:r>
    </w:p>
    <w:p>
      <w:pPr>
        <w:pStyle w:val="Normal"/>
        <w:bidi w:val="0"/>
        <w:spacing w:lineRule="auto" w:line="480" w:before="0" w:after="0"/>
        <w:ind w:firstLine="720" w:start="0" w:end="0"/>
        <w:jc w:val="start"/>
        <w:rPr>
          <w:rFonts w:ascii="Liberation Serif" w:hAnsi="Liberation Serif"/>
        </w:rPr>
      </w:pPr>
      <w:r>
        <w:rPr>
          <w:sz w:val="24"/>
          <w:szCs w:val="24"/>
        </w:rPr>
        <w:commentReference w:id="19"/>
      </w:r>
    </w:p>
    <w:p>
      <w:pPr>
        <w:pStyle w:val="Normal"/>
        <w:bidi w:val="0"/>
        <w:spacing w:lineRule="auto" w:line="480" w:before="0" w:after="0"/>
        <w:ind w:firstLine="720" w:start="0" w:end="0"/>
        <w:jc w:val="start"/>
        <w:rPr>
          <w:rFonts w:ascii="Liberation Serif" w:hAnsi="Liberation Serif"/>
        </w:rPr>
      </w:pPr>
      <w:r>
        <w:rPr>
          <w:sz w:val="24"/>
          <w:szCs w:val="24"/>
        </w:rPr>
        <w:t>As wild harvested rubber declined on the world stage, hampered by the South American blight in the Amazon, King Leopold’s personal finances in the Congo, and the inefficiency of production everywhere,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93"/>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94"/>
      </w:r>
    </w:p>
    <w:p>
      <w:pPr>
        <w:pStyle w:val="Normal"/>
        <w:bidi w:val="0"/>
        <w:spacing w:lineRule="auto" w:line="480" w:before="0" w:after="0"/>
        <w:ind w:firstLine="720" w:start="0" w:end="0"/>
        <w:jc w:val="start"/>
        <w:rPr>
          <w:rFonts w:ascii="Liberation Serif" w:hAnsi="Liberation Serif"/>
        </w:rPr>
      </w:pPr>
      <w:r>
        <w:rPr>
          <w:sz w:val="24"/>
          <w:szCs w:val="24"/>
        </w:rPr>
        <w:t xml:space="preserve">In practice, this policy led to significantly better working conditions than those in the Amazon and the Congo, but worse than those of auto workers in Michigan.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95"/>
      </w:r>
      <w:r>
        <w:rPr>
          <w:sz w:val="24"/>
          <w:szCs w:val="24"/>
        </w:rPr>
        <w:t xml:space="preserve"> Most of the workers, indentured or free, worked for a wage that was differentiated on type of job and the sex and race of the worker. Women generally received “between 70 and 80 percent of male laborers’ wages”</w:t>
      </w:r>
      <w:r>
        <w:rPr>
          <w:rStyle w:val="FootnoteReference"/>
          <w:sz w:val="24"/>
          <w:szCs w:val="24"/>
          <w:vertAlign w:val="superscript"/>
        </w:rPr>
        <w:footnoteReference w:id="96"/>
      </w:r>
      <w:r>
        <w:rPr>
          <w:sz w:val="24"/>
          <w:szCs w:val="24"/>
        </w:rPr>
        <w:t xml:space="preserve">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Liberation Serif" w:hAnsi="Liberation Serif"/>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97"/>
      </w:r>
      <w:r>
        <w:rPr>
          <w:sz w:val="24"/>
          <w:szCs w:val="24"/>
        </w:rPr>
        <w:t xml:space="preserve"> As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98"/>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rFonts w:ascii="Liberation Serif" w:hAnsi="Liberation Serif"/>
        </w:rPr>
      </w:pPr>
      <w:commentRangeStart w:id="20"/>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housing and labor reproduction, but provides an exciting opportunity to examine the fundamental relationship between labor and housing in capitalism as it is attenuated by geographical and political space. </w:t>
      </w:r>
      <w:commentRangeEnd w:id="20"/>
      <w:r>
        <w:commentReference w:id="20"/>
      </w:r>
      <w:r>
        <w:rPr>
          <w:sz w:val="24"/>
          <w:szCs w:val="24"/>
        </w:rPr>
      </w:r>
    </w:p>
    <w:p>
      <w:pPr>
        <w:pStyle w:val="Normal"/>
        <w:bidi w:val="0"/>
        <w:spacing w:lineRule="auto" w:line="480" w:before="0" w:after="0"/>
        <w:ind w:firstLine="720" w:start="0" w:end="0"/>
        <w:jc w:val="start"/>
        <w:rPr>
          <w:rFonts w:ascii="Liberation Serif" w:hAnsi="Liberation Serif"/>
        </w:rPr>
      </w:pPr>
      <w:r>
        <w:rPr>
          <w:sz w:val="24"/>
          <w:szCs w:val="24"/>
        </w:rPr>
        <w:t xml:space="preserve">A steady supply of laborers is a central problem for industry everywhere. The housing and social-reproductive conditions for laborers varied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Conclusion</w:t>
      </w:r>
    </w:p>
    <w:p>
      <w:pPr>
        <w:pStyle w:val="Normal"/>
        <w:bidi w:val="0"/>
        <w:spacing w:lineRule="auto" w:line="480" w:before="0" w:after="0"/>
        <w:ind w:firstLine="720" w:start="0" w:end="0"/>
        <w:jc w:val="start"/>
        <w:rPr>
          <w:rFonts w:ascii="Liberation Serif" w:hAnsi="Liberation Serif"/>
        </w:rPr>
      </w:pPr>
      <w:r>
        <w:rPr>
          <w:sz w:val="24"/>
          <w:szCs w:val="24"/>
        </w:rPr>
        <w:t>Social Reproduction Theory and World-Systems Analysis provide robust theoretical frameworks for conceptualizing the manipulation of labor and its value across racial and familial axes. Both will be helpful in diagnosing the manipulation by capital of the social relations that run through housing. However, neither uses ‘housing’ as a conceptual or analytic category, rather employing the related but distinct categories of ‘family’ and ‘the household’. To this end, the necessary empirical investigation into the housing policies and structures of Fordist Michigan and the global south will need to be paired with an analysis of how these theoretical categories are related and co-constituted.</w:t>
      </w:r>
    </w:p>
    <w:p>
      <w:pPr>
        <w:pStyle w:val="Normal"/>
        <w:bidi w:val="0"/>
        <w:spacing w:lineRule="auto" w:line="480" w:before="0" w:after="0"/>
        <w:ind w:firstLine="720" w:start="0" w:end="0"/>
        <w:jc w:val="start"/>
        <w:rPr>
          <w:rFonts w:ascii="Liberation Serif" w:hAnsi="Liberation Serif"/>
        </w:rPr>
      </w:pPr>
      <w:r>
        <w:rPr>
          <w:sz w:val="24"/>
          <w:szCs w:val="24"/>
        </w:rPr>
        <w:t xml:space="preserve">The primary question posed by this chapter is that of the articulation between capital’s need for specific types of labor, and the specific ways in which it reproduces these types. In </w:t>
      </w:r>
      <w:commentRangeStart w:id="21"/>
      <w:r>
        <w:rPr>
          <w:sz w:val="24"/>
          <w:szCs w:val="24"/>
        </w:rPr>
        <w:t>particular</w:t>
      </w:r>
      <w:r>
        <w:rPr>
          <w:sz w:val="24"/>
          <w:szCs w:val="24"/>
        </w:rPr>
      </w:r>
      <w:commentRangeEnd w:id="21"/>
      <w:r>
        <w:commentReference w:id="21"/>
      </w:r>
      <w:r>
        <w:rPr>
          <w:sz w:val="24"/>
          <w:szCs w:val="24"/>
        </w:rPr>
        <w:t>, how did global configurations of social reproduction respond to the Fordist revolution in production? Following from the insights of Marxist Feminists and social reproduction theorists, I posit that housing conditions structure the reproduction of labor, but this is not a simple position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rFonts w:ascii="Liberation Serif" w:hAnsi="Liberation Serif"/>
        </w:rPr>
      </w:pPr>
      <w:r>
        <w:rPr>
          <w:sz w:val="24"/>
          <w:szCs w:val="24"/>
        </w:rPr>
        <w:t>In the Amazon and the Congo, the reproduction of the debt relation and of the tax relation is inextricable from the reproduction of labor. The housing policy in these fields was a negative one: a policy of destroying existing housing patterns. The razing of homes by slaving expeditions in the Congo, and the “kidnapping of indigenous infants … to be raised within the families of enforcers or patrons to work the rubber fields”</w:t>
      </w:r>
      <w:r>
        <w:rPr>
          <w:rStyle w:val="FootnoteReference"/>
          <w:sz w:val="24"/>
          <w:szCs w:val="24"/>
          <w:vertAlign w:val="superscript"/>
        </w:rPr>
        <w:footnoteReference w:id="99"/>
      </w:r>
      <w:r>
        <w:rPr>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rFonts w:ascii="Liberation Serif" w:hAnsi="Liberation Serif"/>
        </w:rPr>
      </w:pPr>
      <w:r>
        <w:rPr>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rFonts w:ascii="Liberation Serif" w:hAnsi="Liberation Serif"/>
        </w:rPr>
      </w:pPr>
      <w:r>
        <w:rPr>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w:t>
      </w:r>
    </w:p>
    <w:p>
      <w:pPr>
        <w:pStyle w:val="Normal"/>
        <w:bidi w:val="0"/>
        <w:spacing w:lineRule="auto" w:line="480" w:before="0" w:after="0"/>
        <w:ind w:firstLine="720" w:start="0" w:end="0"/>
        <w:jc w:val="start"/>
        <w:rPr>
          <w:rFonts w:ascii="Liberation Serif" w:hAnsi="Liberation Serif"/>
        </w:rPr>
      </w:pPr>
      <w:r>
        <w:rPr>
          <w:sz w:val="24"/>
          <w:szCs w:val="24"/>
        </w:rPr>
        <w:t>The ways in which workers across the automotive commodity chain were housed, or the ways in which they housed themselves, are constitutive of the capitalist world-system. Aglietta was correct in identifying housing as a key element in Fordism, but he was incorrect in dismissing the relevance of the global south to Ford’s project. If Fordism can be seen as a reconfiguration of the articulation between patterns of consumption and production, then the changes that we have traced across the global south form a part of the regime of Fordism and warrant further study within this framework.</w:t>
      </w:r>
      <w:r>
        <w:br w:type="page"/>
      </w:r>
    </w:p>
    <w:p>
      <w:pPr>
        <w:pStyle w:val="Normal"/>
        <w:bidi w:val="0"/>
        <w:spacing w:lineRule="auto" w:line="480" w:before="0" w:after="0"/>
        <w:ind w:hanging="0" w:start="0" w:end="0"/>
        <w:jc w:val="start"/>
        <w:rPr>
          <w:rFonts w:ascii="Liberation Serif" w:hAnsi="Liberation Serif"/>
        </w:rPr>
      </w:pPr>
      <w:r>
        <w:rPr>
          <w:b/>
          <w:bCs/>
          <w:sz w:val="24"/>
          <w:szCs w:val="24"/>
        </w:rPr>
        <w:t>References</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Aglietta, Michel. </w:t>
      </w:r>
      <w:r>
        <w:rPr>
          <w:i/>
          <w:sz w:val="24"/>
          <w:szCs w:val="24"/>
        </w:rPr>
        <w:t>A Theory of Capitalist Regulation</w:t>
      </w:r>
      <w:r>
        <w:rPr>
          <w:sz w:val="24"/>
          <w:szCs w:val="24"/>
        </w:rPr>
        <w:t>. London: NLB, 1979.</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Amin, Samir. </w:t>
      </w:r>
      <w:r>
        <w:rPr>
          <w:i/>
          <w:sz w:val="24"/>
          <w:szCs w:val="24"/>
        </w:rPr>
        <w:t>Accumulation on a World Scale</w:t>
      </w:r>
      <w:r>
        <w:rPr>
          <w:sz w:val="24"/>
          <w:szCs w:val="24"/>
        </w:rPr>
        <w:t>. Monthly Review Press, 1974.</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Arrighi, Giovanni. </w:t>
      </w:r>
      <w:r>
        <w:rPr>
          <w:i/>
          <w:sz w:val="24"/>
          <w:szCs w:val="24"/>
        </w:rPr>
        <w:t>The Long Twentieth Century: Money, Power, and the Origins of Our Time</w:t>
      </w:r>
      <w:r>
        <w:rPr>
          <w:sz w:val="24"/>
          <w:szCs w:val="24"/>
        </w:rPr>
        <w:t>, London and New York: Verso Books, 2009.</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Bunker, Stephen G., and Paul S. Ciccantell. </w:t>
      </w:r>
      <w:r>
        <w:rPr>
          <w:i/>
          <w:sz w:val="24"/>
          <w:szCs w:val="24"/>
        </w:rPr>
        <w:t>Globalization and the Race for Resources</w:t>
      </w:r>
      <w:r>
        <w:rPr>
          <w:sz w:val="24"/>
          <w:szCs w:val="24"/>
        </w:rPr>
        <w:t>. Baltimore: Johns Hopkins University Press, 2005.</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Chandler, Alfred D. </w:t>
      </w:r>
      <w:r>
        <w:rPr>
          <w:i/>
          <w:sz w:val="24"/>
          <w:szCs w:val="24"/>
        </w:rPr>
        <w:t>The Visible Hand: The Managerial Revolution in American Business</w:t>
      </w:r>
      <w:r>
        <w:rPr>
          <w:sz w:val="24"/>
          <w:szCs w:val="24"/>
        </w:rPr>
        <w:t>. Cambridge: Harvard University Press, 1977.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Clarke, Simon. “What in the F—’s name is Fordism.” Paper presented at British Sociological Association Conference, University of Surrey, 1990.</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Clarke, Simon. “Overaccumulation, Class Struggle and the Regulation Approach.” </w:t>
      </w:r>
      <w:r>
        <w:rPr>
          <w:i/>
          <w:sz w:val="24"/>
          <w:szCs w:val="24"/>
        </w:rPr>
        <w:t xml:space="preserve"> Capital &amp; Class</w:t>
      </w:r>
      <w:r>
        <w:rPr>
          <w:sz w:val="24"/>
          <w:szCs w:val="24"/>
        </w:rPr>
        <w:t xml:space="preserve"> 12, no. 3 (1988): 59-92. </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Coates, Austin. </w:t>
      </w:r>
      <w:r>
        <w:rPr>
          <w:i/>
          <w:sz w:val="24"/>
          <w:szCs w:val="24"/>
        </w:rPr>
        <w:t>Commerce in Rubber: The First 250 Years</w:t>
      </w:r>
      <w:r>
        <w:rPr>
          <w:sz w:val="24"/>
          <w:szCs w:val="24"/>
        </w:rPr>
        <w:t>. Oxford: Oxford University Press, 1987.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Congressional Research Committee, </w:t>
      </w:r>
      <w:r>
        <w:rPr>
          <w:i/>
          <w:sz w:val="24"/>
          <w:szCs w:val="24"/>
        </w:rPr>
        <w:t xml:space="preserve">A Chronology of Housing Legislation and Selected Executive Actions, 1892 – 2003, </w:t>
      </w:r>
      <w:r>
        <w:rPr>
          <w:sz w:val="24"/>
          <w:szCs w:val="24"/>
        </w:rPr>
        <w:t>Washington: U.S. Government Publishing Office, 2004.</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Coomes, Oliver T. and Bradford L. Barham. “The Amazon Rubber Boom: Labor Control, Resistance, and Failed Plantation Development Revisited.” </w:t>
      </w:r>
      <w:r>
        <w:rPr>
          <w:i/>
          <w:sz w:val="24"/>
          <w:szCs w:val="24"/>
        </w:rPr>
        <w:t xml:space="preserve">Hispanic American Historical Review </w:t>
      </w:r>
      <w:r>
        <w:rPr>
          <w:sz w:val="24"/>
          <w:szCs w:val="24"/>
        </w:rPr>
        <w:t>74, no. 2 (1994)</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Cowdrick, “Operations of Modern Housing Corporation.” General Motors Library, 1930. Accessed Dec 7, 2021.</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Joseph, Sabrina, ed. </w:t>
      </w:r>
      <w:r>
        <w:rPr>
          <w:i/>
          <w:sz w:val="24"/>
          <w:szCs w:val="24"/>
        </w:rPr>
        <w:t>Commodity Frontiers and Global Capitalist Expansion.</w:t>
      </w:r>
      <w:r>
        <w:rPr>
          <w:sz w:val="24"/>
          <w:szCs w:val="24"/>
        </w:rPr>
        <w:t xml:space="preserve"> Palgrave MacMillan, 2019.</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Drabble, J. H. “The Plantation Rubber Industry in Malaya up to 1922.” </w:t>
      </w:r>
      <w:r>
        <w:rPr>
          <w:i/>
          <w:sz w:val="24"/>
          <w:szCs w:val="24"/>
        </w:rPr>
        <w:t xml:space="preserve">Journal of the Malaysian Branch of the Royal Asiatic Society </w:t>
      </w:r>
      <w:r>
        <w:rPr>
          <w:sz w:val="24"/>
          <w:szCs w:val="24"/>
        </w:rPr>
        <w:t>40 no. 1 (1967)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Dunbar, Willis F. </w:t>
      </w:r>
      <w:r>
        <w:rPr>
          <w:i/>
          <w:sz w:val="24"/>
          <w:szCs w:val="24"/>
        </w:rPr>
        <w:t>Michigan: A History of the Wolverine State</w:t>
      </w:r>
      <w:r>
        <w:rPr>
          <w:sz w:val="24"/>
          <w:szCs w:val="24"/>
        </w:rPr>
        <w:t>. Grand Rapids, MI: Eerdmans, 1965.</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Faue, Elizabeth. “Gender and the Reconstruction of Labor History: An Introduction,” </w:t>
      </w:r>
      <w:r>
        <w:rPr>
          <w:i/>
          <w:sz w:val="24"/>
          <w:szCs w:val="24"/>
        </w:rPr>
        <w:t>Labor History</w:t>
      </w:r>
      <w:r>
        <w:rPr>
          <w:sz w:val="24"/>
          <w:szCs w:val="24"/>
        </w:rPr>
        <w:t xml:space="preserve"> 34, no. 2-3 (1993).</w:t>
      </w:r>
    </w:p>
    <w:p>
      <w:pPr>
        <w:pStyle w:val="Normal"/>
        <w:tabs>
          <w:tab w:val="clear" w:pos="709"/>
        </w:tabs>
        <w:bidi w:val="0"/>
        <w:spacing w:lineRule="auto" w:line="240" w:before="0" w:after="200"/>
        <w:ind w:hanging="720" w:start="720" w:end="0"/>
        <w:jc w:val="start"/>
        <w:rPr>
          <w:rFonts w:ascii="Liberation Serif" w:hAnsi="Liberation Serif"/>
        </w:rPr>
      </w:pPr>
      <w:bookmarkStart w:id="4" w:name="_3dy6vkm1"/>
      <w:bookmarkEnd w:id="4"/>
      <w:r>
        <w:rPr>
          <w:sz w:val="24"/>
          <w:szCs w:val="24"/>
        </w:rPr>
        <w:t xml:space="preserve">Federici, Sylvia. </w:t>
      </w:r>
      <w:r>
        <w:rPr>
          <w:i/>
          <w:sz w:val="24"/>
          <w:szCs w:val="24"/>
        </w:rPr>
        <w:t>Patriarchy of the wage: Notes on Marx, Gender, and Feminism</w:t>
      </w:r>
      <w:r>
        <w:rPr>
          <w:sz w:val="24"/>
          <w:szCs w:val="24"/>
        </w:rPr>
        <w:t>. Oakland: PM Press, 2021.</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Bhattacharya, Tithi, ed. </w:t>
      </w:r>
      <w:r>
        <w:rPr>
          <w:i/>
          <w:sz w:val="24"/>
          <w:szCs w:val="24"/>
        </w:rPr>
        <w:t xml:space="preserve">Social Reproduction Theory: Remapping Class, Recentering Oppression. </w:t>
      </w:r>
      <w:r>
        <w:rPr>
          <w:sz w:val="24"/>
          <w:szCs w:val="24"/>
        </w:rPr>
        <w:t>London: Pluto Press, 2017.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Stoler, Laura Ann, ed. </w:t>
      </w:r>
      <w:r>
        <w:rPr>
          <w:i/>
          <w:sz w:val="24"/>
          <w:szCs w:val="24"/>
        </w:rPr>
        <w:t>Imperial Debri.</w:t>
      </w:r>
      <w:r>
        <w:rPr>
          <w:sz w:val="24"/>
          <w:szCs w:val="24"/>
        </w:rPr>
        <w:t xml:space="preserve"> Durham: Duke University Press, 2013. </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Frank, Andre Gunder. “The Development of Underdevelopment.” </w:t>
      </w:r>
      <w:r>
        <w:rPr>
          <w:i/>
          <w:sz w:val="24"/>
          <w:szCs w:val="24"/>
        </w:rPr>
        <w:t>Monthly Review</w:t>
      </w:r>
      <w:r>
        <w:rPr>
          <w:sz w:val="24"/>
          <w:szCs w:val="24"/>
        </w:rPr>
        <w:t xml:space="preserve"> 18, no. 4: 1966. 17-31.</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Hopkins, Terence K., and Immanuel Wallerstein, “Patterns of Development of the Modern World-System,” </w:t>
      </w:r>
      <w:r>
        <w:rPr>
          <w:i/>
          <w:sz w:val="24"/>
          <w:szCs w:val="24"/>
        </w:rPr>
        <w:t>Review</w:t>
      </w:r>
      <w:r>
        <w:rPr>
          <w:sz w:val="24"/>
          <w:szCs w:val="24"/>
        </w:rPr>
        <w:t xml:space="preserve"> 1, no 2: 1977.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Lichtenstein, Nelson and Stephen Meyer III, eds. </w:t>
      </w:r>
      <w:r>
        <w:rPr>
          <w:i/>
          <w:sz w:val="24"/>
          <w:szCs w:val="24"/>
        </w:rPr>
        <w:t>On the Line: Essays in the History of Auto Work</w:t>
      </w:r>
      <w:r>
        <w:rPr>
          <w:sz w:val="24"/>
          <w:szCs w:val="24"/>
        </w:rPr>
        <w:t>. Chicago: University of Illinois Press, 1989.</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Krueger, Thomas,“American Labor Historiography, Old and New,” </w:t>
      </w:r>
      <w:r>
        <w:rPr>
          <w:i/>
          <w:sz w:val="24"/>
          <w:szCs w:val="24"/>
        </w:rPr>
        <w:t>Journal of Social History</w:t>
      </w:r>
      <w:r>
        <w:rPr>
          <w:sz w:val="24"/>
          <w:szCs w:val="24"/>
        </w:rPr>
        <w:t xml:space="preserve"> 4, no. 3: Spring 1971.</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Lipietz, Alain. “Towards Global Fordism?” </w:t>
      </w:r>
      <w:r>
        <w:rPr>
          <w:i/>
          <w:sz w:val="24"/>
          <w:szCs w:val="24"/>
        </w:rPr>
        <w:t>New Left Review</w:t>
      </w:r>
      <w:r>
        <w:rPr>
          <w:sz w:val="24"/>
          <w:szCs w:val="24"/>
        </w:rPr>
        <w:t xml:space="preserve"> I, no. 132: 1982. 33-47.</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Meyer III, Stephen. </w:t>
      </w:r>
      <w:r>
        <w:rPr>
          <w:i/>
          <w:sz w:val="24"/>
          <w:szCs w:val="24"/>
        </w:rPr>
        <w:t xml:space="preserve">The Five Dollar Day: Labor Management and Social Control in the Ford Motor Company, 1908 – 1921. </w:t>
      </w:r>
      <w:r>
        <w:rPr>
          <w:sz w:val="24"/>
          <w:szCs w:val="24"/>
        </w:rPr>
        <w:t>Albany: State University of New York Press, 1981.</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Mies, Maria. </w:t>
      </w:r>
      <w:r>
        <w:rPr>
          <w:i/>
          <w:sz w:val="24"/>
          <w:szCs w:val="24"/>
        </w:rPr>
        <w:t xml:space="preserve">Patriarchy and Accumulation on a World Scale. </w:t>
      </w:r>
      <w:r>
        <w:rPr>
          <w:sz w:val="24"/>
          <w:szCs w:val="24"/>
        </w:rPr>
        <w:t>London: Zed Books, 1986.</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Nightingale, Carl H. </w:t>
      </w:r>
      <w:r>
        <w:rPr>
          <w:i/>
          <w:sz w:val="24"/>
          <w:szCs w:val="24"/>
        </w:rPr>
        <w:t>Segregation: A Global History of Divided Cities</w:t>
      </w:r>
      <w:r>
        <w:rPr>
          <w:sz w:val="24"/>
          <w:szCs w:val="24"/>
        </w:rPr>
        <w:t>. Chicago: University of Chicago Press, 2012.</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Payne, Corey R., Roberto Patricio Korzeniewicz, and Beverly J. Silver, eds. </w:t>
      </w:r>
      <w:r>
        <w:rPr>
          <w:i/>
          <w:sz w:val="24"/>
          <w:szCs w:val="24"/>
        </w:rPr>
        <w:t>World-Systems Analysis at a Critical Juncture</w:t>
      </w:r>
      <w:r>
        <w:rPr>
          <w:sz w:val="24"/>
          <w:szCs w:val="24"/>
        </w:rPr>
        <w:t>. New York: Routledge, 2023.</w:t>
      </w:r>
    </w:p>
    <w:p>
      <w:pPr>
        <w:pStyle w:val="Normal"/>
        <w:tabs>
          <w:tab w:val="clear" w:pos="709"/>
        </w:tabs>
        <w:bidi w:val="0"/>
        <w:spacing w:lineRule="auto" w:line="240" w:before="0" w:after="200"/>
        <w:ind w:hanging="720" w:start="720" w:end="0"/>
        <w:jc w:val="start"/>
        <w:rPr>
          <w:rFonts w:ascii="Liberation Serif" w:hAnsi="Liberation Serif"/>
        </w:rPr>
      </w:pPr>
      <w:bookmarkStart w:id="5" w:name="_1t3h5sf1"/>
      <w:bookmarkEnd w:id="5"/>
      <w:r>
        <w:rPr>
          <w:sz w:val="24"/>
          <w:szCs w:val="24"/>
        </w:rPr>
        <w:t xml:space="preserve">Smith, Jones and Immanuel Wallerstein, eds. </w:t>
      </w:r>
      <w:r>
        <w:rPr>
          <w:i/>
          <w:sz w:val="24"/>
          <w:szCs w:val="24"/>
        </w:rPr>
        <w:t>Creating and Transforming Households: the constraints of the world-economy</w:t>
      </w:r>
      <w:r>
        <w:rPr>
          <w:sz w:val="24"/>
          <w:szCs w:val="24"/>
        </w:rPr>
        <w:t>. Cambridge University Press, 1992.</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US Census Bureau. </w:t>
      </w:r>
      <w:r>
        <w:rPr>
          <w:i/>
          <w:sz w:val="24"/>
          <w:szCs w:val="24"/>
        </w:rPr>
        <w:t xml:space="preserve">Michigan. </w:t>
      </w:r>
      <w:r>
        <w:rPr>
          <w:sz w:val="24"/>
          <w:szCs w:val="24"/>
        </w:rPr>
        <w:t>1920</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US Census Bureau. </w:t>
      </w:r>
      <w:r>
        <w:rPr>
          <w:i/>
          <w:sz w:val="24"/>
          <w:szCs w:val="24"/>
        </w:rPr>
        <w:t>Michigan</w:t>
      </w:r>
      <w:r>
        <w:rPr>
          <w:sz w:val="24"/>
          <w:szCs w:val="24"/>
        </w:rPr>
        <w:t>. 1930</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US Census Bureau. </w:t>
      </w:r>
      <w:r>
        <w:rPr>
          <w:i/>
          <w:sz w:val="24"/>
          <w:szCs w:val="24"/>
        </w:rPr>
        <w:t xml:space="preserve">Michigan. </w:t>
      </w:r>
      <w:r>
        <w:rPr>
          <w:sz w:val="24"/>
          <w:szCs w:val="24"/>
        </w:rPr>
        <w:t>1940</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Wallerstein, Immanuel, </w:t>
      </w:r>
      <w:r>
        <w:rPr>
          <w:i/>
          <w:sz w:val="24"/>
          <w:szCs w:val="24"/>
        </w:rPr>
        <w:t>Historical Capitalism</w:t>
      </w:r>
      <w:r>
        <w:rPr>
          <w:sz w:val="24"/>
          <w:szCs w:val="24"/>
        </w:rPr>
        <w:t>. London: Verso Editions, 1983.</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Wallerstein, Immanuel. </w:t>
      </w:r>
      <w:r>
        <w:rPr>
          <w:i/>
          <w:sz w:val="24"/>
          <w:szCs w:val="24"/>
        </w:rPr>
        <w:t>World-Systems Analysis: An Introduction</w:t>
      </w:r>
      <w:r>
        <w:rPr>
          <w:sz w:val="24"/>
          <w:szCs w:val="24"/>
        </w:rPr>
        <w:t>. Durham: Duke University Press, 2004.</w:t>
      </w:r>
    </w:p>
    <w:p>
      <w:pPr>
        <w:pStyle w:val="Normal"/>
        <w:tabs>
          <w:tab w:val="clear" w:pos="709"/>
        </w:tabs>
        <w:bidi w:val="0"/>
        <w:spacing w:lineRule="auto" w:line="240" w:before="0" w:after="200"/>
        <w:ind w:hanging="720" w:start="720" w:end="0"/>
        <w:jc w:val="start"/>
        <w:rPr>
          <w:rFonts w:ascii="Liberation Serif" w:hAnsi="Liberation Serif"/>
        </w:rPr>
      </w:pPr>
      <w:r>
        <w:rPr>
          <w:sz w:val="24"/>
          <w:szCs w:val="24"/>
        </w:rPr>
        <w:t xml:space="preserve">Watson, Daniel. “Fordism: A Review Essay.” </w:t>
      </w:r>
      <w:r>
        <w:rPr>
          <w:i/>
          <w:sz w:val="24"/>
          <w:szCs w:val="24"/>
        </w:rPr>
        <w:t>Labor History.</w:t>
      </w:r>
      <w:r>
        <w:rPr>
          <w:sz w:val="24"/>
          <w:szCs w:val="24"/>
        </w:rPr>
        <w:t xml:space="preserve"> Published Online Nov 14, 2018.</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12T14:12:45Z" w:initials="">
    <w:p>
      <w:pPr>
        <w:overflowPunct w:val="true"/>
        <w:bidi w:val="0"/>
        <w:rPr/>
      </w:pPr>
      <w:r>
        <w:rPr>
          <w:rFonts w:eastAsia="DejaVu Sans" w:cs="Noto Sans Arabic"/>
          <w:kern w:val="0"/>
          <w:lang w:val="en-US" w:eastAsia="en-US" w:bidi="en-US"/>
        </w:rPr>
        <w:t>cite</w:t>
      </w:r>
    </w:p>
  </w:comment>
  <w:comment w:id="1" w:author="Unknown Author" w:date="2026-05-11T11:40:30Z" w:initials="">
    <w:p>
      <w:pPr>
        <w:overflowPunct w:val="true"/>
        <w:bidi w:val="0"/>
        <w:spacing w:lineRule="auto" w:line="240"/>
        <w:rPr/>
      </w:pPr>
      <w:r>
        <w:rPr>
          <w:rFonts w:ascii="Liberation Serif" w:hAnsi="Liberation Serif" w:eastAsia="DejaVu Sans" w:cs="Noto Sans Arabic"/>
          <w:kern w:val="0"/>
          <w:sz w:val="24"/>
          <w:szCs w:val="24"/>
          <w:lang w:val="en-US" w:eastAsia="en-US" w:bidi="en-US"/>
        </w:rPr>
        <w:t>consumption</w:t>
      </w:r>
    </w:p>
  </w:comment>
  <w:comment w:id="2" w:author="Unknown Author" w:date="2026-05-12T14:25:33Z" w:initials="">
    <w:p>
      <w:pPr>
        <w:overflowPunct w:val="true"/>
        <w:bidi w:val="0"/>
        <w:rPr/>
      </w:pPr>
      <w:r>
        <w:rPr>
          <w:rFonts w:eastAsia="DejaVu Sans" w:cs="Noto Sans Arabic"/>
          <w:kern w:val="0"/>
          <w:lang w:val="en-US" w:eastAsia="en-US" w:bidi="en-US"/>
        </w:rPr>
        <w:t>I keep bouncing back and forth between local and global and local and global. Pick a lane!</w:t>
      </w:r>
    </w:p>
  </w:comment>
  <w:comment w:id="4" w:author="Kenyon Cavender" w:date="2023-10-23T17:01:49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this section is effectively the lit review that needs to be complicated by global questions, and by housing</w:t>
      </w:r>
    </w:p>
  </w:comment>
  <w:comment w:id="3" w:author="Kenyon Cavender" w:date="2023-10-23T17:04:36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what of the state?</w:t>
      </w:r>
    </w:p>
  </w:comment>
  <w:comment w:id="5" w:author="Unknown Author" w:date="2025-06-15T21:42:06Z" w:initials="">
    <w:p>
      <w:pPr>
        <w:overflowPunct w:val="true"/>
        <w:bidi w:val="0"/>
        <w:spacing w:lineRule="auto" w:line="240"/>
        <w:rPr/>
      </w:pPr>
      <w:r>
        <w:rPr>
          <w:rFonts w:ascii="Liberation Serif" w:hAnsi="Liberation Serif" w:eastAsia="DejaVu Sans" w:cs="Noto Sans Arabic"/>
          <w:kern w:val="0"/>
          <w:sz w:val="24"/>
          <w:szCs w:val="24"/>
          <w:lang w:val="en-US" w:eastAsia="en-US" w:bidi="en-US"/>
        </w:rPr>
        <w:t>Elaborate here</w:t>
      </w:r>
    </w:p>
  </w:comment>
  <w:comment w:id="6" w:author="Unknown Author" w:date="2026-05-13T11:11:43Z" w:initials="">
    <w:p>
      <w:pPr>
        <w:overflowPunct w:val="false"/>
        <w:rPr/>
      </w:pPr>
      <w:r>
        <w:rPr>
          <w:rFonts w:eastAsia="DejaVu Sans" w:cs="Noto Sans Arabic"/>
          <w:kern w:val="0"/>
          <w:lang w:val="en-US" w:eastAsia="en-US" w:bidi="en-US"/>
        </w:rPr>
        <w:t>Unbelievably bad sentence. Not even really a stentence.</w:t>
      </w:r>
    </w:p>
  </w:comment>
  <w:comment w:id="7" w:author="Unknown Author" w:date="2025-06-15T21:47:07Z" w:initials="">
    <w:p>
      <w:pPr>
        <w:overflowPunct w:val="true"/>
        <w:bidi w:val="0"/>
        <w:spacing w:lineRule="auto" w:line="240"/>
        <w:rPr/>
      </w:pPr>
      <w:r>
        <w:rPr>
          <w:rFonts w:ascii="Liberation Serif" w:hAnsi="Liberation Serif" w:eastAsia="DejaVu Sans" w:cs="Noto Sans Arabic"/>
          <w:kern w:val="0"/>
          <w:sz w:val="24"/>
          <w:szCs w:val="24"/>
          <w:lang w:val="en-US" w:eastAsia="en-US" w:bidi="en-US"/>
        </w:rPr>
        <w:t>Write more of srt and wsa</w:t>
      </w:r>
    </w:p>
    <w:p>
      <w:pPr>
        <w:overflowPunct w:val="true"/>
        <w:bidi w:val="0"/>
        <w:spacing w:lineRule="auto" w:line="240"/>
        <w:rPr/>
      </w:pPr>
      <w:r>
        <w:rPr>
          <w:rFonts w:eastAsia="DejaVu Sans" w:cs="Noto Sans Arabic"/>
          <w:kern w:val="0"/>
          <w:lang w:val="en-US" w:eastAsia="en-US" w:bidi="en-US"/>
        </w:rPr>
      </w:r>
    </w:p>
  </w:comment>
  <w:comment w:id="8" w:author="Kenyon Cavender" w:date="2023-11-01T19:33:45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we need to situate fordism globally, show how it dominated the south, and make these explicit in the case of brazilian rubber</w:t>
      </w:r>
    </w:p>
  </w:comment>
  <w:comment w:id="9" w:author="Kenyon Cavender" w:date="2024-02-16T17:42:24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added something abt gunder frank</w:t>
      </w:r>
    </w:p>
  </w:comment>
  <w:comment w:id="10" w:author="Kenyon Cavender" w:date="2024-01-26T18:44:28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use this as an entry into the discussion ravi wants</w:t>
      </w:r>
    </w:p>
  </w:comment>
  <w:comment w:id="12" w:author="Kenyon Cavender" w:date="2024-01-28T15:39:12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commodity chains and the state</w:t>
      </w:r>
    </w:p>
  </w:comment>
  <w:comment w:id="13" w:author="Kenyon Cavender" w:date="2024-01-30T15:33:06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figure out how to cite this</w:t>
      </w:r>
    </w:p>
  </w:comment>
  <w:comment w:id="11" w:author="Kenyon Cavender" w:date="2024-01-30T15:35:23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added to discuss commodity chains</w:t>
      </w:r>
    </w:p>
  </w:comment>
  <w:comment w:id="14" w:author="Kenyon Cavender" w:date="2024-02-19T16:54:22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added in this draft</w:t>
      </w:r>
    </w:p>
  </w:comment>
  <w:comment w:id="15" w:author="Unknown Author" w:date="2026-05-11T11:49:25Z" w:initials="">
    <w:p>
      <w:pPr>
        <w:overflowPunct w:val="true"/>
        <w:bidi w:val="0"/>
        <w:spacing w:lineRule="auto" w:line="240"/>
        <w:rPr/>
      </w:pPr>
      <w:r>
        <w:rPr>
          <w:rFonts w:ascii="Liberation Serif" w:hAnsi="Liberation Serif" w:eastAsia="DejaVu Sans" w:cs="Noto Sans Arabic"/>
          <w:kern w:val="0"/>
          <w:sz w:val="24"/>
          <w:szCs w:val="24"/>
          <w:lang w:val="en-US" w:eastAsia="en-US" w:bidi="en-US"/>
        </w:rPr>
        <w:t>hmmmmm</w:t>
      </w:r>
    </w:p>
  </w:comment>
  <w:comment w:id="16" w:author="Kenyon Cavender" w:date="2023-12-04T19:18:36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find</w:t>
      </w:r>
    </w:p>
  </w:comment>
  <w:comment w:id="17" w:author="Kenyon Cavender" w:date="2023-11-01T19:27:43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brazil vs amazon - make this correct everywhere</w:t>
      </w:r>
    </w:p>
  </w:comment>
  <w:comment w:id="18" w:author="Unknown Author" w:date="2026-05-13T11:49:09Z" w:initials="">
    <w:p>
      <w:pPr>
        <w:overflowPunct w:val="false"/>
        <w:rPr/>
      </w:pPr>
      <w:r>
        <w:rPr>
          <w:rFonts w:eastAsia="DejaVu Sans" w:cs="Noto Sans Arabic"/>
          <w:kern w:val="0"/>
          <w:lang w:val="en-US" w:eastAsia="en-US" w:bidi="en-US"/>
        </w:rPr>
        <w:t>bad</w:t>
      </w:r>
    </w:p>
  </w:comment>
  <w:comment w:id="19" w:author="Kenyon Cavender" w:date="2024-02-21T19:22:34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added for gender in periphery</w:t>
      </w:r>
    </w:p>
  </w:comment>
  <w:comment w:id="20" w:author="Kenyon Cavender" w:date="2024-02-21T19:37:25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a little bit about migrant labor in malaya</w:t>
      </w:r>
    </w:p>
  </w:comment>
  <w:comment w:id="21" w:author="Kenyon Cavender" w:date="2023-12-04T19:45:21Z" w:initials="">
    <w:p>
      <w:pPr>
        <w:overflowPunct w:val="tru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how often do I say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6" w:name="PageNumWizard_FOOTER_Default_Page_Style3"/>
    <w:r>
      <w:rPr/>
      <w:fldChar w:fldCharType="begin"/>
    </w:r>
    <w:r>
      <w:rPr/>
      <w:instrText xml:space="preserve"> PAGE </w:instrText>
    </w:r>
    <w:r>
      <w:rPr/>
      <w:fldChar w:fldCharType="separate"/>
    </w:r>
    <w:r>
      <w:rPr/>
      <w:t>44</w:t>
    </w:r>
    <w:r>
      <w:rPr/>
      <w:fldChar w:fldCharType="end"/>
    </w:r>
    <w:bookmarkEnd w:id="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7" w:name="PageNumWizard_FOOTER_Default_Page_Style3"/>
    <w:r>
      <w:rPr/>
      <w:fldChar w:fldCharType="begin"/>
    </w:r>
    <w:r>
      <w:rPr/>
      <w:instrText xml:space="preserve"> PAGE </w:instrText>
    </w:r>
    <w:r>
      <w:rPr/>
      <w:fldChar w:fldCharType="separate"/>
    </w:r>
    <w:r>
      <w:rPr/>
      <w:t>44</w:t>
    </w:r>
    <w:r>
      <w:rPr/>
      <w:fldChar w:fldCharType="end"/>
    </w:r>
    <w:bookmarkEnd w:id="7"/>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highlight w:val="none"/>
          <w:shd w:fill="FFFF00" w:val="clear"/>
        </w:rPr>
      </w:pPr>
      <w:r>
        <w:rPr>
          <w:rStyle w:val="FootnoteCharacters"/>
        </w:rPr>
        <w:footnoteRef/>
      </w:r>
      <w:r>
        <w:rPr>
          <w:shd w:fill="FFFF00" w:val="clear"/>
        </w:rPr>
        <w:tab/>
        <w:t>Clarke, Simon. 1990. “What in the F—’s name is Fordism.” Paper presented at British Sociological Association Conference, University of Surrey</w:t>
      </w:r>
    </w:p>
  </w:footnote>
  <w:footnote w:id="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Watson, Daniel. 2018. “Fordism: A Review Essay.” </w:t>
      </w:r>
      <w:r>
        <w:rPr>
          <w:rFonts w:eastAsia="Times New Roman" w:cs="Times New Roman"/>
          <w:i/>
          <w:sz w:val="20"/>
          <w:szCs w:val="20"/>
        </w:rPr>
        <w:t>Labor History.</w:t>
      </w:r>
      <w:r>
        <w:rPr>
          <w:rFonts w:eastAsia="Times New Roman" w:cs="Times New Roman"/>
          <w:sz w:val="20"/>
          <w:szCs w:val="20"/>
        </w:rPr>
        <w:t xml:space="preserve"> 2</w:t>
      </w:r>
    </w:p>
  </w:footnote>
  <w:footnote w:id="4">
    <w:p>
      <w:pPr>
        <w:pStyle w:val="FootnoteText"/>
        <w:bidi w:val="0"/>
        <w:jc w:val="start"/>
        <w:rPr/>
      </w:pPr>
      <w:r>
        <w:rPr>
          <w:rStyle w:val="FootnoteCharacters"/>
        </w:rPr>
        <w:footnoteRef/>
      </w:r>
      <w:r>
        <w:rPr>
          <w:shd w:fill="FFFF00" w:val="clear"/>
        </w:rPr>
        <w:tab/>
        <w:t>Clarke, “What in the F—’s name is Fordism.”</w:t>
      </w:r>
      <w:r>
        <w:rPr/>
        <w:t xml:space="preserve"> </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Alfred D. Chandler. 1977. </w:t>
      </w:r>
      <w:r>
        <w:rPr>
          <w:rFonts w:eastAsia="Times New Roman" w:cs="Times New Roman"/>
          <w:i/>
          <w:sz w:val="20"/>
          <w:szCs w:val="20"/>
        </w:rPr>
        <w:t>The Visible Hand: The Managerial Revolution in American Business</w:t>
      </w:r>
      <w:r>
        <w:rPr>
          <w:rFonts w:eastAsia="Times New Roman" w:cs="Times New Roman"/>
          <w:sz w:val="20"/>
          <w:szCs w:val="20"/>
        </w:rPr>
        <w:t>. Cambridge: Harvard University Press.</w:t>
      </w:r>
    </w:p>
  </w:footnote>
  <w:footnote w:id="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Giovanni Arrighi. 2009. </w:t>
      </w:r>
      <w:r>
        <w:rPr>
          <w:rFonts w:eastAsia="Times New Roman" w:cs="Times New Roman"/>
          <w:i/>
          <w:sz w:val="20"/>
          <w:szCs w:val="20"/>
        </w:rPr>
        <w:t>The Long Twentieth Century: Money, Power, and the Origins of Our Time</w:t>
      </w:r>
      <w:r>
        <w:rPr>
          <w:rFonts w:eastAsia="Times New Roman" w:cs="Times New Roman"/>
          <w:sz w:val="20"/>
          <w:szCs w:val="20"/>
        </w:rPr>
        <w:t>, London and New York: Verso Books, 247.</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1977. “Patterns of Development of the Modern World-System,” </w:t>
      </w:r>
      <w:r>
        <w:rPr>
          <w:rFonts w:eastAsia="Times New Roman" w:cs="Times New Roman"/>
          <w:i/>
          <w:sz w:val="20"/>
          <w:szCs w:val="20"/>
        </w:rPr>
        <w:t>Review</w:t>
      </w:r>
      <w:r>
        <w:rPr>
          <w:rFonts w:eastAsia="Times New Roman" w:cs="Times New Roman"/>
          <w:sz w:val="20"/>
          <w:szCs w:val="20"/>
        </w:rPr>
        <w:t xml:space="preserve"> 1:2. 128.</w:t>
      </w:r>
    </w:p>
  </w:footnote>
  <w:footnote w:id="9">
    <w:p>
      <w:pPr>
        <w:pStyle w:val="FootnoteText"/>
        <w:suppressLineNumbers/>
        <w:bidi w:val="0"/>
        <w:ind w:hanging="340" w:start="340"/>
        <w:jc w:val="start"/>
        <w:rPr/>
      </w:pPr>
      <w:r>
        <w:rPr>
          <w:rStyle w:val="FootnoteCharacters"/>
        </w:rPr>
        <w:footnoteRef/>
      </w:r>
      <w:r>
        <w:rPr/>
        <w:tab/>
        <w:t>Hopkins and Wallerstein, “Patterns of Development,” 128</w:t>
      </w:r>
    </w:p>
  </w:footnote>
  <w:footnote w:id="10">
    <w:p>
      <w:pPr>
        <w:pStyle w:val="FootnoteText"/>
        <w:suppressLineNumbers/>
        <w:bidi w:val="0"/>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 </w:t>
      </w:r>
      <w:hyperlink r:id="rId1">
        <w:r>
          <w:rPr>
            <w:rStyle w:val="Hyperlink"/>
          </w:rPr>
          <w:t>https://doi.org/10.1177/089692059101800105</w:t>
        </w:r>
      </w:hyperlink>
      <w:r>
        <w:rPr/>
        <w:t>.</w:t>
      </w:r>
    </w:p>
  </w:footnote>
  <w:footnote w:id="11">
    <w:p>
      <w:pPr>
        <w:pStyle w:val="FootnoteText"/>
        <w:bidi w:val="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2">
    <w:p>
      <w:pPr>
        <w:pStyle w:val="FootnoteText"/>
        <w:suppressLineNumbers/>
        <w:bidi w:val="0"/>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13">
    <w:p>
      <w:pPr>
        <w:pStyle w:val="FootnoteText"/>
        <w:rPr/>
      </w:pPr>
      <w:r>
        <w:rPr>
          <w:rStyle w:val="FootnoteCharacters"/>
        </w:rPr>
        <w:footnoteRef/>
      </w:r>
      <w:r>
        <w:rPr/>
        <w:tab/>
        <w:t xml:space="preserve"> </w:t>
      </w:r>
      <w:r>
        <w:rPr>
          <w:shd w:fill="FFFF00" w:val="clear"/>
        </w:rPr>
        <w:t>Clarke, Simon. 1990. “What in the F—’s name is Fordism.” Paper presented at British Sociological Association Conference, University of Surrey</w:t>
      </w:r>
    </w:p>
  </w:footnote>
  <w:footnote w:id="1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Michel. 1979. </w:t>
      </w:r>
      <w:r>
        <w:rPr>
          <w:rFonts w:eastAsia="Times New Roman" w:cs="Times New Roman"/>
          <w:i/>
          <w:sz w:val="20"/>
          <w:szCs w:val="20"/>
        </w:rPr>
        <w:t>A Theory of Capitalist Regulation</w:t>
      </w:r>
      <w:r>
        <w:rPr>
          <w:rFonts w:eastAsia="Times New Roman" w:cs="Times New Roman"/>
          <w:sz w:val="20"/>
          <w:szCs w:val="20"/>
        </w:rPr>
        <w:t>. London: NLB</w:t>
      </w:r>
    </w:p>
  </w:footnote>
  <w:footnote w:id="1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1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1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2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22">
    <w:p>
      <w:pPr>
        <w:pStyle w:val="FootnoteText"/>
        <w:bidi w:val="0"/>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2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2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25">
    <w:p>
      <w:pPr>
        <w:pStyle w:val="FootnoteText"/>
        <w:suppressLineNumbers/>
        <w:bidi w:val="0"/>
        <w:ind w:hanging="340" w:start="340"/>
        <w:jc w:val="start"/>
        <w:rPr/>
      </w:pPr>
      <w:r>
        <w:rPr>
          <w:rStyle w:val="FootnoteCharacters"/>
        </w:rPr>
        <w:footnoteRef/>
      </w:r>
      <w:r>
        <w:rPr/>
        <w:tab/>
        <w:t xml:space="preserve">Chandler, </w:t>
      </w:r>
      <w:r>
        <w:rPr>
          <w:i/>
        </w:rPr>
        <w:t>The Visible Hand</w:t>
      </w:r>
      <w:r>
        <w:rPr/>
        <w:t>.</w:t>
      </w:r>
    </w:p>
  </w:footnote>
  <w:footnote w:id="26">
    <w:p>
      <w:pPr>
        <w:pStyle w:val="FootnoteText"/>
        <w:suppressLineNumbers/>
        <w:bidi w:val="0"/>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27">
    <w:p>
      <w:pPr>
        <w:pStyle w:val="FootnoteText"/>
        <w:rPr/>
      </w:pPr>
      <w:r>
        <w:rPr>
          <w:rStyle w:val="FootnoteCharacters"/>
        </w:rPr>
        <w:footnoteRef/>
      </w:r>
      <w:r>
        <w:rPr/>
        <w:tab/>
        <w:t xml:space="preserve"> </w:t>
      </w:r>
      <w:r>
        <w:rPr/>
        <w:t xml:space="preserve">Ruth Schwarz Cowen, </w:t>
      </w:r>
      <w:r>
        <w:rPr>
          <w:i/>
        </w:rPr>
        <w:t>More Work for Mother: The Ironies of Household Technology from the Open Hearth to the Microwave</w:t>
      </w:r>
      <w:r>
        <w:rPr/>
        <w:t xml:space="preserve"> (Basic Books, 1983). 71-85</w:t>
      </w:r>
    </w:p>
  </w:footnote>
  <w:footnote w:id="2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2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3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31">
    <w:p>
      <w:pPr>
        <w:pStyle w:val="FootnoteText"/>
        <w:bidi w:val="0"/>
        <w:jc w:val="start"/>
        <w:rPr/>
      </w:pPr>
      <w:r>
        <w:rPr>
          <w:rStyle w:val="FootnoteCharacters"/>
        </w:rPr>
        <w:footnoteRef/>
      </w:r>
      <w:r>
        <w:rPr/>
        <w:tab/>
        <w:t>Clarke, “Overaccumulation” 24</w:t>
      </w:r>
    </w:p>
  </w:footnote>
  <w:footnote w:id="32">
    <w:p>
      <w:pPr>
        <w:pStyle w:val="FootnoteText"/>
        <w:suppressLineNumbers/>
        <w:bidi w:val="0"/>
        <w:ind w:hanging="340" w:start="340"/>
        <w:jc w:val="start"/>
        <w:rPr/>
      </w:pPr>
      <w:r>
        <w:rPr>
          <w:rStyle w:val="FootnoteCharacters"/>
        </w:rPr>
        <w:footnoteRef/>
      </w:r>
      <w:r>
        <w:rPr/>
        <w:tab/>
        <w:t>Clarke, “Overaccumulation” 18</w:t>
      </w:r>
    </w:p>
  </w:footnote>
  <w:footnote w:id="33">
    <w:p>
      <w:pPr>
        <w:pStyle w:val="FootnoteText"/>
        <w:suppressLineNumbers/>
        <w:bidi w:val="0"/>
        <w:ind w:hanging="340" w:start="340"/>
        <w:jc w:val="start"/>
        <w:rPr/>
      </w:pPr>
      <w:r>
        <w:rPr>
          <w:rStyle w:val="FootnoteCharacters"/>
        </w:rPr>
        <w:footnoteRef/>
      </w:r>
      <w:r>
        <w:rPr/>
        <w:tab/>
        <w:t>Clarke, “Overaccumulation” 16</w:t>
      </w:r>
    </w:p>
  </w:footnote>
  <w:footnote w:id="3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3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3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Alain Lipietz. 1982. “Towards Global Fordism?” </w:t>
      </w:r>
      <w:r>
        <w:rPr>
          <w:rFonts w:eastAsia="Times New Roman" w:cs="Times New Roman"/>
          <w:i/>
          <w:sz w:val="20"/>
          <w:szCs w:val="20"/>
        </w:rPr>
        <w:t>New Left Review</w:t>
      </w:r>
      <w:r>
        <w:rPr>
          <w:rFonts w:eastAsia="Times New Roman" w:cs="Times New Roman"/>
          <w:sz w:val="20"/>
          <w:szCs w:val="20"/>
        </w:rPr>
        <w:t xml:space="preserve"> I:132. 33-47.</w:t>
      </w:r>
    </w:p>
  </w:footnote>
  <w:footnote w:id="37">
    <w:p>
      <w:pPr>
        <w:pStyle w:val="FootnoteText"/>
        <w:rPr/>
      </w:pPr>
      <w:r>
        <w:rPr>
          <w:rStyle w:val="FootnoteCharacters"/>
        </w:rPr>
        <w:footnoteRef/>
      </w:r>
      <w:r>
        <w:rPr/>
        <w:tab/>
        <w:t xml:space="preserve"> </w:t>
      </w:r>
      <w:r>
        <w:rPr/>
        <w:t>Lipietz, “Towards Global Fordism?”</w:t>
      </w:r>
      <w:r>
        <w:rPr/>
        <w:t xml:space="preserve"> 41.</w:t>
      </w:r>
    </w:p>
  </w:footnote>
  <w:footnote w:id="3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3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Nelson Lichtenstein. 1989. “Introduction,” in </w:t>
      </w:r>
      <w:r>
        <w:rPr>
          <w:rFonts w:eastAsia="Times New Roman" w:cs="Times New Roman"/>
          <w:i/>
          <w:sz w:val="20"/>
          <w:szCs w:val="20"/>
        </w:rPr>
        <w:t>On the Line: Essays in the History of Auto Work</w:t>
      </w:r>
      <w:r>
        <w:rPr>
          <w:rFonts w:eastAsia="Times New Roman" w:cs="Times New Roman"/>
          <w:sz w:val="20"/>
          <w:szCs w:val="20"/>
        </w:rPr>
        <w:t>,</w:t>
      </w:r>
      <w:r>
        <w:rPr>
          <w:rFonts w:eastAsia="Times New Roman" w:cs="Times New Roman"/>
          <w:i/>
          <w:sz w:val="20"/>
          <w:szCs w:val="20"/>
        </w:rPr>
        <w:t xml:space="preserve"> </w:t>
      </w:r>
      <w:r>
        <w:rPr>
          <w:rFonts w:eastAsia="Times New Roman" w:cs="Times New Roman"/>
          <w:sz w:val="20"/>
          <w:szCs w:val="20"/>
        </w:rPr>
        <w:t>eds. Nelson Lichtenstein and Stephen Meyer. Chicago: University of Illinois Press. 5.</w:t>
      </w:r>
    </w:p>
  </w:footnote>
  <w:footnote w:id="40">
    <w:p>
      <w:pPr>
        <w:pStyle w:val="FootnoteText"/>
        <w:suppressLineNumbers/>
        <w:bidi w:val="0"/>
        <w:ind w:hanging="340" w:start="340"/>
        <w:jc w:val="start"/>
        <w:rPr/>
      </w:pPr>
      <w:r>
        <w:rPr>
          <w:rStyle w:val="FootnoteCharacters"/>
        </w:rPr>
        <w:footnoteRef/>
      </w:r>
      <w:r>
        <w:rPr/>
        <w:tab/>
        <w:t>Lichtenstein, “Introduction,” 5.</w:t>
      </w:r>
    </w:p>
  </w:footnote>
  <w:footnote w:id="4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Thomas Klug. 1989.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w:t>
      </w:r>
      <w:r>
        <w:rPr>
          <w:rFonts w:eastAsia="Times New Roman" w:cs="Times New Roman"/>
          <w:i/>
          <w:sz w:val="20"/>
          <w:szCs w:val="20"/>
        </w:rPr>
        <w:t xml:space="preserve"> </w:t>
      </w:r>
      <w:r>
        <w:rPr>
          <w:rFonts w:eastAsia="Times New Roman" w:cs="Times New Roman"/>
          <w:sz w:val="20"/>
          <w:szCs w:val="20"/>
        </w:rPr>
        <w:t>eds. Nelson Lichtenstein and Stephen Meyer. Chicago: University of Illinois Press.</w:t>
      </w:r>
      <w:r>
        <w:rPr>
          <w:rFonts w:eastAsia="Times New Roman" w:cs="Times New Roman"/>
          <w:i/>
          <w:sz w:val="20"/>
          <w:szCs w:val="20"/>
        </w:rPr>
        <w:t xml:space="preserve"> </w:t>
      </w:r>
      <w:r>
        <w:rPr>
          <w:rFonts w:eastAsia="Times New Roman" w:cs="Times New Roman"/>
          <w:sz w:val="20"/>
          <w:szCs w:val="20"/>
        </w:rPr>
        <w:t>44.</w:t>
      </w:r>
    </w:p>
  </w:footnote>
  <w:footnote w:id="42">
    <w:p>
      <w:pPr>
        <w:pStyle w:val="FootnoteText"/>
        <w:suppressLineNumbers/>
        <w:bidi w:val="0"/>
        <w:ind w:hanging="340" w:start="340"/>
        <w:jc w:val="start"/>
        <w:rPr/>
      </w:pPr>
      <w:r>
        <w:rPr>
          <w:rStyle w:val="FootnoteCharacters"/>
        </w:rPr>
        <w:footnoteRef/>
      </w:r>
      <w:r>
        <w:rPr>
          <w:rFonts w:eastAsia="Times New Roman" w:cs="Times New Roman" w:ascii="Times New Roman" w:hAnsi="Times New Roman"/>
          <w:sz w:val="20"/>
          <w:szCs w:val="20"/>
        </w:rPr>
        <w:tab/>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43">
    <w:p>
      <w:pPr>
        <w:pStyle w:val="FootnoteText"/>
        <w:suppressLineNumbers/>
        <w:bidi w:val="0"/>
        <w:ind w:hanging="340" w:start="340"/>
        <w:jc w:val="start"/>
        <w:rPr/>
      </w:pPr>
      <w:r>
        <w:rPr>
          <w:rStyle w:val="FootnoteCharacters"/>
        </w:rPr>
        <w:footnoteRef/>
      </w:r>
      <w:r>
        <w:rPr/>
        <w:tab/>
        <w:t>Klug, “Employers’ Strategies,” 48.</w:t>
      </w:r>
    </w:p>
  </w:footnote>
  <w:footnote w:id="44">
    <w:p>
      <w:pPr>
        <w:pStyle w:val="FootnoteText"/>
        <w:suppressLineNumbers/>
        <w:bidi w:val="0"/>
        <w:ind w:hanging="340" w:start="340"/>
        <w:jc w:val="start"/>
        <w:rPr/>
      </w:pPr>
      <w:r>
        <w:rPr>
          <w:rStyle w:val="FootnoteCharacters"/>
        </w:rPr>
        <w:footnoteRef/>
      </w:r>
      <w:r>
        <w:rPr/>
        <w:tab/>
        <w:t>Klug, “Employers’ Strategies,” 49.</w:t>
      </w:r>
    </w:p>
  </w:footnote>
  <w:footnote w:id="4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Dunbar, </w:t>
      </w:r>
      <w:r>
        <w:rPr>
          <w:rFonts w:eastAsia="Times New Roman" w:cs="Times New Roman"/>
          <w:i/>
          <w:sz w:val="20"/>
          <w:szCs w:val="20"/>
        </w:rPr>
        <w:t>Michigan: A History of the Wolverine State</w:t>
      </w:r>
      <w:r>
        <w:rPr>
          <w:rFonts w:eastAsia="Times New Roman" w:cs="Times New Roman"/>
          <w:sz w:val="20"/>
          <w:szCs w:val="20"/>
        </w:rPr>
        <w:t>, 552.</w:t>
      </w:r>
    </w:p>
  </w:footnote>
  <w:footnote w:id="4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Krueger. 1971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4:3. 281-2</w:t>
      </w:r>
    </w:p>
  </w:footnote>
  <w:footnote w:id="47">
    <w:p>
      <w:pPr>
        <w:pStyle w:val="FootnoteText"/>
        <w:suppressLineNumbers/>
        <w:bidi w:val="0"/>
        <w:ind w:hanging="340" w:start="340"/>
        <w:jc w:val="start"/>
        <w:rPr/>
      </w:pPr>
      <w:r>
        <w:rPr>
          <w:rStyle w:val="FootnoteCharacters"/>
        </w:rPr>
        <w:footnoteRef/>
      </w:r>
      <w:r>
        <w:rPr/>
        <w:tab/>
        <w:t>Krueger, “American Labor,” 283.</w:t>
      </w:r>
    </w:p>
  </w:footnote>
  <w:footnote w:id="48">
    <w:p>
      <w:pPr>
        <w:pStyle w:val="FootnoteText"/>
        <w:suppressLineNumbers/>
        <w:bidi w:val="0"/>
        <w:ind w:hanging="340" w:start="340"/>
        <w:jc w:val="start"/>
        <w:rPr/>
      </w:pPr>
      <w:r>
        <w:rPr>
          <w:rStyle w:val="FootnoteCharacters"/>
        </w:rPr>
        <w:footnoteRef/>
      </w:r>
      <w:r>
        <w:rPr/>
        <w:tab/>
        <w:t>Krueger, “American Labor,” 284.</w:t>
      </w:r>
    </w:p>
  </w:footnote>
  <w:footnote w:id="49">
    <w:p>
      <w:pPr>
        <w:pStyle w:val="FootnoteText"/>
        <w:bidi w:val="0"/>
        <w:jc w:val="start"/>
        <w:rPr>
          <w:rFonts w:ascii="Liberation Serif" w:hAnsi="Liberation Serif"/>
        </w:rPr>
      </w:pPr>
      <w:r>
        <w:rPr>
          <w:rStyle w:val="FootnoteCharacters"/>
        </w:rPr>
        <w:footnoteRef/>
      </w:r>
      <w:bookmarkStart w:id="8" w:name="_3dy6vkm_Copy_1_Copy_1_Copy_1"/>
      <w:bookmarkEnd w:id="8"/>
      <w:r>
        <w:rPr>
          <w:rFonts w:eastAsia="Times New Roman" w:cs="Times New Roman"/>
          <w:sz w:val="20"/>
          <w:szCs w:val="20"/>
        </w:rPr>
        <w:tab/>
        <w:t xml:space="preserve">Silvia Federici, 2021. </w:t>
      </w:r>
      <w:r>
        <w:rPr>
          <w:rFonts w:eastAsia="Times New Roman" w:cs="Times New Roman"/>
          <w:i/>
          <w:sz w:val="20"/>
          <w:szCs w:val="20"/>
        </w:rPr>
        <w:t>Patriarchy of the wage: Notes on Marx, Gender, and Feminism</w:t>
      </w:r>
      <w:r>
        <w:rPr>
          <w:rFonts w:eastAsia="Times New Roman" w:cs="Times New Roman"/>
          <w:sz w:val="20"/>
          <w:szCs w:val="20"/>
        </w:rPr>
        <w:t>. Oakland: PM Press, 2021. 11-12.</w:t>
      </w:r>
    </w:p>
  </w:footnote>
  <w:footnote w:id="5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Elizabeth Faue. 1993.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34:2-3. 171.</w:t>
      </w:r>
    </w:p>
  </w:footnote>
  <w:footnote w:id="5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Immanuel Wallerstein. 1983. </w:t>
      </w:r>
      <w:r>
        <w:rPr>
          <w:rFonts w:eastAsia="Times New Roman" w:cs="Times New Roman"/>
          <w:i/>
          <w:sz w:val="20"/>
          <w:szCs w:val="20"/>
        </w:rPr>
        <w:t>Historical Capitalism</w:t>
      </w:r>
      <w:r>
        <w:rPr>
          <w:rFonts w:eastAsia="Times New Roman" w:cs="Times New Roman"/>
          <w:sz w:val="20"/>
          <w:szCs w:val="20"/>
        </w:rPr>
        <w:t>. London: Verso Editions. 23.</w:t>
      </w:r>
    </w:p>
  </w:footnote>
  <w:footnote w:id="5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Nancy Fraser. 2017. “Crisis of Care? On the Social-Reproductive Contradictions of Contemporary Capitalism” in </w:t>
      </w:r>
      <w:r>
        <w:rPr>
          <w:rFonts w:eastAsia="Times New Roman" w:cs="Times New Roman"/>
          <w:i/>
          <w:sz w:val="20"/>
          <w:szCs w:val="20"/>
        </w:rPr>
        <w:t xml:space="preserve">Social Reproduction Theory: Remapping Class, Recentering Oppression. </w:t>
      </w:r>
      <w:r>
        <w:rPr>
          <w:rFonts w:eastAsia="Times New Roman" w:cs="Times New Roman"/>
          <w:sz w:val="20"/>
          <w:szCs w:val="20"/>
        </w:rPr>
        <w:t>ed. Tithi Bhattacharya. London: Pluto Press. 23.</w:t>
      </w:r>
    </w:p>
  </w:footnote>
  <w:footnote w:id="53">
    <w:p>
      <w:pPr>
        <w:pStyle w:val="FootnoteText"/>
        <w:bidi w:val="0"/>
        <w:jc w:val="start"/>
        <w:rPr>
          <w:rFonts w:ascii="Liberation Serif" w:hAnsi="Liberation Serif"/>
        </w:rPr>
      </w:pPr>
      <w:r>
        <w:rPr>
          <w:rStyle w:val="FootnoteCharacters"/>
        </w:rPr>
        <w:footnoteRef/>
      </w:r>
      <w:bookmarkStart w:id="9" w:name="_1t3h5sf_Copy_1_Copy_1_Copy_1"/>
      <w:bookmarkEnd w:id="9"/>
      <w:r>
        <w:rPr>
          <w:rFonts w:eastAsia="Times New Roman" w:cs="Times New Roman"/>
          <w:sz w:val="20"/>
          <w:szCs w:val="20"/>
        </w:rPr>
        <w:tab/>
        <w:t xml:space="preserve">Kathleen Stanley and Joan Smith. 1992.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eds. Joan Smith and Immanuel Wallerstein. Cambridge University Press. 36.</w:t>
      </w:r>
    </w:p>
  </w:footnote>
  <w:footnote w:id="54">
    <w:p>
      <w:pPr>
        <w:pStyle w:val="FootnoteText"/>
        <w:suppressLineNumbers/>
        <w:bidi w:val="0"/>
        <w:ind w:hanging="340" w:start="340"/>
        <w:jc w:val="start"/>
        <w:rPr/>
      </w:pPr>
      <w:r>
        <w:rPr>
          <w:rStyle w:val="FootnoteCharacters"/>
        </w:rPr>
        <w:footnoteRef/>
      </w:r>
      <w:r>
        <w:rPr/>
        <w:tab/>
        <w:t>Stanley and Smith, “The Detroit Story,” 37.</w:t>
      </w:r>
    </w:p>
  </w:footnote>
  <w:footnote w:id="55">
    <w:p>
      <w:pPr>
        <w:pStyle w:val="FootnoteText"/>
        <w:suppressLineNumbers/>
        <w:bidi w:val="0"/>
        <w:ind w:hanging="340" w:start="340"/>
        <w:jc w:val="start"/>
        <w:rPr/>
      </w:pPr>
      <w:r>
        <w:rPr>
          <w:rStyle w:val="FootnoteCharacters"/>
        </w:rPr>
        <w:footnoteRef/>
      </w:r>
      <w:r>
        <w:rPr/>
        <w:tab/>
        <w:t>Stanley and Smith, “The Detroit Story,” 38.</w:t>
      </w:r>
    </w:p>
  </w:footnote>
  <w:footnote w:id="56">
    <w:p>
      <w:pPr>
        <w:pStyle w:val="FootnoteText"/>
        <w:suppressLineNumbers/>
        <w:bidi w:val="0"/>
        <w:ind w:hanging="340" w:start="340"/>
        <w:jc w:val="start"/>
        <w:rPr/>
      </w:pPr>
      <w:r>
        <w:rPr>
          <w:rStyle w:val="FootnoteCharacters"/>
        </w:rPr>
        <w:footnoteRef/>
      </w:r>
      <w:r>
        <w:rPr/>
        <w:tab/>
        <w:t>Stanley and Smith, “The Detroit Story,” 39.</w:t>
      </w:r>
    </w:p>
  </w:footnote>
  <w:footnote w:id="57">
    <w:p>
      <w:pPr>
        <w:pStyle w:val="FootnoteText"/>
        <w:suppressLineNumbers/>
        <w:bidi w:val="0"/>
        <w:ind w:hanging="340" w:start="340"/>
        <w:jc w:val="start"/>
        <w:rPr/>
      </w:pPr>
      <w:r>
        <w:rPr>
          <w:rStyle w:val="FootnoteCharacters"/>
        </w:rPr>
        <w:footnoteRef/>
      </w:r>
      <w:r>
        <w:rPr/>
        <w:tab/>
        <w:t>Stanley and Smith, “The Detroit Story,” 38.</w:t>
      </w:r>
    </w:p>
  </w:footnote>
  <w:footnote w:id="58">
    <w:p>
      <w:pPr>
        <w:pStyle w:val="FootnoteText"/>
        <w:suppressLineNumbers/>
        <w:bidi w:val="0"/>
        <w:ind w:hanging="340" w:start="340"/>
        <w:jc w:val="start"/>
        <w:rPr/>
      </w:pPr>
      <w:r>
        <w:rPr>
          <w:rStyle w:val="FootnoteCharacters"/>
        </w:rPr>
        <w:footnoteRef/>
      </w:r>
      <w:r>
        <w:rPr/>
        <w:tab/>
        <w:t>Stanley and Smith, “The Detroit Story,” 34.</w:t>
      </w:r>
    </w:p>
  </w:footnote>
  <w:footnote w:id="5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6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6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Wallerstein, Immanuel. 2004. </w:t>
      </w:r>
      <w:r>
        <w:rPr>
          <w:rFonts w:eastAsia="Times New Roman" w:cs="Times New Roman"/>
          <w:i/>
          <w:sz w:val="20"/>
          <w:szCs w:val="20"/>
        </w:rPr>
        <w:t>World-Systems Analysis: An Introduction</w:t>
      </w:r>
      <w:r>
        <w:rPr>
          <w:rFonts w:eastAsia="Times New Roman" w:cs="Times New Roman"/>
          <w:sz w:val="20"/>
          <w:szCs w:val="20"/>
        </w:rPr>
        <w:t>. Durham: Duke University Press. 60</w:t>
      </w:r>
    </w:p>
  </w:footnote>
  <w:footnote w:id="6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Andre Gunder Frank. 1966. “The Development of Underdevelopment.” </w:t>
      </w:r>
      <w:r>
        <w:rPr>
          <w:rFonts w:eastAsia="Times New Roman" w:cs="Times New Roman"/>
          <w:i/>
          <w:sz w:val="20"/>
          <w:szCs w:val="20"/>
        </w:rPr>
        <w:t>Monthly Review</w:t>
      </w:r>
      <w:r>
        <w:rPr>
          <w:rFonts w:eastAsia="Times New Roman" w:cs="Times New Roman"/>
          <w:sz w:val="20"/>
          <w:szCs w:val="20"/>
        </w:rPr>
        <w:t>. 18:4. 17-31.</w:t>
      </w:r>
    </w:p>
  </w:footnote>
  <w:footnote w:id="63">
    <w:p>
      <w:pPr>
        <w:pStyle w:val="FootnoteText"/>
        <w:suppressLineNumbers/>
        <w:bidi w:val="0"/>
        <w:ind w:hanging="340" w:start="340"/>
        <w:jc w:val="start"/>
        <w:rPr/>
      </w:pPr>
      <w:r>
        <w:rPr>
          <w:rStyle w:val="FootnoteCharacters"/>
        </w:rPr>
        <w:footnoteRef/>
      </w:r>
      <w:r>
        <w:rPr/>
        <w:tab/>
        <w:t>Frank. “The Development of Underdevelopment.” 21.</w:t>
      </w:r>
    </w:p>
  </w:footnote>
  <w:footnote w:id="6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Samir. 1971. </w:t>
      </w:r>
      <w:r>
        <w:rPr>
          <w:rFonts w:eastAsia="Times New Roman" w:cs="Times New Roman"/>
          <w:i/>
          <w:sz w:val="20"/>
          <w:szCs w:val="20"/>
        </w:rPr>
        <w:t>Accumulation on a World Scale</w:t>
      </w:r>
      <w:r>
        <w:rPr>
          <w:rFonts w:eastAsia="Times New Roman" w:cs="Times New Roman"/>
          <w:sz w:val="20"/>
          <w:szCs w:val="20"/>
        </w:rPr>
        <w:t>. Monthly Review Press. 13</w:t>
      </w:r>
    </w:p>
  </w:footnote>
  <w:footnote w:id="6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6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6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6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69">
    <w:p>
      <w:pPr>
        <w:pStyle w:val="FootnoteText"/>
        <w:suppressLineNumbers/>
        <w:bidi w:val="0"/>
        <w:ind w:hanging="340" w:start="340"/>
        <w:jc w:val="start"/>
        <w:rPr/>
      </w:pPr>
      <w:r>
        <w:rPr>
          <w:rStyle w:val="FootnoteCharacters"/>
        </w:rPr>
        <w:footnoteRef/>
      </w:r>
      <w:r>
        <w:rPr/>
        <w:tab/>
        <w:t>Hopkins, Wallerstein, 1977, 112</w:t>
      </w:r>
    </w:p>
  </w:footnote>
  <w:footnote w:id="7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Stephen G., and Paul S. Ciccantell. 2005. </w:t>
      </w:r>
      <w:r>
        <w:rPr>
          <w:rFonts w:eastAsia="Times New Roman" w:cs="Times New Roman"/>
          <w:i/>
          <w:sz w:val="20"/>
          <w:szCs w:val="20"/>
        </w:rPr>
        <w:t>Globalization and the Race for Resources</w:t>
      </w:r>
      <w:r>
        <w:rPr>
          <w:rFonts w:eastAsia="Times New Roman" w:cs="Times New Roman"/>
          <w:sz w:val="20"/>
          <w:szCs w:val="20"/>
        </w:rPr>
        <w:t>. Baltimore: Johns Hopkins University Press. 19</w:t>
      </w:r>
    </w:p>
  </w:footnote>
  <w:footnote w:id="7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Smith, David A., Paul S. Ciccantell, and Elizabeth A. Sowers. 2023.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eds. Corey R. Payne, Roberto Patricio Korzeniewicz, and Beverly J. Silver, New York: Routledge. 62</w:t>
      </w:r>
    </w:p>
  </w:footnote>
  <w:footnote w:id="72">
    <w:p>
      <w:pPr>
        <w:pStyle w:val="FootnoteText"/>
        <w:bidi w:val="0"/>
        <w:jc w:val="start"/>
        <w:rPr>
          <w:rFonts w:ascii="Liberation Serif" w:hAnsi="Liberation Serif"/>
        </w:rPr>
      </w:pPr>
      <w:r>
        <w:rPr>
          <w:rStyle w:val="FootnoteCharacters"/>
        </w:rPr>
        <w:footnoteRef/>
      </w:r>
      <w:r>
        <w:rPr/>
        <w:tab/>
        <w:t>Smith et al, “Reconstructing Commodity Chain Analysis,” 62</w:t>
      </w:r>
    </w:p>
  </w:footnote>
  <w:footnote w:id="7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Grandin, Greg. 2013. “Empire’s Ruins: Detroit to the Amazon.” in </w:t>
      </w:r>
      <w:r>
        <w:rPr>
          <w:rFonts w:eastAsia="Times New Roman" w:cs="Times New Roman"/>
          <w:i/>
          <w:sz w:val="20"/>
          <w:szCs w:val="20"/>
        </w:rPr>
        <w:t>Imperial Debris</w:t>
      </w:r>
      <w:r>
        <w:rPr>
          <w:rFonts w:eastAsia="Times New Roman" w:cs="Times New Roman"/>
          <w:sz w:val="20"/>
          <w:szCs w:val="20"/>
        </w:rPr>
        <w:t>, ed. Ann Laura Stoler. Durham: Duke University Press. 118</w:t>
      </w:r>
    </w:p>
  </w:footnote>
  <w:footnote w:id="7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Austin. 1987. </w:t>
      </w:r>
      <w:r>
        <w:rPr>
          <w:rFonts w:eastAsia="Times New Roman" w:cs="Times New Roman"/>
          <w:i/>
          <w:sz w:val="20"/>
          <w:szCs w:val="20"/>
        </w:rPr>
        <w:t>Commerce in Rubber: The First 250 Years</w:t>
      </w:r>
      <w:r>
        <w:rPr>
          <w:rFonts w:eastAsia="Times New Roman" w:cs="Times New Roman"/>
          <w:sz w:val="20"/>
          <w:szCs w:val="20"/>
        </w:rPr>
        <w:t>. Oxford: Oxford University Press. 49</w:t>
      </w:r>
    </w:p>
  </w:footnote>
  <w:footnote w:id="7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7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7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7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7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162</w:t>
      </w:r>
    </w:p>
  </w:footnote>
  <w:footnote w:id="80">
    <w:p>
      <w:pPr>
        <w:pStyle w:val="FootnoteText"/>
        <w:suppressLineNumbers/>
        <w:bidi w:val="0"/>
        <w:ind w:hanging="340" w:start="340"/>
        <w:jc w:val="start"/>
        <w:rPr/>
      </w:pPr>
      <w:r>
        <w:rPr>
          <w:rStyle w:val="FootnoteCharacters"/>
        </w:rPr>
        <w:footnoteRef/>
      </w:r>
      <w:r>
        <w:rPr/>
        <w:tab/>
        <w:t>Coomes and Barham, “The Amazon Rubber Boom”. 242</w:t>
      </w:r>
    </w:p>
  </w:footnote>
  <w:footnote w:id="8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de Mello, Louise Cardoso and Sven Van Melkebeke. 2019. “From the Amazon to the Congo Valley,” in </w:t>
      </w:r>
      <w:r>
        <w:rPr>
          <w:rFonts w:eastAsia="Times New Roman" w:cs="Times New Roman"/>
          <w:i/>
          <w:sz w:val="20"/>
          <w:szCs w:val="20"/>
        </w:rPr>
        <w:t>Commodity Frontiers and Global Capitalist Expansion.</w:t>
      </w:r>
      <w:r>
        <w:rPr>
          <w:rFonts w:eastAsia="Times New Roman" w:cs="Times New Roman"/>
          <w:sz w:val="20"/>
          <w:szCs w:val="20"/>
        </w:rPr>
        <w:t xml:space="preserve"> Ed. Sabrina Joseph. Palgrave MacMillan. 148</w:t>
      </w:r>
    </w:p>
  </w:footnote>
  <w:footnote w:id="82">
    <w:p>
      <w:pPr>
        <w:pStyle w:val="FootnoteText"/>
        <w:suppressLineNumbers/>
        <w:bidi w:val="0"/>
        <w:ind w:hanging="340" w:start="340"/>
        <w:jc w:val="start"/>
        <w:rPr/>
      </w:pPr>
      <w:r>
        <w:rPr>
          <w:rStyle w:val="FootnoteCharacters"/>
        </w:rPr>
        <w:footnoteRef/>
      </w:r>
      <w:r>
        <w:rPr/>
        <w:tab/>
        <w:t>de Mello and Melkebeke, “From the Amazon to the Congo Valley,” 143</w:t>
      </w:r>
    </w:p>
  </w:footnote>
  <w:footnote w:id="83">
    <w:p>
      <w:pPr>
        <w:pStyle w:val="FootnoteText"/>
        <w:suppressLineNumbers/>
        <w:bidi w:val="0"/>
        <w:ind w:hanging="340" w:start="340"/>
        <w:jc w:val="start"/>
        <w:rPr/>
      </w:pPr>
      <w:r>
        <w:rPr>
          <w:rStyle w:val="FootnoteCharacters"/>
        </w:rPr>
        <w:footnoteRef/>
      </w:r>
      <w:r>
        <w:rPr/>
        <w:tab/>
        <w:t>de Mello and Melkebeke, “From the Amazon to the Congo Valley,” 147</w:t>
      </w:r>
    </w:p>
  </w:footnote>
  <w:footnote w:id="84">
    <w:p>
      <w:pPr>
        <w:pStyle w:val="FootnoteText"/>
        <w:suppressLineNumbers/>
        <w:bidi w:val="0"/>
        <w:ind w:hanging="340" w:start="340"/>
        <w:jc w:val="start"/>
        <w:rPr/>
      </w:pPr>
      <w:r>
        <w:rPr>
          <w:rStyle w:val="FootnoteCharacters"/>
        </w:rPr>
        <w:footnoteRef/>
      </w:r>
      <w:r>
        <w:rPr/>
        <w:tab/>
        <w:t>de Mello and Melkebeke, “From the Amazon to the Congo Valley,” 152,3</w:t>
      </w:r>
    </w:p>
  </w:footnote>
  <w:footnote w:id="85">
    <w:p>
      <w:pPr>
        <w:pStyle w:val="FootnoteText"/>
        <w:suppressLineNumbers/>
        <w:bidi w:val="0"/>
        <w:ind w:hanging="340" w:start="340"/>
        <w:jc w:val="start"/>
        <w:rPr/>
      </w:pPr>
      <w:r>
        <w:rPr>
          <w:rStyle w:val="FootnoteCharacters"/>
        </w:rPr>
        <w:footnoteRef/>
      </w:r>
      <w:r>
        <w:rPr/>
        <w:tab/>
        <w:t xml:space="preserve">de Mello and Melkebeke, “From the Amazon to the Congo Valley,” 153 </w:t>
      </w:r>
    </w:p>
  </w:footnote>
  <w:footnote w:id="8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1986. </w:t>
      </w:r>
      <w:r>
        <w:rPr>
          <w:rFonts w:eastAsia="Times New Roman" w:cs="Times New Roman"/>
          <w:i/>
          <w:sz w:val="20"/>
          <w:szCs w:val="20"/>
        </w:rPr>
        <w:t xml:space="preserve">Patriarchy and Accumulation on a World Scale. </w:t>
      </w:r>
      <w:r>
        <w:rPr>
          <w:rFonts w:eastAsia="Times New Roman" w:cs="Times New Roman"/>
          <w:sz w:val="20"/>
          <w:szCs w:val="20"/>
        </w:rPr>
        <w:t>London: Zed Books. 91</w:t>
      </w:r>
    </w:p>
  </w:footnote>
  <w:footnote w:id="8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Maria. </w:t>
      </w:r>
      <w:r>
        <w:rPr>
          <w:rFonts w:eastAsia="Times New Roman" w:cs="Times New Roman"/>
          <w:i/>
          <w:sz w:val="20"/>
          <w:szCs w:val="20"/>
        </w:rPr>
        <w:t>Patriarchy and Accumulation</w:t>
      </w:r>
      <w:r>
        <w:rPr>
          <w:rFonts w:eastAsia="Times New Roman" w:cs="Times New Roman"/>
          <w:sz w:val="20"/>
          <w:szCs w:val="20"/>
        </w:rPr>
        <w:t>. 91</w:t>
      </w:r>
    </w:p>
  </w:footnote>
  <w:footnote w:id="88">
    <w:p>
      <w:pPr>
        <w:pStyle w:val="FootnoteText"/>
        <w:suppressLineNumbers/>
        <w:bidi w:val="0"/>
        <w:ind w:hanging="340" w:start="340"/>
        <w:jc w:val="start"/>
        <w:rPr/>
      </w:pPr>
      <w:r>
        <w:rPr>
          <w:rStyle w:val="FootnoteCharacters"/>
        </w:rPr>
        <w:footnoteRef/>
      </w:r>
      <w:r>
        <w:rPr/>
        <w:tab/>
        <w:t>de Mello and Melkebeke, “From the Amazon to the Congo Valley,” 145,6</w:t>
      </w:r>
    </w:p>
  </w:footnote>
  <w:footnote w:id="89">
    <w:p>
      <w:pPr>
        <w:pStyle w:val="FootnoteText"/>
        <w:suppressLineNumbers/>
        <w:bidi w:val="0"/>
        <w:ind w:hanging="340" w:start="340"/>
        <w:jc w:val="start"/>
        <w:rPr/>
      </w:pPr>
      <w:r>
        <w:rPr>
          <w:rStyle w:val="FootnoteCharacters"/>
        </w:rPr>
        <w:footnoteRef/>
      </w:r>
      <w:r>
        <w:rPr/>
        <w:tab/>
        <w:t>de Mello and Melkebeke, “From the Amazon to the Congo Valley,” 160</w:t>
      </w:r>
    </w:p>
  </w:footnote>
  <w:footnote w:id="90">
    <w:p>
      <w:pPr>
        <w:pStyle w:val="FootnoteText"/>
        <w:suppressLineNumbers/>
        <w:bidi w:val="0"/>
        <w:ind w:hanging="340" w:start="340"/>
        <w:jc w:val="start"/>
        <w:rPr/>
      </w:pPr>
      <w:r>
        <w:rPr>
          <w:rStyle w:val="FootnoteCharacters"/>
        </w:rPr>
        <w:footnoteRef/>
      </w:r>
      <w:r>
        <w:rPr/>
        <w:tab/>
        <w:t>de Mello and Melkebeke, “From the Amazon to the Congo Valley,” 161</w:t>
      </w:r>
    </w:p>
  </w:footnote>
  <w:footnote w:id="9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Coomes, Oliver T. and Bradford L. Barham. 1994. “The Amazon Rubber Boom: Labor Control, Resistance, and Failed Plantation Development Revisited.” </w:t>
      </w:r>
      <w:r>
        <w:rPr>
          <w:rFonts w:eastAsia="Times New Roman" w:cs="Times New Roman"/>
          <w:i/>
          <w:sz w:val="20"/>
          <w:szCs w:val="20"/>
        </w:rPr>
        <w:t>Hispanic American Historical Review.</w:t>
      </w:r>
      <w:r>
        <w:rPr>
          <w:rFonts w:eastAsia="Times New Roman" w:cs="Times New Roman"/>
          <w:sz w:val="20"/>
          <w:szCs w:val="20"/>
        </w:rPr>
        <w:t xml:space="preserve"> Vol 74:2</w:t>
      </w:r>
    </w:p>
  </w:footnote>
  <w:footnote w:id="92">
    <w:p>
      <w:pPr>
        <w:pStyle w:val="FootnoteText"/>
        <w:suppressLineNumbers/>
        <w:bidi w:val="0"/>
        <w:ind w:hanging="340" w:start="340"/>
        <w:jc w:val="start"/>
        <w:rPr/>
      </w:pPr>
      <w:r>
        <w:rPr>
          <w:rStyle w:val="FootnoteCharacters"/>
        </w:rPr>
        <w:footnoteRef/>
      </w:r>
      <w:r>
        <w:rPr/>
        <w:tab/>
        <w:t>Coomes and Barham. “The Amazon Rubber Boom”</w:t>
      </w:r>
    </w:p>
  </w:footnote>
  <w:footnote w:id="9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Drabble, J. H. 1967.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Vol 40:1. 54</w:t>
      </w:r>
    </w:p>
  </w:footnote>
  <w:footnote w:id="94">
    <w:p>
      <w:pPr>
        <w:pStyle w:val="FootnoteText"/>
        <w:bidi w:val="0"/>
        <w:jc w:val="start"/>
        <w:rPr>
          <w:rFonts w:ascii="Liberation Serif" w:hAnsi="Liberation Serif"/>
        </w:rPr>
      </w:pPr>
      <w:r>
        <w:rPr>
          <w:rStyle w:val="FootnoteCharacters"/>
        </w:rPr>
        <w:footnoteRef/>
      </w:r>
      <w:r>
        <w:rPr/>
        <w:tab/>
        <w:t xml:space="preserve">Drabble, “Plantation Rubber Industry,” 59 </w:t>
      </w:r>
    </w:p>
  </w:footnote>
  <w:footnote w:id="9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16</w:t>
      </w:r>
    </w:p>
  </w:footnote>
  <w:footnote w:id="9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168-9</w:t>
      </w:r>
    </w:p>
  </w:footnote>
  <w:footnote w:id="9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9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99">
    <w:p>
      <w:pPr>
        <w:pStyle w:val="FootnoteText"/>
        <w:suppressLineNumbers/>
        <w:bidi w:val="0"/>
        <w:ind w:hanging="340" w:start="340"/>
        <w:jc w:val="start"/>
        <w:rPr/>
      </w:pPr>
      <w:r>
        <w:rPr>
          <w:rStyle w:val="FootnoteCharacters"/>
        </w:rPr>
        <w:footnoteRef/>
      </w:r>
      <w:r>
        <w:rPr/>
        <w:tab/>
        <w:t xml:space="preserve">de Mello and Melkebeke, “From the Amazon to the Congo Valley,” 151 </w:t>
      </w:r>
    </w:p>
  </w:footnote>
</w:footnotes>
</file>

<file path=word/settings.xml><?xml version="1.0" encoding="utf-8"?>
<w:settings xmlns:w="http://schemas.openxmlformats.org/wordprocessingml/2006/main">
  <w:zoom w:percent="81"/>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Pr>
    <w:rPr>
      <w:i/>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1177/089692059101800105"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44</Pages>
  <Words>13757</Words>
  <Characters>75418</Characters>
  <CharactersWithSpaces>88997</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2026-05-12T13:25:25Z</dcterms:created>
  <dc:creator/>
  <dc:description/>
  <dc:language>en-US</dc:language>
  <cp:lastModifiedBy/>
  <dcterms:modified xsi:type="dcterms:W3CDTF">2026-05-13T12:04:54Z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