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comments.xml" ContentType="application/vnd.openxmlformats-officedocument.wordprocessingml.comment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before="0" w:after="0"/>
        <w:ind w:hanging="0" w:start="0" w:end="0"/>
        <w:jc w:val="start"/>
        <w:rPr>
          <w:rFonts w:ascii="Liberation Serif" w:hAnsi="Liberation Serif"/>
        </w:rPr>
      </w:pPr>
      <w:r>
        <w:rPr>
          <w:b/>
          <w:bCs/>
          <w:i w:val="false"/>
          <w:iCs w:val="false"/>
          <w:sz w:val="24"/>
          <w:szCs w:val="24"/>
        </w:rPr>
        <w:t>Global Complications: the Rubber Industry</w:t>
      </w:r>
    </w:p>
    <w:p>
      <w:pPr>
        <w:pStyle w:val="Normal"/>
        <w:bidi w:val="0"/>
        <w:spacing w:lineRule="auto" w:line="480" w:before="0" w:after="0"/>
        <w:ind w:firstLine="720" w:start="0" w:end="0"/>
        <w:jc w:val="start"/>
        <w:rPr>
          <w:rFonts w:ascii="Liberation Serif" w:hAnsi="Liberation Serif"/>
        </w:rPr>
      </w:pPr>
      <w:r>
        <w:rPr>
          <w:sz w:val="24"/>
          <w:szCs w:val="24"/>
        </w:rPr>
        <w:t>Fordism did not develop in isolation, nor exclusively from local dynamics. Just as the existence of Fordist production methods was dependent on racial and gendered divisions in the local labor market, it was also built on a global division of labor, whereby the more brutal exploitation of workers in peripheral states propped up the productive relations in the core. Wallerstein terms this global dynamic the “axial division of labor,” a dynamic which ensures a “constant flow of surplus-value from the producers of peripheral products to the producers of core-like products.”</w:t>
      </w:r>
      <w:r>
        <w:rPr>
          <w:rStyle w:val="FootnoteReference"/>
          <w:sz w:val="24"/>
          <w:szCs w:val="24"/>
          <w:vertAlign w:val="superscript"/>
        </w:rPr>
        <w:footnoteReference w:id="2"/>
      </w:r>
      <w:r>
        <w:rPr>
          <w:sz w:val="24"/>
          <w:szCs w:val="24"/>
        </w:rPr>
        <w:t xml:space="preserve"> </w:t>
      </w:r>
    </w:p>
    <w:p>
      <w:pPr>
        <w:pStyle w:val="Normal"/>
        <w:bidi w:val="0"/>
        <w:spacing w:lineRule="auto" w:line="480" w:before="0" w:after="0"/>
        <w:ind w:firstLine="720" w:start="0" w:end="0"/>
        <w:jc w:val="start"/>
        <w:rPr>
          <w:rFonts w:ascii="Liberation Serif" w:hAnsi="Liberation Serif"/>
        </w:rPr>
      </w:pPr>
      <w:r>
        <w:rPr>
          <w:sz w:val="24"/>
          <w:szCs w:val="24"/>
        </w:rPr>
        <w:t>The nature of this global dynamic between the capitalist core and periphery was characterized by Andre Gunder Frank as the development of underdevelopment.</w:t>
      </w:r>
      <w:r>
        <w:rPr>
          <w:rStyle w:val="FootnoteReference"/>
          <w:sz w:val="24"/>
          <w:szCs w:val="24"/>
          <w:vertAlign w:val="superscript"/>
        </w:rPr>
        <w:footnoteReference w:id="3"/>
      </w:r>
      <w:r>
        <w:rPr>
          <w:sz w:val="24"/>
          <w:szCs w:val="24"/>
        </w:rPr>
        <w:t xml:space="preserve"> In his account, the supposed economic backwardness of the global south is not a failure to keep pace with the capitalist core, but rather “is the result of its centuries-long participation in the process of world capitalist development.”</w:t>
      </w:r>
      <w:r>
        <w:rPr>
          <w:rStyle w:val="FootnoteReference"/>
          <w:sz w:val="24"/>
          <w:szCs w:val="24"/>
          <w:vertAlign w:val="superscript"/>
        </w:rPr>
        <w:footnoteReference w:id="4"/>
      </w:r>
      <w:r>
        <w:rPr>
          <w:sz w:val="24"/>
          <w:szCs w:val="24"/>
        </w:rPr>
        <w:t xml:space="preserve"> In other words, the underdevelopment of the global south is a condition positively created by the dynamics of global capitalism. Samir Amin’s </w:t>
      </w:r>
      <w:r>
        <w:rPr>
          <w:i/>
          <w:sz w:val="24"/>
          <w:szCs w:val="24"/>
        </w:rPr>
        <w:t>Accumulation on a World Scale</w:t>
      </w:r>
      <w:r>
        <w:rPr>
          <w:sz w:val="24"/>
          <w:szCs w:val="24"/>
        </w:rPr>
        <w:t xml:space="preserve"> deals with this dynamic as well, attempting to counter the prevailing stagist narrative of underdevelopment which isolates the poverty of the periphery from world history and assumes that “laissez-faire was certain to develop the colonies just as it had developed the industrialized metropolitan countries.”</w:t>
      </w:r>
      <w:r>
        <w:rPr>
          <w:rStyle w:val="FootnoteReference"/>
          <w:sz w:val="24"/>
          <w:szCs w:val="24"/>
          <w:vertAlign w:val="superscript"/>
        </w:rPr>
        <w:footnoteReference w:id="5"/>
      </w:r>
      <w:r>
        <w:rPr>
          <w:sz w:val="24"/>
          <w:szCs w:val="24"/>
        </w:rPr>
        <w:t xml:space="preserve"> Amin insists that it is the capitalist core’s economic growth itself that creates the impoverished condition of the periphery. He claims that “as economic growth proceeds, none of these features by which the structure of the periphery is distinguished lessens; on the contrary, each increases…. In the periphery growth is </w:t>
      </w:r>
      <w:r>
        <w:rPr>
          <w:i/>
          <w:sz w:val="24"/>
          <w:szCs w:val="24"/>
        </w:rPr>
        <w:t>not</w:t>
      </w:r>
      <w:r>
        <w:rPr>
          <w:sz w:val="24"/>
          <w:szCs w:val="24"/>
        </w:rPr>
        <w:t xml:space="preserve"> development, for its effect is to disarticulate.”</w:t>
      </w:r>
      <w:r>
        <w:rPr>
          <w:rStyle w:val="FootnoteReference"/>
          <w:sz w:val="24"/>
          <w:szCs w:val="24"/>
          <w:vertAlign w:val="superscript"/>
        </w:rPr>
        <w:footnoteReference w:id="6"/>
      </w:r>
    </w:p>
    <w:p>
      <w:pPr>
        <w:pStyle w:val="Normal"/>
        <w:bidi w:val="0"/>
        <w:spacing w:lineRule="auto" w:line="480" w:before="0" w:after="0"/>
        <w:ind w:firstLine="720" w:start="0" w:end="0"/>
        <w:jc w:val="start"/>
        <w:rPr>
          <w:rFonts w:ascii="Liberation Serif" w:hAnsi="Liberation Serif"/>
        </w:rPr>
      </w:pPr>
      <w:r>
        <w:rPr>
          <w:sz w:val="24"/>
          <w:szCs w:val="24"/>
        </w:rPr>
        <w:t>Economic disarticulation in the periphery is central to Amin’s analysis. In the core, national economies are largely integrated: different sectors “carry out substantial exchanges between themselves, which may be called “interindustrial” or “intersectoral” exchanges.”</w:t>
      </w:r>
      <w:r>
        <w:rPr>
          <w:rStyle w:val="FootnoteReference"/>
          <w:sz w:val="24"/>
          <w:szCs w:val="24"/>
          <w:vertAlign w:val="superscript"/>
        </w:rPr>
        <w:footnoteReference w:id="7"/>
      </w:r>
      <w:r>
        <w:rPr>
          <w:sz w:val="24"/>
          <w:szCs w:val="24"/>
        </w:rPr>
        <w:t xml:space="preserve"> The outputs of extractive industries within developed economies directly support domestic manufacturing and agriculture. For so-called “underdeveloped” economies, internal trade between industrial sectors is stifled: “The different kinds of mineral wealth exploited by these great concerns - metals, oil, etc. - are not destined to supply domestic industries on the spot, but are exported in order to supply complex industrial groups in the advanced countries.”</w:t>
      </w:r>
      <w:r>
        <w:rPr>
          <w:rStyle w:val="FootnoteReference"/>
          <w:sz w:val="24"/>
          <w:szCs w:val="24"/>
          <w:vertAlign w:val="superscript"/>
        </w:rPr>
        <w:footnoteReference w:id="8"/>
      </w:r>
      <w:r>
        <w:rPr>
          <w:sz w:val="24"/>
          <w:szCs w:val="24"/>
        </w:rPr>
        <w:t xml:space="preserve"> Whereas in the core, rationalization and growth in one industry is quickly generalized to others, in the periphery industrial growth has minimal effect on the domestic economy as a whole, transferring the benefits to its industrial trading partners.</w:t>
      </w:r>
    </w:p>
    <w:p>
      <w:pPr>
        <w:pStyle w:val="Normal"/>
        <w:bidi w:val="0"/>
        <w:spacing w:lineRule="auto" w:line="480" w:before="0" w:after="0"/>
        <w:ind w:firstLine="720" w:start="0" w:end="0"/>
        <w:jc w:val="start"/>
        <w:rPr>
          <w:rFonts w:ascii="Liberation Serif" w:hAnsi="Liberation Serif"/>
        </w:rPr>
      </w:pPr>
      <w:r>
        <w:rPr>
          <w:sz w:val="24"/>
          <w:szCs w:val="24"/>
        </w:rPr>
        <w:t>This dynamic can be traced along what world-systems analysts call commodity chains: the global chain of labor and raw-material inputs that results in the production of particular industrial and consumer goods. The term commodity chain was coined in a 1977 paper by Wallerstein and Hopkins, who propose it as an analytical tool to combat a “developmentalist” perspective in which “the world is said to consist of a number of related but basically autonomous ‘societies’ ... each moving upward along an essentially similar path of development.”</w:t>
      </w:r>
      <w:r>
        <w:rPr>
          <w:rStyle w:val="FootnoteReference"/>
          <w:sz w:val="24"/>
          <w:szCs w:val="24"/>
          <w:vertAlign w:val="superscript"/>
        </w:rPr>
        <w:footnoteReference w:id="9"/>
      </w:r>
      <w:r>
        <w:rPr>
          <w:sz w:val="24"/>
          <w:szCs w:val="24"/>
        </w:rPr>
        <w:t xml:space="preserve"> Criticizing an analytical nationalism which attempts to abstract autonomous societies from each other, Wallerstein and Hopkins insist on analyzing the world-system in toto: “a definite ‘world’, a spatio-temporal whole, whose spatial scope is coextensive with the elementary division of labor among its constituent regions or parts and whose temporal scope extends for as long as the elementary division of labor continually reproduces the ‘world’ as a social whole.”</w:t>
      </w:r>
      <w:r>
        <w:rPr>
          <w:rStyle w:val="FootnoteReference"/>
          <w:sz w:val="24"/>
          <w:szCs w:val="24"/>
          <w:vertAlign w:val="superscript"/>
        </w:rPr>
        <w:footnoteReference w:id="10"/>
      </w:r>
      <w:r>
        <w:rPr>
          <w:sz w:val="24"/>
          <w:szCs w:val="24"/>
        </w:rPr>
        <w:t xml:space="preserve"> Within this global social body, commodity chains form a sort of vascular system, transporting raw materials and ossified labor inputs from their sites of production, combining them, and bringing them to market where they can be valorized and turned into profit.</w:t>
      </w:r>
    </w:p>
    <w:p>
      <w:pPr>
        <w:pStyle w:val="Normal"/>
        <w:bidi w:val="0"/>
        <w:spacing w:lineRule="auto" w:line="480" w:before="0" w:after="0"/>
        <w:ind w:firstLine="720" w:start="0" w:end="0"/>
        <w:jc w:val="start"/>
        <w:rPr>
          <w:rFonts w:ascii="Liberation Serif" w:hAnsi="Liberation Serif"/>
        </w:rPr>
      </w:pPr>
      <w:r>
        <w:rPr>
          <w:sz w:val="24"/>
          <w:szCs w:val="24"/>
        </w:rPr>
        <w:t>Commodity chains bring local and global dynamics into contact. As commodity production expanded over the course of capitalism’s global history, the need for vast amounts of raw materials to be transported across large distances increased. Bunker and Ciccantell claim that the “solutions to the raw materials problem require the coordination of multiple physical and social processes across geopolitical and physical space with domestic relations between firms, sectors, the state, labor, and new technologies.”</w:t>
      </w:r>
      <w:r>
        <w:rPr>
          <w:rStyle w:val="FootnoteReference"/>
          <w:sz w:val="24"/>
          <w:szCs w:val="24"/>
          <w:vertAlign w:val="superscript"/>
        </w:rPr>
        <w:footnoteReference w:id="11"/>
      </w:r>
      <w:r>
        <w:rPr>
          <w:sz w:val="24"/>
          <w:szCs w:val="24"/>
        </w:rPr>
        <w:t xml:space="preserve"> As a sort of vascular system for raw and processed materials within the capitalist world-system, commodity chains are a primary axis of contestation for actors across ‘geopolitical and physical space.’ The state acts on commodity chains through trade agreements, or through nationalizing or privatizing reserves of raw materials. Labor asserts its power to strike or withhold itself at various points along the chain - labor inputs being the stuff that connects various links. And finally the firms, capitalists themselves, act to either subsume more and more of the production processes that feed into the final consumable as in Fordist vertical integration, or they outsource moments in the production process to locales with a cheaper labor supply as we see in the trends of post-Fordist globalization. </w:t>
      </w:r>
    </w:p>
    <w:p>
      <w:pPr>
        <w:pStyle w:val="Normal"/>
        <w:bidi w:val="0"/>
        <w:spacing w:lineRule="auto" w:line="480" w:before="0" w:after="0"/>
        <w:ind w:firstLine="720" w:start="0" w:end="0"/>
        <w:jc w:val="start"/>
        <w:rPr>
          <w:rFonts w:ascii="Liberation Serif" w:hAnsi="Liberation Serif"/>
        </w:rPr>
      </w:pPr>
      <w:r>
        <w:rPr>
          <w:sz w:val="24"/>
          <w:szCs w:val="24"/>
        </w:rPr>
        <w:t>Commodity chains are a useful concept for countering overly-local views of capitalist accumulation. Analyses, such as Aglietta’s, that treat capitalist production in core regions as a self-contained whole fail to account for how productive relations in the core are propped up by quite different productive relations in the periphery. Smith, Ciccantell, and Sowers note that this problematic has been taken up at length by world-systems analysts who examine the racialized nature of labor in “resource frontiers and extractive peripheries.”</w:t>
      </w:r>
      <w:r>
        <w:rPr>
          <w:rStyle w:val="FootnoteReference"/>
          <w:sz w:val="24"/>
          <w:szCs w:val="24"/>
          <w:vertAlign w:val="superscript"/>
        </w:rPr>
        <w:footnoteReference w:id="12"/>
      </w:r>
      <w:r>
        <w:rPr>
          <w:sz w:val="24"/>
          <w:szCs w:val="24"/>
        </w:rPr>
        <w:t xml:space="preserve"> The effect of these “extractive peripheries on existing population, and especially indigenous populations, are almost universally negative, engendering often strong and violent opposition from indigenous groups.”</w:t>
      </w:r>
      <w:r>
        <w:rPr>
          <w:rStyle w:val="FootnoteReference"/>
          <w:sz w:val="24"/>
          <w:szCs w:val="24"/>
          <w:vertAlign w:val="superscript"/>
        </w:rPr>
        <w:footnoteReference w:id="13"/>
      </w:r>
      <w:r>
        <w:rPr>
          <w:sz w:val="24"/>
          <w:szCs w:val="24"/>
        </w:rPr>
        <w:t xml:space="preserve"> The remainder of this section and the next will examine production and reproduction in this context along the Fordist commodity chain. </w:t>
      </w:r>
    </w:p>
    <w:p>
      <w:pPr>
        <w:pStyle w:val="Normal"/>
        <w:bidi w:val="0"/>
        <w:spacing w:lineRule="auto" w:line="480" w:before="0" w:after="0"/>
        <w:ind w:firstLine="720" w:start="0" w:end="0"/>
        <w:jc w:val="start"/>
        <w:rPr>
          <w:rFonts w:ascii="Liberation Serif" w:hAnsi="Liberation Serif"/>
        </w:rPr>
      </w:pPr>
      <w:r>
        <w:rPr>
          <w:sz w:val="24"/>
          <w:szCs w:val="24"/>
        </w:rPr>
        <w:t>For early automobile producers in Michigan, many of these commodity chains were entirely internal to the US. Many of the raw materials needed for the big three automakers to produce automobiles were readily available within the United States. Michigan’s vast lumber and mineral resources were brought to Detroit by a robust rail system, and Ford even owned “mines in Kentucky and West Virginia, which gave him control over every natural resource needed to make a car - save rubber.”</w:t>
      </w:r>
      <w:r>
        <w:rPr>
          <w:rStyle w:val="FootnoteReference"/>
          <w:sz w:val="24"/>
          <w:szCs w:val="24"/>
          <w:vertAlign w:val="superscript"/>
        </w:rPr>
        <w:footnoteReference w:id="14"/>
      </w:r>
      <w:r>
        <w:rPr>
          <w:sz w:val="24"/>
          <w:szCs w:val="24"/>
        </w:rPr>
        <w:t xml:space="preserve"> To acquire the rubber necessary for the production of automobiles, Ford and his competitors had to look outside the US - at first to </w:t>
      </w:r>
      <w:r>
        <w:rPr>
          <w:sz w:val="24"/>
          <w:szCs w:val="24"/>
        </w:rPr>
        <w:t>the Amazon</w:t>
      </w:r>
      <w:r>
        <w:rPr>
          <w:sz w:val="24"/>
          <w:szCs w:val="24"/>
        </w:rPr>
        <w:t xml:space="preserve"> and the Congo, and then later to Malaya</w:t>
      </w:r>
      <w:r>
        <w:rPr>
          <w:sz w:val="24"/>
          <w:szCs w:val="24"/>
        </w:rPr>
        <w:t xml:space="preserve"> and Sumatra in Southeast Asia</w:t>
      </w:r>
      <w:r>
        <w:rPr>
          <w:sz w:val="24"/>
          <w:szCs w:val="24"/>
        </w:rPr>
        <w:t>.</w:t>
      </w:r>
    </w:p>
    <w:p>
      <w:pPr>
        <w:pStyle w:val="Normal"/>
        <w:bidi w:val="0"/>
        <w:spacing w:lineRule="auto" w:line="480" w:before="0" w:after="0"/>
        <w:ind w:firstLine="720" w:start="0" w:end="0"/>
        <w:jc w:val="start"/>
        <w:rPr>
          <w:rFonts w:ascii="Liberation Serif" w:hAnsi="Liberation Serif"/>
        </w:rPr>
      </w:pPr>
      <w:r>
        <w:rPr>
          <w:sz w:val="24"/>
          <w:szCs w:val="24"/>
        </w:rPr>
        <w:t>Rubber has been known and used by Mesoamerican peoples for thousands of years - it was used to make bottles, balls or waterproof shoes. Despite this, in the 19th century the rubber industry in Europe and the US mainly provided for products with limited industrial practicality until the development of the vulcanization process in the late 1830s. Vulcanization allowed for the creation of stable and hardened rubber industrial products, and by 1945 carriage wheels were equipped with solid rubber tires.</w:t>
      </w:r>
      <w:r>
        <w:rPr>
          <w:rStyle w:val="FootnoteReference"/>
          <w:sz w:val="24"/>
          <w:szCs w:val="24"/>
          <w:vertAlign w:val="superscript"/>
        </w:rPr>
        <w:footnoteReference w:id="15"/>
      </w:r>
      <w:r>
        <w:rPr>
          <w:sz w:val="24"/>
          <w:szCs w:val="24"/>
        </w:rPr>
        <w:t>Tire production, along with rubber insulation for electrical wires, drove the rubber industry to new heights. In the US, the rubber industry was centered in Ohio - by 1900 Akron was the home to Goodrich, Goodyear, and Firestone. Business was good and all three were multi-million dollar companies by 1910. Firestone was especially successful, thanks to exclusive contracts with Ford to provide tires to the Model N in 1906 and to the famous Model T in 1908.</w:t>
      </w:r>
      <w:r>
        <w:rPr>
          <w:rStyle w:val="FootnoteReference"/>
          <w:sz w:val="24"/>
          <w:szCs w:val="24"/>
          <w:vertAlign w:val="superscript"/>
        </w:rPr>
        <w:footnoteReference w:id="16"/>
      </w:r>
      <w:r>
        <w:rPr>
          <w:sz w:val="24"/>
          <w:szCs w:val="24"/>
        </w:rPr>
        <w:t xml:space="preserve"> Fortunes were made in the manufacture and sale of tires, but down the commodity chain the story was quite different.</w:t>
      </w:r>
    </w:p>
    <w:p>
      <w:pPr>
        <w:pStyle w:val="Normal"/>
        <w:bidi w:val="0"/>
        <w:spacing w:lineRule="auto" w:line="480" w:before="0" w:after="0"/>
        <w:ind w:firstLine="720" w:start="0" w:end="0"/>
        <w:jc w:val="start"/>
        <w:rPr>
          <w:rFonts w:ascii="Liberation Serif" w:hAnsi="Liberation Serif"/>
        </w:rPr>
      </w:pPr>
      <w:r>
        <w:rPr>
          <w:sz w:val="24"/>
          <w:szCs w:val="24"/>
        </w:rPr>
        <w:t>Industrial production of rubber began in Brazil and central Africa in the 1800s, where latex producing plants grew natively. Bunker and Ciccantell claim that since “the Amazon provided the technically most useful and abundant kinds of rubber in the world, states and firms in the rapidly industrializing, trade-dominant nations of Europe and America were particularly interested and active in the Amazon.”</w:t>
      </w:r>
      <w:r>
        <w:rPr>
          <w:rStyle w:val="FootnoteReference"/>
          <w:sz w:val="24"/>
          <w:szCs w:val="24"/>
          <w:vertAlign w:val="superscript"/>
        </w:rPr>
        <w:footnoteReference w:id="17"/>
      </w:r>
      <w:r>
        <w:rPr>
          <w:sz w:val="24"/>
          <w:szCs w:val="24"/>
        </w:rPr>
        <w:t xml:space="preserve"> As in the Congo, initial production consisted of wild-collection by contract laborers. Rubber plants were quickly exported to tropical regions around the globe such as southeast Asia, although there was little commercial production in Asia until the collapse of the rubber market in the Congo and the Amazon in 1913.</w:t>
      </w:r>
      <w:r>
        <w:rPr>
          <w:rStyle w:val="FootnoteReference"/>
          <w:sz w:val="24"/>
          <w:szCs w:val="24"/>
          <w:vertAlign w:val="superscript"/>
        </w:rPr>
        <w:footnoteReference w:id="18"/>
      </w:r>
      <w:r>
        <w:rPr>
          <w:sz w:val="24"/>
          <w:szCs w:val="24"/>
        </w:rPr>
        <w:t xml:space="preserve"> Although plantations would dominate the global rubber production by the second decade of the twentieth century, for the first several decades of the auto industry there were few rationalized rubber plantations, and rubber had to be sourced from wild collectors in the Amazon and the Congo. By the end of the nineteenth century, the Amazon was supplying the world market with 15,000 tons of rubber annually. </w:t>
      </w:r>
    </w:p>
    <w:p>
      <w:pPr>
        <w:pStyle w:val="Normal"/>
        <w:bidi w:val="0"/>
        <w:spacing w:lineRule="auto" w:line="480" w:before="0" w:after="0"/>
        <w:ind w:firstLine="720" w:start="0" w:end="0"/>
        <w:jc w:val="start"/>
        <w:rPr>
          <w:rFonts w:ascii="Liberation Serif" w:hAnsi="Liberation Serif"/>
        </w:rPr>
      </w:pPr>
      <w:r>
        <w:rPr>
          <w:sz w:val="24"/>
          <w:szCs w:val="24"/>
        </w:rPr>
        <w:t>The working conditions in rubber fields in Brazil were a world away from those in the US. In the late 1870s a severe drought struck Northeastern Brazil, destroying the means of subsistence for a large portion of the population. Many left their homes and found work in the growing Brazilian rubber industry, but under the harshest of conditions. Forced to pay for their own provisions on the way to the work locations, rubber tappers started working in severe debt. The rubber companies held this debt on account against future rubber yields, but “every time [the worker’s] rubber (his credit) was collected, it was found that his debt had mounted higher than his earnings.”</w:t>
      </w:r>
      <w:r>
        <w:rPr>
          <w:rStyle w:val="FootnoteReference"/>
          <w:sz w:val="24"/>
          <w:szCs w:val="24"/>
          <w:vertAlign w:val="superscript"/>
        </w:rPr>
        <w:footnoteReference w:id="19"/>
      </w:r>
      <w:r>
        <w:rPr>
          <w:sz w:val="24"/>
          <w:szCs w:val="24"/>
        </w:rPr>
        <w:t xml:space="preserve"> The companies ensured that the prices of necessary provisions were higher than the piece-wages for rubber, creating a vicious cycle of debt peonage. </w:t>
      </w:r>
    </w:p>
    <w:p>
      <w:pPr>
        <w:pStyle w:val="Normal"/>
        <w:bidi w:val="0"/>
        <w:spacing w:lineRule="auto" w:line="480" w:before="0" w:after="0"/>
        <w:ind w:firstLine="720" w:start="0" w:end="0"/>
        <w:jc w:val="start"/>
        <w:rPr>
          <w:highlight w:val="none"/>
          <w:shd w:fill="FFFF00" w:val="clear"/>
        </w:rPr>
      </w:pPr>
      <w:r>
        <w:rPr>
          <w:sz w:val="24"/>
          <w:szCs w:val="24"/>
          <w:shd w:fill="FFFF00" w:val="clear"/>
        </w:rPr>
        <w:t>[some linking framework]</w:t>
      </w:r>
    </w:p>
    <w:p>
      <w:pPr>
        <w:pStyle w:val="Normal"/>
        <w:bidi w:val="0"/>
        <w:spacing w:lineRule="auto" w:line="480" w:before="0" w:after="0"/>
        <w:ind w:firstLine="720" w:start="0" w:end="0"/>
        <w:jc w:val="start"/>
        <w:rPr>
          <w:rFonts w:ascii="Liberation Serif" w:hAnsi="Liberation Serif"/>
        </w:rPr>
      </w:pPr>
      <w:r>
        <w:rPr>
          <w:sz w:val="24"/>
          <w:szCs w:val="24"/>
        </w:rPr>
        <w:t>The two patterns of rubber production - wild collection and planned cultivation - were sustained by different patterns of social reproduction. Wild rubber harvesting was predominant in the Amazon and the Congo, and dominated the world market until 1913.</w:t>
      </w:r>
      <w:r>
        <w:rPr>
          <w:rStyle w:val="FootnoteReference"/>
          <w:sz w:val="24"/>
          <w:szCs w:val="24"/>
          <w:vertAlign w:val="superscript"/>
        </w:rPr>
        <w:footnoteReference w:id="20"/>
      </w:r>
      <w:r>
        <w:rPr>
          <w:sz w:val="24"/>
          <w:szCs w:val="24"/>
        </w:rPr>
        <w:t xml:space="preserve"> In Brazil, before the founding of Fordlandia, rubber cultivators operated on a pseudo piece-work basis. The costs of production were borne by the worker, who ventured into the jungle to collect raw rubber that he would then sell to the company. This work was seasonal, and depended on a transhumant workforce that traveled between port towns and rubber estates as weather conditions dictated.</w:t>
      </w:r>
      <w:r>
        <w:rPr>
          <w:rStyle w:val="FootnoteReference"/>
          <w:sz w:val="24"/>
          <w:szCs w:val="24"/>
          <w:vertAlign w:val="superscript"/>
        </w:rPr>
        <w:footnoteReference w:id="21"/>
      </w:r>
      <w:r>
        <w:rPr>
          <w:sz w:val="24"/>
          <w:szCs w:val="24"/>
        </w:rPr>
        <w:t xml:space="preserve"> A stable workforce was neither required nor desired in Brazil, and so there was no impetus for the companies to develop stable reproductive relations for workers. Rather workers were compelled to work through the cultivation of debt - through the sale of “the necessary working tools and basic goods such as foodstuff, which were forcibly acquired at the rubber patron’s storehouse or station.”</w:t>
      </w:r>
      <w:r>
        <w:rPr>
          <w:rStyle w:val="FootnoteReference"/>
          <w:sz w:val="24"/>
          <w:szCs w:val="24"/>
          <w:vertAlign w:val="superscript"/>
        </w:rPr>
        <w:footnoteReference w:id="22"/>
      </w:r>
      <w:r>
        <w:rPr>
          <w:sz w:val="24"/>
          <w:szCs w:val="24"/>
        </w:rPr>
        <w:t xml:space="preserve"> A continual supply of labor was ensured through the debt contract. </w:t>
      </w:r>
    </w:p>
    <w:p>
      <w:pPr>
        <w:pStyle w:val="Normal"/>
        <w:bidi w:val="0"/>
        <w:spacing w:lineRule="auto" w:line="480" w:before="0" w:after="0"/>
        <w:ind w:firstLine="720" w:start="0" w:end="0"/>
        <w:jc w:val="start"/>
        <w:rPr>
          <w:rFonts w:ascii="Liberation Serif" w:hAnsi="Liberation Serif"/>
        </w:rPr>
      </w:pPr>
      <w:r>
        <w:rPr>
          <w:sz w:val="24"/>
          <w:szCs w:val="24"/>
        </w:rPr>
        <w:t>The labor supply in the Congo was ensured through similar means, but this time with a tax burden rather than a debt burden. In a comparative study of Amazonian and Congolese rubber extraction, de Mello and Van Melkebeke note that from the 1890s on, an “in kind rubber tax … proved to be the solution to increase revenue.” They go on to say that “this huge increase in exports received by in-kind taxation would result in severe and violent labour mobilisations and would cause devastation throughout the Congolese countryside.”</w:t>
      </w:r>
      <w:r>
        <w:rPr>
          <w:rStyle w:val="FootnoteReference"/>
          <w:sz w:val="24"/>
          <w:szCs w:val="24"/>
          <w:vertAlign w:val="superscript"/>
        </w:rPr>
        <w:footnoteReference w:id="23"/>
      </w:r>
      <w:r>
        <w:rPr>
          <w:sz w:val="24"/>
          <w:szCs w:val="24"/>
        </w:rPr>
        <w:t xml:space="preserve"> Whereas in the Amazon, workers migrated to the rubber regions due to harsh economic and environmental conditions, in the Congo the state and private firms sent expeditions into the countryside to capture and enslave native men. “Expeditions often ended up in plunder, destruction of villages and capturing of people: initially, to collect ivory (by the Congo Free State) and subsequently, to collect rubber (by the Congo Free State and private sector).”</w:t>
      </w:r>
      <w:r>
        <w:rPr>
          <w:rStyle w:val="FootnoteReference"/>
          <w:sz w:val="24"/>
          <w:szCs w:val="24"/>
          <w:vertAlign w:val="superscript"/>
        </w:rPr>
        <w:footnoteReference w:id="24"/>
      </w:r>
      <w:r>
        <w:rPr>
          <w:sz w:val="24"/>
          <w:szCs w:val="24"/>
        </w:rPr>
        <w:t xml:space="preserve"> These workers were then forced to collect and deliver “six to eight kilograms per person every two weeks” and “when they did receive some sort of remuneration, this was usually in-kind (salt, knives, beads, textiles, etc.).”</w:t>
      </w:r>
      <w:r>
        <w:rPr>
          <w:rStyle w:val="FootnoteReference"/>
          <w:sz w:val="24"/>
          <w:szCs w:val="24"/>
          <w:vertAlign w:val="superscript"/>
        </w:rPr>
        <w:footnoteReference w:id="25"/>
      </w:r>
    </w:p>
    <w:p>
      <w:pPr>
        <w:pStyle w:val="Normal"/>
        <w:bidi w:val="0"/>
        <w:spacing w:lineRule="auto" w:line="480" w:before="0" w:after="0"/>
        <w:ind w:firstLine="720" w:start="0" w:end="0"/>
        <w:jc w:val="start"/>
        <w:rPr>
          <w:rFonts w:ascii="Liberation Serif" w:hAnsi="Liberation Serif"/>
        </w:rPr>
      </w:pPr>
      <w:commentRangeStart w:id="0"/>
      <w:r>
        <w:rPr>
          <w:sz w:val="24"/>
          <w:szCs w:val="24"/>
        </w:rPr>
        <w:t xml:space="preserve">The relevance of housing in the Amazon and the Congo lies in the </w:t>
      </w:r>
      <w:r>
        <w:rPr>
          <w:i/>
          <w:sz w:val="24"/>
          <w:szCs w:val="24"/>
        </w:rPr>
        <w:t>absence</w:t>
      </w:r>
      <w:r>
        <w:rPr>
          <w:sz w:val="24"/>
          <w:szCs w:val="24"/>
        </w:rPr>
        <w:t xml:space="preserve"> of any dedicated housing policy. If the impact of Fordism on housing in the core was to expand the commodification and the housing market, its impact in the periphery was the opposite. Existing communities and their social relations were violently disrupted by rubber barons and the state who saw no need to recreate conditions for the renewal of laborers.</w:t>
      </w:r>
      <w:r>
        <w:rPr>
          <w:sz w:val="24"/>
          <w:szCs w:val="24"/>
        </w:rPr>
      </w:r>
      <w:commentRangeEnd w:id="0"/>
      <w:r>
        <w:commentReference w:id="0"/>
      </w:r>
      <w:r>
        <w:rPr>
          <w:sz w:val="24"/>
          <w:szCs w:val="24"/>
        </w:rPr>
        <w:t xml:space="preserve"> Rather indigenous and migrant populations provided an external pool from which new labor could be drawn. The pay given to rubber workers (if it can be called pay) was insufficient to provide for the renewal of the conditions of labor on an open commodity market, and so the gap was filled by coercion, and by the workers’ informal reproductive labor. Although the workers were undoubtedly commodity producers, they were not commodity consumers in the same sense that workers in the core were. Their everyday necessities were obtained from closed company shops, and in both the Amazon and the Congo, </w:t>
      </w:r>
      <w:commentRangeStart w:id="1"/>
      <w:r>
        <w:rPr>
          <w:sz w:val="24"/>
          <w:szCs w:val="24"/>
        </w:rPr>
        <w:t>roving rubber tappers built their own temporary shelters in the rubber fields</w:t>
      </w:r>
      <w:r>
        <w:rPr>
          <w:sz w:val="24"/>
          <w:szCs w:val="24"/>
        </w:rPr>
      </w:r>
      <w:commentRangeEnd w:id="1"/>
      <w:r>
        <w:commentReference w:id="1"/>
      </w:r>
      <w:r>
        <w:rPr>
          <w:sz w:val="24"/>
          <w:szCs w:val="24"/>
        </w:rPr>
        <w:t>.</w:t>
      </w:r>
      <w:r>
        <w:rPr>
          <w:rStyle w:val="FootnoteReference"/>
          <w:sz w:val="24"/>
          <w:szCs w:val="24"/>
          <w:vertAlign w:val="superscript"/>
        </w:rPr>
        <w:footnoteReference w:id="26"/>
      </w:r>
      <w:r>
        <w:rPr>
          <w:sz w:val="24"/>
          <w:szCs w:val="24"/>
        </w:rPr>
        <w:t xml:space="preserve"> When debt and tax burdens were insufficient to compel labor in these conditions, violence was used, and when violence was insufficient workers were killed, and new workers brought in.</w:t>
      </w:r>
    </w:p>
    <w:p>
      <w:pPr>
        <w:pStyle w:val="Normal"/>
        <w:bidi w:val="0"/>
        <w:spacing w:lineRule="auto" w:line="480" w:before="0" w:after="0"/>
        <w:ind w:firstLine="720" w:start="0" w:end="0"/>
        <w:jc w:val="start"/>
        <w:rPr>
          <w:rFonts w:ascii="Liberation Serif" w:hAnsi="Liberation Serif"/>
        </w:rPr>
      </w:pPr>
      <w:r>
        <w:rPr>
          <w:sz w:val="24"/>
          <w:szCs w:val="24"/>
        </w:rPr>
        <w:t>We see that in the wild rubber fields, gendered labor dynamics differed significantly from those in industrial Michigan. Many Michigan women performed unpaid reproductive labor to support and supplement their husband’s ‘family wages’ and in the poorer communities they took on piecework or service work in addition to this unpaid care work. In the core, this gendered dynamic was structured in part by the housing policies of the industries, but in the periphery the gendered division of labor manifested quite differently. Maria Mies’ analysis of women and colonialism helps us contextualize the dynamics of gendered labor in the periphery. Writing about the 18th and 19th centuries, she notes that where unfree labor was secured through slaving raids and trade, “slave women were actively discouraged from bearing children or forming families.”</w:t>
      </w:r>
      <w:r>
        <w:rPr>
          <w:rStyle w:val="FootnoteReference"/>
          <w:sz w:val="24"/>
          <w:szCs w:val="24"/>
          <w:vertAlign w:val="superscript"/>
        </w:rPr>
        <w:footnoteReference w:id="27"/>
      </w:r>
      <w:r>
        <w:rPr>
          <w:sz w:val="24"/>
          <w:szCs w:val="24"/>
        </w:rPr>
        <w:t xml:space="preserve"> As long as the slave trade was thriving and the problem of reproducing the labor force was resolved through external means, enslaved women were expected to perform hard labor alongside men. When the atlantic slave trade was abolished, this dynamic shifted, and enslaved women were forced to bear and raise children - future workers. Mies notes that colonial administrators enacted “incentives in the slave codes of the late eighteenth and nineteenth centuries to encourage local breeding of slaves by slave women on the plantations.”</w:t>
      </w:r>
      <w:r>
        <w:rPr>
          <w:rStyle w:val="FootnoteReference"/>
          <w:sz w:val="24"/>
          <w:szCs w:val="24"/>
          <w:vertAlign w:val="superscript"/>
        </w:rPr>
        <w:footnoteReference w:id="28"/>
      </w:r>
    </w:p>
    <w:p>
      <w:pPr>
        <w:pStyle w:val="Normal"/>
        <w:bidi w:val="0"/>
        <w:spacing w:lineRule="auto" w:line="480" w:before="0" w:after="0"/>
        <w:ind w:firstLine="720" w:start="0" w:end="0"/>
        <w:jc w:val="start"/>
        <w:rPr>
          <w:rFonts w:ascii="Liberation Serif" w:hAnsi="Liberation Serif"/>
        </w:rPr>
      </w:pPr>
      <w:r>
        <w:rPr>
          <w:sz w:val="24"/>
          <w:szCs w:val="24"/>
        </w:rPr>
        <w:t>How did these dynamics play out in the twentieth century in the rubber fields? de Mello and Melkebeke seem to indicate that the 19th century practices of slaving raids in the Congo, in which “people were captured and enslaved, usually men, but also women, who were incorporated into the raiders’ harems,” were continued by rubber producers in the 20th century.</w:t>
      </w:r>
      <w:r>
        <w:rPr>
          <w:rStyle w:val="FootnoteReference"/>
          <w:sz w:val="24"/>
          <w:szCs w:val="24"/>
          <w:vertAlign w:val="superscript"/>
        </w:rPr>
        <w:footnoteReference w:id="29"/>
      </w:r>
      <w:r>
        <w:rPr>
          <w:sz w:val="24"/>
          <w:szCs w:val="24"/>
        </w:rPr>
        <w:t xml:space="preserve"> However, women also occasionally worked in the rubber fields. As a result of this system, the Congo witnessed a significant demographic decline, with “contemporary observers and present-day scholars [agreeing] on rural depopulation and decimation of the Congolese,” along with “numerous cases of depopulated villages”</w:t>
      </w:r>
      <w:r>
        <w:rPr>
          <w:rStyle w:val="FootnoteReference"/>
          <w:sz w:val="24"/>
          <w:szCs w:val="24"/>
          <w:vertAlign w:val="superscript"/>
        </w:rPr>
        <w:footnoteReference w:id="30"/>
      </w:r>
      <w:r>
        <w:rPr>
          <w:sz w:val="24"/>
          <w:szCs w:val="24"/>
        </w:rPr>
        <w:t xml:space="preserve"> - homes standing empty save for ghosts. The situation in the Amazon was analogous: “In general terms, the demographic post-boom scenario is marked by the emptying of villages or whole regions, being caused either by workforce recruitment, the resulting unsustainable livelihood, death by diseases, ethnocide, demographic replacement and miscegenation or encroachment.”</w:t>
      </w:r>
      <w:r>
        <w:rPr>
          <w:rStyle w:val="FootnoteReference"/>
          <w:sz w:val="24"/>
          <w:szCs w:val="24"/>
          <w:vertAlign w:val="superscript"/>
        </w:rPr>
        <w:footnoteReference w:id="31"/>
      </w:r>
      <w:r>
        <w:rPr>
          <w:sz w:val="24"/>
          <w:szCs w:val="24"/>
        </w:rPr>
        <w:t xml:space="preserve"> </w:t>
      </w:r>
    </w:p>
    <w:p>
      <w:pPr>
        <w:pStyle w:val="Normal"/>
        <w:bidi w:val="0"/>
        <w:spacing w:lineRule="auto" w:line="480" w:before="0" w:after="0"/>
        <w:ind w:firstLine="720" w:start="0" w:end="0"/>
        <w:jc w:val="start"/>
        <w:rPr>
          <w:highlight w:val="none"/>
          <w:shd w:fill="FFFF00" w:val="clear"/>
        </w:rPr>
      </w:pPr>
      <w:r>
        <w:rPr>
          <w:sz w:val="24"/>
          <w:szCs w:val="24"/>
          <w:shd w:fill="FFFF00" w:val="clear"/>
        </w:rPr>
        <w:t>[transition to plantation rubber]</w:t>
      </w:r>
    </w:p>
    <w:p>
      <w:pPr>
        <w:pStyle w:val="Normal"/>
        <w:bidi w:val="0"/>
        <w:spacing w:lineRule="auto" w:line="480" w:before="0" w:after="0"/>
        <w:ind w:firstLine="720" w:start="0" w:end="0"/>
        <w:jc w:val="start"/>
        <w:rPr>
          <w:rFonts w:ascii="Liberation Serif" w:hAnsi="Liberation Serif"/>
        </w:rPr>
      </w:pPr>
      <w:r>
        <w:rPr>
          <w:sz w:val="24"/>
          <w:szCs w:val="24"/>
        </w:rPr>
        <w:t xml:space="preserve">The </w:t>
      </w:r>
      <w:commentRangeStart w:id="2"/>
      <w:r>
        <w:rPr>
          <w:sz w:val="24"/>
          <w:szCs w:val="24"/>
        </w:rPr>
        <w:t>Brazilian</w:t>
      </w:r>
      <w:r>
        <w:rPr>
          <w:sz w:val="24"/>
          <w:szCs w:val="24"/>
        </w:rPr>
      </w:r>
      <w:commentRangeEnd w:id="2"/>
      <w:r>
        <w:commentReference w:id="2"/>
      </w:r>
      <w:r>
        <w:rPr>
          <w:sz w:val="24"/>
          <w:szCs w:val="24"/>
        </w:rPr>
        <w:t xml:space="preserve"> rubber industry was quite volatile, in large part because of the inconsistent nature of the production system. Rubber in Brazil was not produced on plantations, but was gathered from wild rubber trees by contract workers. Although the exploitation of tappers by traders and barons was significant and the </w:t>
      </w:r>
      <w:r>
        <w:rPr>
          <w:sz w:val="24"/>
          <w:szCs w:val="24"/>
        </w:rPr>
        <w:t>labor productivity of wild tapping was low</w:t>
      </w:r>
      <w:r>
        <w:rPr>
          <w:sz w:val="24"/>
          <w:szCs w:val="24"/>
        </w:rPr>
        <w:t>, there were several factors that impeded the rationalization and industrialization of rubber production in Brazil. Oliver T. Coomes and Bradford L. Barham note two explanations for the relative failure of proletarianization among Brazilian rubber tappers.</w:t>
      </w:r>
      <w:r>
        <w:rPr>
          <w:rStyle w:val="FootnoteReference"/>
          <w:sz w:val="24"/>
          <w:szCs w:val="24"/>
          <w:vertAlign w:val="superscript"/>
        </w:rPr>
        <w:footnoteReference w:id="32"/>
      </w:r>
      <w:r>
        <w:rPr>
          <w:sz w:val="24"/>
          <w:szCs w:val="24"/>
        </w:rPr>
        <w:t xml:space="preserve"> The first was tapper resistance: the desire among tappers to maintain the relative autonomy of piece work and their aversion to wage-labor. Along with the traders, tappers actively resisted the development of plantations. The second explanation was “a South American leaf blight, which flourished in closed-canopy Amazonian rubber stands”</w:t>
      </w:r>
      <w:r>
        <w:rPr>
          <w:rStyle w:val="FootnoteReference"/>
          <w:sz w:val="24"/>
          <w:szCs w:val="24"/>
          <w:vertAlign w:val="superscript"/>
        </w:rPr>
        <w:footnoteReference w:id="33"/>
      </w:r>
      <w:r>
        <w:rPr>
          <w:sz w:val="24"/>
          <w:szCs w:val="24"/>
        </w:rPr>
        <w:t xml:space="preserve"> that damaged the Amazonian crop relative to rubber grown in Asia.</w:t>
      </w:r>
    </w:p>
    <w:p>
      <w:pPr>
        <w:pStyle w:val="Normal"/>
        <w:bidi w:val="0"/>
        <w:spacing w:lineRule="auto" w:line="480" w:before="0" w:after="0"/>
        <w:ind w:firstLine="720" w:start="0" w:end="0"/>
        <w:jc w:val="start"/>
        <w:rPr>
          <w:b w:val="false"/>
          <w:bCs w:val="false"/>
        </w:rPr>
      </w:pPr>
      <w:r>
        <w:rPr>
          <w:b w:val="false"/>
          <w:bCs w:val="false"/>
          <w:i w:val="false"/>
          <w:iCs w:val="false"/>
          <w:sz w:val="24"/>
          <w:szCs w:val="24"/>
          <w:shd w:fill="FFFF00" w:val="clear"/>
        </w:rPr>
        <w:t>[lacuna]</w:t>
      </w:r>
    </w:p>
    <w:p>
      <w:pPr>
        <w:pStyle w:val="Normal"/>
        <w:bidi w:val="0"/>
        <w:spacing w:lineRule="auto" w:line="480" w:before="0" w:after="0"/>
        <w:ind w:firstLine="720" w:start="0" w:end="0"/>
        <w:jc w:val="start"/>
        <w:rPr>
          <w:rFonts w:ascii="Liberation Serif" w:hAnsi="Liberation Serif"/>
        </w:rPr>
      </w:pPr>
      <w:commentRangeStart w:id="3"/>
      <w:r>
        <w:rPr>
          <w:sz w:val="24"/>
          <w:szCs w:val="24"/>
        </w:rPr>
        <w:t xml:space="preserve">The lesson of Fordlandia is not that the Brazilian Jungle was too wild to be tamed, or that its workers were somehow unready for rationalized proletarianization. Rather, the failed dynamic of peripheral/core relations within the Fordist outpost highlights what Gunder Frank called the development of underdevelopment. </w:t>
      </w:r>
      <w:r>
        <w:rPr>
          <w:sz w:val="24"/>
          <w:szCs w:val="24"/>
        </w:rPr>
      </w:r>
      <w:commentRangeEnd w:id="3"/>
      <w:r>
        <w:commentReference w:id="3"/>
      </w:r>
      <w:r>
        <w:rPr>
          <w:sz w:val="24"/>
          <w:szCs w:val="24"/>
        </w:rPr>
        <w:t>The strictures of the world-system did not allow for the generalization of production conditions in the core, but required the development of severe conditions specific to the periphery. The articulation between core-like productive relations and peripheral productive relations is of central concern to world-systems analysts, and mapping its contours in the Fordist case is the first step in my project. My ultimate goal is to situate housing policy and the social-reproduction of the labor force within this global dynamic. How do social reproductive pressures manifest at various points along the global commodity chain, and how do structures of housing respond to and influence them?</w:t>
      </w:r>
    </w:p>
    <w:p>
      <w:pPr>
        <w:pStyle w:val="Normal"/>
        <w:bidi w:val="0"/>
        <w:spacing w:lineRule="auto" w:line="480" w:before="0" w:after="0"/>
        <w:ind w:firstLine="720" w:start="0" w:end="0"/>
        <w:jc w:val="start"/>
        <w:rPr>
          <w:rFonts w:ascii="Liberation Serif" w:hAnsi="Liberation Serif"/>
        </w:rPr>
      </w:pPr>
      <w:r>
        <w:rPr>
          <w:sz w:val="24"/>
          <w:szCs w:val="24"/>
          <w:shd w:fill="FFFF00" w:val="clear"/>
        </w:rPr>
        <w:t>[lacuna]</w:t>
      </w:r>
    </w:p>
    <w:p>
      <w:pPr>
        <w:pStyle w:val="Normal"/>
        <w:bidi w:val="0"/>
        <w:spacing w:lineRule="auto" w:line="480" w:before="0" w:after="0"/>
        <w:ind w:firstLine="720" w:start="0" w:end="0"/>
        <w:jc w:val="start"/>
        <w:rPr>
          <w:rFonts w:ascii="Liberation Serif" w:hAnsi="Liberation Serif"/>
        </w:rPr>
      </w:pPr>
      <w:r>
        <w:rPr>
          <w:sz w:val="24"/>
          <w:szCs w:val="24"/>
        </w:rPr>
        <w:t>As wild harvested rubber declined on the world stage, hampered by the South American blight in the Amazon, King Leopold’s personal finances in the Congo, and the inefficiency of production everywhere, it was replaced by plantation rubber in southeast Asia. Rubber plants were first brought to Malaya in the 1870s, but were not cultivated on a large scale until 1897-8 when plantation owners were looking for a replacement for failing coffee crops.</w:t>
      </w:r>
      <w:r>
        <w:rPr>
          <w:rStyle w:val="FootnoteReference"/>
          <w:sz w:val="24"/>
          <w:szCs w:val="24"/>
          <w:vertAlign w:val="superscript"/>
        </w:rPr>
        <w:footnoteReference w:id="34"/>
      </w:r>
      <w:r>
        <w:rPr>
          <w:sz w:val="24"/>
          <w:szCs w:val="24"/>
        </w:rPr>
        <w:t xml:space="preserve"> With the Malay Reservations Enactment in 1913, foreigners were allowed to purchase land in certain areas and large rubber plantations developed, requiring a large immigrant workforce. To supply this demand, the government of the Federated Malay States proposed a policy centered around three points: the development of a free workforce; the recruitment of immigrant workers from India, and regulation of employment conditions (e.g. hospitals, water, housing etc.).</w:t>
      </w:r>
      <w:r>
        <w:rPr>
          <w:rStyle w:val="FootnoteReference"/>
          <w:sz w:val="24"/>
          <w:szCs w:val="24"/>
          <w:vertAlign w:val="superscript"/>
        </w:rPr>
        <w:footnoteReference w:id="35"/>
      </w:r>
    </w:p>
    <w:p>
      <w:pPr>
        <w:pStyle w:val="Normal"/>
        <w:bidi w:val="0"/>
        <w:spacing w:lineRule="auto" w:line="480" w:before="0" w:after="0"/>
        <w:ind w:firstLine="720" w:start="0" w:end="0"/>
        <w:jc w:val="start"/>
        <w:rPr>
          <w:rFonts w:ascii="Liberation Serif" w:hAnsi="Liberation Serif"/>
        </w:rPr>
      </w:pPr>
      <w:r>
        <w:rPr>
          <w:sz w:val="24"/>
          <w:szCs w:val="24"/>
        </w:rPr>
        <w:t xml:space="preserve">In practice, this policy led to significantly better working conditions than those in the Amazon and the Congo, but worse than those of auto workers in Michigan. J. Norman Parker, in </w:t>
      </w:r>
      <w:r>
        <w:rPr>
          <w:i/>
          <w:sz w:val="24"/>
          <w:szCs w:val="24"/>
        </w:rPr>
        <w:t>Colonial Labor Policy</w:t>
      </w:r>
      <w:r>
        <w:rPr>
          <w:sz w:val="24"/>
          <w:szCs w:val="24"/>
        </w:rPr>
        <w:t>, notes that in Malaya, “to be a free laborer often had little real meaning since the working conditions of a free laborer and an indentured laborer differed little or not at all.”</w:t>
      </w:r>
      <w:r>
        <w:rPr>
          <w:rStyle w:val="FootnoteReference"/>
          <w:sz w:val="24"/>
          <w:szCs w:val="24"/>
          <w:vertAlign w:val="superscript"/>
        </w:rPr>
        <w:footnoteReference w:id="36"/>
      </w:r>
      <w:r>
        <w:rPr>
          <w:sz w:val="24"/>
          <w:szCs w:val="24"/>
        </w:rPr>
        <w:t xml:space="preserve"> Most of the workers, indentured or free, worked for a wage that was differentiated on type of job and the sex and race of the worker. Women generally received “between 70 and 80 percent of male laborers’ wages”</w:t>
      </w:r>
      <w:r>
        <w:rPr>
          <w:rStyle w:val="FootnoteReference"/>
          <w:sz w:val="24"/>
          <w:szCs w:val="24"/>
          <w:vertAlign w:val="superscript"/>
        </w:rPr>
        <w:footnoteReference w:id="37"/>
      </w:r>
      <w:r>
        <w:rPr>
          <w:sz w:val="24"/>
          <w:szCs w:val="24"/>
        </w:rPr>
        <w:t xml:space="preserve"> and Chinese laborers received more than Indian or Javanese workers. For all workers, the workday was limited, although planters struggled to extend it. </w:t>
      </w:r>
    </w:p>
    <w:p>
      <w:pPr>
        <w:pStyle w:val="Normal"/>
        <w:bidi w:val="0"/>
        <w:spacing w:lineRule="auto" w:line="480" w:before="0" w:after="0"/>
        <w:ind w:firstLine="720" w:start="0" w:end="0"/>
        <w:jc w:val="start"/>
        <w:rPr>
          <w:rFonts w:ascii="Liberation Serif" w:hAnsi="Liberation Serif"/>
        </w:rPr>
      </w:pPr>
      <w:r>
        <w:rPr>
          <w:sz w:val="24"/>
          <w:szCs w:val="24"/>
        </w:rPr>
        <w:t>In Malaya, a steady supply of workers was ensured by the enticement of good pay, and “in the possibility of his being able, during his two or three years average stay in this country, to remit small amounts of money to relations.”</w:t>
      </w:r>
      <w:r>
        <w:rPr>
          <w:rStyle w:val="FootnoteReference"/>
          <w:sz w:val="24"/>
          <w:szCs w:val="24"/>
          <w:vertAlign w:val="superscript"/>
        </w:rPr>
        <w:footnoteReference w:id="38"/>
      </w:r>
      <w:r>
        <w:rPr>
          <w:sz w:val="24"/>
          <w:szCs w:val="24"/>
        </w:rPr>
        <w:t xml:space="preserve"> As in the Congo and the Amazon, the labor force was not reproduced locally and generationally, but through tapping an external source of potential workers. In this case, the government of India worked with Malaya to facilitate the migration of workers from southern India to the Malayan rubber fields. Unlike in the wild cultivation fields across the world, workers in Malaya were paid in cash, and employers were directed to provide for workers’ housing, sanitation and medical care in addition to wages.</w:t>
      </w:r>
      <w:r>
        <w:rPr>
          <w:rStyle w:val="FootnoteReference"/>
          <w:sz w:val="24"/>
          <w:szCs w:val="24"/>
          <w:vertAlign w:val="superscript"/>
        </w:rPr>
        <w:footnoteReference w:id="39"/>
      </w:r>
      <w:r>
        <w:rPr>
          <w:sz w:val="24"/>
          <w:szCs w:val="24"/>
        </w:rPr>
        <w:t xml:space="preserve"> In the 1920s, the level of acceptable wage and quality of social provisions was a fixed point of contention between the government of India, who facilitated the supply of immigrant workers, and the government of Malaya and the planters, who wanted to reduce costs. </w:t>
      </w:r>
    </w:p>
    <w:p>
      <w:pPr>
        <w:pStyle w:val="Normal"/>
        <w:bidi w:val="0"/>
        <w:spacing w:lineRule="auto" w:line="480" w:before="0" w:after="0"/>
        <w:ind w:firstLine="720" w:start="0" w:end="0"/>
        <w:jc w:val="start"/>
        <w:rPr>
          <w:rFonts w:ascii="Liberation Serif" w:hAnsi="Liberation Serif"/>
        </w:rPr>
      </w:pPr>
      <w:r>
        <w:rPr>
          <w:sz w:val="24"/>
          <w:szCs w:val="24"/>
        </w:rPr>
        <w:t xml:space="preserve">The question of social reproduction is complicated by the introduction of migrant and indentured labor. As with seasonal/transhumant labor in the Amazon, the social reproductive dynamics of migrant workers in colonial Malaya were stretched across vast distances. The existing communities of workers in India and Malaya were disrupted by migration, but do not seem to have been destroyed as in the Congo and among indigenous Amazonians. Rather, the social reproduction of the workforce became bifurcated, operating locally within the amenities of the rubber plantations and regionally through cash transfers across borders. This introduces significant complications to the question of housing and labor reproduction, but provides an exciting opportunity to examine the fundamental relationship between labor and housing in capitalism as it is attenuated by geographical and political space. </w:t>
      </w:r>
    </w:p>
    <w:p>
      <w:pPr>
        <w:pStyle w:val="Normal"/>
        <w:bidi w:val="0"/>
        <w:spacing w:lineRule="auto" w:line="480" w:before="0" w:after="0"/>
        <w:ind w:firstLine="720" w:start="0" w:end="0"/>
        <w:jc w:val="start"/>
        <w:rPr>
          <w:rFonts w:ascii="Liberation Serif" w:hAnsi="Liberation Serif"/>
        </w:rPr>
      </w:pPr>
      <w:r>
        <w:rPr>
          <w:sz w:val="24"/>
          <w:szCs w:val="24"/>
        </w:rPr>
        <w:t>A steady supply of laborers is a central problem for industry everywhere. The housing and social-reproductive conditions for laborers varied along the global automotive commodity chain. Even at the point of the chain where rubber entered the production process, the living conditions of workers in different regions were structured differently by global and local pressures. The conditions of the reproduction of labor responded to factors such as the availability of cheap labor from an outside source, the resistance of workers to changes in their social and communal patterns, and the type of labor required by capital.</w:t>
      </w:r>
    </w:p>
    <w:sectPr>
      <w:footerReference w:type="default" r:id="rId2"/>
      <w:footnotePr>
        <w:numFmt w:val="decimal"/>
      </w:footnotePr>
      <w:type w:val="nextPage"/>
      <w:pgSz w:w="12240" w:h="15840"/>
      <w:pgMar w:left="1440" w:right="1440" w:gutter="0" w:header="0" w:top="1440" w:footer="1440" w:bottom="1999"/>
      <w:pgNumType w:fmt="decimal"/>
      <w:formProt w:val="false"/>
      <w:textDirection w:val="lrTb"/>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5-11T11:49:25Z" w:initials="">
    <w:p>
      <w:pPr>
        <w:overflowPunct w:val="true"/>
        <w:bidi w:val="0"/>
        <w:spacing w:lineRule="auto" w:line="240"/>
        <w:rPr/>
      </w:pPr>
      <w:r>
        <w:rPr>
          <w:rFonts w:ascii="Liberation Serif" w:hAnsi="Liberation Serif" w:eastAsia="DejaVu Sans" w:cs="Noto Sans Arabic"/>
          <w:kern w:val="0"/>
          <w:sz w:val="24"/>
          <w:szCs w:val="24"/>
          <w:lang w:val="en-US" w:eastAsia="en-US" w:bidi="en-US"/>
        </w:rPr>
        <w:t>hmmmmm</w:t>
      </w:r>
    </w:p>
  </w:comment>
  <w:comment w:id="1" w:author="Unknown Author" w:date="2026-05-13T12:00:44Z" w:initials="">
    <w:p>
      <w:pPr>
        <w:overflowPunct w:val="false"/>
        <w:bidi w:val="0"/>
        <w:rPr/>
      </w:pPr>
      <w:r>
        <w:rPr>
          <w:rFonts w:eastAsia="DejaVu Sans" w:cs="Noto Sans Arabic"/>
          <w:kern w:val="0"/>
          <w:lang w:val="en-US" w:eastAsia="en-US" w:bidi="en-US"/>
        </w:rPr>
        <w:t>Not necessarily true in the Amazon</w:t>
      </w:r>
    </w:p>
  </w:comment>
  <w:comment w:id="2" w:author="Kenyon Cavender" w:date="2023-11-01T19:27:43Z" w:initials="">
    <w:p>
      <w:pPr>
        <w:overflowPunct w:val="true"/>
        <w:bidi w:val="0"/>
        <w:spacing w:lineRule="auto" w:line="240"/>
        <w:rPr/>
      </w:pPr>
      <w:r>
        <w:rPr>
          <w:rFonts w:ascii="Arial" w:hAnsi="Arial" w:eastAsia="Arial" w:cs="Arial"/>
          <w:b w:val="false"/>
          <w:i w:val="false"/>
          <w:caps w:val="false"/>
          <w:smallCaps w:val="false"/>
          <w:strike w:val="false"/>
          <w:dstrike w:val="false"/>
          <w:color w:val="000000"/>
          <w:kern w:val="0"/>
          <w:position w:val="0"/>
          <w:sz w:val="22"/>
          <w:sz w:val="22"/>
          <w:szCs w:val="22"/>
          <w:u w:val="none"/>
          <w:vertAlign w:val="baseline"/>
          <w:lang w:val="en-US" w:eastAsia="en-US" w:bidi="en-US"/>
        </w:rPr>
        <w:t>brazil vs amazon - make this correct everywhere</w:t>
      </w:r>
    </w:p>
  </w:comment>
  <w:comment w:id="3" w:author="Unknown Author" w:date="2026-05-13T11:49:09Z" w:initials="">
    <w:p>
      <w:pPr>
        <w:overflowPunct w:val="false"/>
        <w:bidi w:val="0"/>
        <w:rPr/>
      </w:pPr>
      <w:r>
        <w:rPr>
          <w:rFonts w:eastAsia="DejaVu Sans" w:cs="Noto Sans Arabic"/>
          <w:kern w:val="0"/>
          <w:lang w:val="en-US" w:eastAsia="en-US" w:bidi="en-US"/>
        </w:rPr>
        <w:t>bad</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Default_Page_Style1"/>
    <w:r>
      <w:rPr/>
      <w:fldChar w:fldCharType="begin"/>
    </w:r>
    <w:r>
      <w:rPr/>
      <w:instrText xml:space="preserve"> PAGE </w:instrText>
    </w:r>
    <w:r>
      <w:rPr/>
      <w:fldChar w:fldCharType="separate"/>
    </w:r>
    <w:r>
      <w:rPr/>
      <w:t>13</w:t>
    </w:r>
    <w:r>
      <w:rPr/>
      <w:fldChar w:fldCharType="end"/>
    </w:r>
    <w:bookmarkEnd w:id="0"/>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Wallerstein, Immanuel. 2004. </w:t>
      </w:r>
      <w:r>
        <w:rPr>
          <w:rFonts w:eastAsia="Times New Roman" w:cs="Times New Roman"/>
          <w:i/>
          <w:sz w:val="20"/>
          <w:szCs w:val="20"/>
        </w:rPr>
        <w:t>World-Systems Analysis: An Introduction</w:t>
      </w:r>
      <w:r>
        <w:rPr>
          <w:rFonts w:eastAsia="Times New Roman" w:cs="Times New Roman"/>
          <w:sz w:val="20"/>
          <w:szCs w:val="20"/>
        </w:rPr>
        <w:t>. Durham: Duke University Press. 60</w:t>
      </w:r>
    </w:p>
  </w:footnote>
  <w:footnote w:id="3">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Andre Gunder Frank. 1966. “The Development of Underdevelopment.” </w:t>
      </w:r>
      <w:r>
        <w:rPr>
          <w:rFonts w:eastAsia="Times New Roman" w:cs="Times New Roman"/>
          <w:i/>
          <w:sz w:val="20"/>
          <w:szCs w:val="20"/>
        </w:rPr>
        <w:t>Monthly Review</w:t>
      </w:r>
      <w:r>
        <w:rPr>
          <w:rFonts w:eastAsia="Times New Roman" w:cs="Times New Roman"/>
          <w:sz w:val="20"/>
          <w:szCs w:val="20"/>
        </w:rPr>
        <w:t>. 18:4. 17-31.</w:t>
      </w:r>
    </w:p>
  </w:footnote>
  <w:footnote w:id="4">
    <w:p>
      <w:pPr>
        <w:pStyle w:val="FootnoteText"/>
        <w:suppressLineNumbers/>
        <w:bidi w:val="0"/>
        <w:ind w:hanging="340" w:start="340"/>
        <w:jc w:val="start"/>
        <w:rPr/>
      </w:pPr>
      <w:r>
        <w:rPr>
          <w:rStyle w:val="FootnoteCharacters"/>
        </w:rPr>
        <w:footnoteRef/>
      </w:r>
      <w:r>
        <w:rPr/>
        <w:tab/>
        <w:t>Frank. “The Development of Underdevelopment.” 21.</w:t>
      </w:r>
    </w:p>
  </w:footnote>
  <w:footnote w:id="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Amin, Samir. 1971. </w:t>
      </w:r>
      <w:r>
        <w:rPr>
          <w:rFonts w:eastAsia="Times New Roman" w:cs="Times New Roman"/>
          <w:i/>
          <w:sz w:val="20"/>
          <w:szCs w:val="20"/>
        </w:rPr>
        <w:t>Accumulation on a World Scale</w:t>
      </w:r>
      <w:r>
        <w:rPr>
          <w:rFonts w:eastAsia="Times New Roman" w:cs="Times New Roman"/>
          <w:sz w:val="20"/>
          <w:szCs w:val="20"/>
        </w:rPr>
        <w:t>. Monthly Review Press. 13</w:t>
      </w:r>
    </w:p>
  </w:footnote>
  <w:footnote w:id="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Accumulation,</w:t>
      </w:r>
      <w:r>
        <w:rPr>
          <w:rFonts w:eastAsia="Times New Roman" w:cs="Times New Roman"/>
          <w:sz w:val="20"/>
          <w:szCs w:val="20"/>
        </w:rPr>
        <w:t xml:space="preserve"> 18</w:t>
      </w:r>
    </w:p>
  </w:footnote>
  <w:footnote w:id="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 xml:space="preserve">Accumulation, </w:t>
      </w:r>
      <w:r>
        <w:rPr>
          <w:rFonts w:eastAsia="Times New Roman" w:cs="Times New Roman"/>
          <w:sz w:val="20"/>
          <w:szCs w:val="20"/>
        </w:rPr>
        <w:t>16</w:t>
      </w:r>
    </w:p>
  </w:footnote>
  <w:footnote w:id="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 xml:space="preserve">Accumulation, </w:t>
      </w:r>
      <w:r>
        <w:rPr>
          <w:rFonts w:eastAsia="Times New Roman" w:cs="Times New Roman"/>
          <w:sz w:val="20"/>
          <w:szCs w:val="20"/>
        </w:rPr>
        <w:t>16</w:t>
      </w:r>
    </w:p>
  </w:footnote>
  <w:footnote w:id="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Hopkins, Terence K., Immanuel Wallerstein. 1977. “Patterns of Development of the Modern World-System.” </w:t>
      </w:r>
      <w:r>
        <w:rPr>
          <w:rFonts w:eastAsia="Times New Roman" w:cs="Times New Roman"/>
          <w:i/>
          <w:sz w:val="20"/>
          <w:szCs w:val="20"/>
        </w:rPr>
        <w:t>Review (Fernand Braudel Center).</w:t>
      </w:r>
      <w:r>
        <w:rPr>
          <w:rFonts w:eastAsia="Times New Roman" w:cs="Times New Roman"/>
          <w:sz w:val="20"/>
          <w:szCs w:val="20"/>
        </w:rPr>
        <w:t xml:space="preserve"> 111</w:t>
      </w:r>
    </w:p>
  </w:footnote>
  <w:footnote w:id="10">
    <w:p>
      <w:pPr>
        <w:pStyle w:val="FootnoteText"/>
        <w:suppressLineNumbers/>
        <w:bidi w:val="0"/>
        <w:ind w:hanging="340" w:start="340"/>
        <w:jc w:val="start"/>
        <w:rPr/>
      </w:pPr>
      <w:r>
        <w:rPr>
          <w:rStyle w:val="FootnoteCharacters"/>
        </w:rPr>
        <w:footnoteRef/>
      </w:r>
      <w:r>
        <w:rPr/>
        <w:tab/>
        <w:t>Hopkins, Wallerstein, 1977, 112</w:t>
      </w:r>
    </w:p>
  </w:footnote>
  <w:footnote w:id="1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Bunker, Stephen G., and Paul S. Ciccantell. 2005. </w:t>
      </w:r>
      <w:r>
        <w:rPr>
          <w:rFonts w:eastAsia="Times New Roman" w:cs="Times New Roman"/>
          <w:i/>
          <w:sz w:val="20"/>
          <w:szCs w:val="20"/>
        </w:rPr>
        <w:t>Globalization and the Race for Resources</w:t>
      </w:r>
      <w:r>
        <w:rPr>
          <w:rFonts w:eastAsia="Times New Roman" w:cs="Times New Roman"/>
          <w:sz w:val="20"/>
          <w:szCs w:val="20"/>
        </w:rPr>
        <w:t>. Baltimore: Johns Hopkins University Press. 19</w:t>
      </w:r>
    </w:p>
  </w:footnote>
  <w:footnote w:id="1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Smith, David A., Paul S. Ciccantell, and Elizabeth A. Sowers. 2023. “Reconstructing Commodity Chain Analysis as World-Systems Analysis,” in </w:t>
      </w:r>
      <w:r>
        <w:rPr>
          <w:rFonts w:eastAsia="Times New Roman" w:cs="Times New Roman"/>
          <w:i/>
          <w:sz w:val="20"/>
          <w:szCs w:val="20"/>
        </w:rPr>
        <w:t>World-Systems Analysis at a Critical Juncture</w:t>
      </w:r>
      <w:r>
        <w:rPr>
          <w:rFonts w:eastAsia="Times New Roman" w:cs="Times New Roman"/>
          <w:sz w:val="20"/>
          <w:szCs w:val="20"/>
        </w:rPr>
        <w:t>, eds. Corey R. Payne, Roberto Patricio Korzeniewicz, and Beverly J. Silver, New York: Routledge. 62</w:t>
      </w:r>
    </w:p>
  </w:footnote>
  <w:footnote w:id="13">
    <w:p>
      <w:pPr>
        <w:pStyle w:val="FootnoteText"/>
        <w:bidi w:val="0"/>
        <w:jc w:val="start"/>
        <w:rPr>
          <w:rFonts w:ascii="Liberation Serif" w:hAnsi="Liberation Serif"/>
        </w:rPr>
      </w:pPr>
      <w:r>
        <w:rPr>
          <w:rStyle w:val="FootnoteCharacters"/>
        </w:rPr>
        <w:footnoteRef/>
      </w:r>
      <w:r>
        <w:rPr/>
        <w:tab/>
        <w:t>Smith et al, “Reconstructing Commodity Chain Analysis,” 62</w:t>
      </w:r>
    </w:p>
  </w:footnote>
  <w:footnote w:id="14">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Grandin, Greg. 2013. “Empire’s Ruins: Detroit to the Amazon.” in </w:t>
      </w:r>
      <w:r>
        <w:rPr>
          <w:rFonts w:eastAsia="Times New Roman" w:cs="Times New Roman"/>
          <w:i/>
          <w:sz w:val="20"/>
          <w:szCs w:val="20"/>
        </w:rPr>
        <w:t>Imperial Debris</w:t>
      </w:r>
      <w:r>
        <w:rPr>
          <w:rFonts w:eastAsia="Times New Roman" w:cs="Times New Roman"/>
          <w:sz w:val="20"/>
          <w:szCs w:val="20"/>
        </w:rPr>
        <w:t>, ed. Ann Laura Stoler. Durham: Duke University Press. 118</w:t>
      </w:r>
    </w:p>
  </w:footnote>
  <w:footnote w:id="1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Coates, Austin. 1987. </w:t>
      </w:r>
      <w:r>
        <w:rPr>
          <w:rFonts w:eastAsia="Times New Roman" w:cs="Times New Roman"/>
          <w:i/>
          <w:sz w:val="20"/>
          <w:szCs w:val="20"/>
        </w:rPr>
        <w:t>Commerce in Rubber: The First 250 Years</w:t>
      </w:r>
      <w:r>
        <w:rPr>
          <w:rFonts w:eastAsia="Times New Roman" w:cs="Times New Roman"/>
          <w:sz w:val="20"/>
          <w:szCs w:val="20"/>
        </w:rPr>
        <w:t>. Oxford: Oxford University Press. 49</w:t>
      </w:r>
    </w:p>
  </w:footnote>
  <w:footnote w:id="1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134</w:t>
      </w:r>
    </w:p>
  </w:footnote>
  <w:footnote w:id="1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Bunker and Ciccantell, </w:t>
      </w:r>
      <w:r>
        <w:rPr>
          <w:rFonts w:eastAsia="Times New Roman" w:cs="Times New Roman"/>
          <w:i/>
          <w:sz w:val="20"/>
          <w:szCs w:val="20"/>
        </w:rPr>
        <w:t>Globalization</w:t>
      </w:r>
      <w:r>
        <w:rPr>
          <w:rFonts w:eastAsia="Times New Roman" w:cs="Times New Roman"/>
          <w:sz w:val="20"/>
          <w:szCs w:val="20"/>
        </w:rPr>
        <w:t>, 39</w:t>
      </w:r>
    </w:p>
  </w:footnote>
  <w:footnote w:id="1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115</w:t>
      </w:r>
    </w:p>
  </w:footnote>
  <w:footnote w:id="1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94</w:t>
      </w:r>
    </w:p>
  </w:footnote>
  <w:footnote w:id="2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162</w:t>
      </w:r>
    </w:p>
  </w:footnote>
  <w:footnote w:id="21">
    <w:p>
      <w:pPr>
        <w:pStyle w:val="FootnoteText"/>
        <w:suppressLineNumbers/>
        <w:bidi w:val="0"/>
        <w:ind w:hanging="340" w:start="340"/>
        <w:jc w:val="start"/>
        <w:rPr/>
      </w:pPr>
      <w:r>
        <w:rPr>
          <w:rStyle w:val="FootnoteCharacters"/>
        </w:rPr>
        <w:footnoteRef/>
      </w:r>
      <w:r>
        <w:rPr/>
        <w:tab/>
        <w:t>Coomes and Barham, “The Amazon Rubber Boom”. 242</w:t>
      </w:r>
    </w:p>
  </w:footnote>
  <w:footnote w:id="2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de Mello, Louise Cardoso and Sven Van Melkebeke. 2019. “From the Amazon to the Congo Valley,” in </w:t>
      </w:r>
      <w:r>
        <w:rPr>
          <w:rFonts w:eastAsia="Times New Roman" w:cs="Times New Roman"/>
          <w:i/>
          <w:sz w:val="20"/>
          <w:szCs w:val="20"/>
        </w:rPr>
        <w:t>Commodity Frontiers and Global Capitalist Expansion.</w:t>
      </w:r>
      <w:r>
        <w:rPr>
          <w:rFonts w:eastAsia="Times New Roman" w:cs="Times New Roman"/>
          <w:sz w:val="20"/>
          <w:szCs w:val="20"/>
        </w:rPr>
        <w:t xml:space="preserve"> Ed. Sabrina Joseph. Palgrave MacMillan. 148</w:t>
      </w:r>
    </w:p>
  </w:footnote>
  <w:footnote w:id="23">
    <w:p>
      <w:pPr>
        <w:pStyle w:val="FootnoteText"/>
        <w:suppressLineNumbers/>
        <w:bidi w:val="0"/>
        <w:ind w:hanging="340" w:start="340"/>
        <w:jc w:val="start"/>
        <w:rPr/>
      </w:pPr>
      <w:r>
        <w:rPr>
          <w:rStyle w:val="FootnoteCharacters"/>
        </w:rPr>
        <w:footnoteRef/>
      </w:r>
      <w:r>
        <w:rPr/>
        <w:tab/>
        <w:t>de Mello and Melkebeke, “From the Amazon to the Congo Valley,” 143</w:t>
      </w:r>
    </w:p>
  </w:footnote>
  <w:footnote w:id="24">
    <w:p>
      <w:pPr>
        <w:pStyle w:val="FootnoteText"/>
        <w:suppressLineNumbers/>
        <w:bidi w:val="0"/>
        <w:ind w:hanging="340" w:start="340"/>
        <w:jc w:val="start"/>
        <w:rPr/>
      </w:pPr>
      <w:r>
        <w:rPr>
          <w:rStyle w:val="FootnoteCharacters"/>
        </w:rPr>
        <w:footnoteRef/>
      </w:r>
      <w:r>
        <w:rPr/>
        <w:tab/>
        <w:t>de Mello and Melkebeke, “From the Amazon to the Congo Valley,” 147</w:t>
      </w:r>
    </w:p>
  </w:footnote>
  <w:footnote w:id="25">
    <w:p>
      <w:pPr>
        <w:pStyle w:val="FootnoteText"/>
        <w:suppressLineNumbers/>
        <w:bidi w:val="0"/>
        <w:ind w:hanging="340" w:start="340"/>
        <w:jc w:val="start"/>
        <w:rPr/>
      </w:pPr>
      <w:r>
        <w:rPr>
          <w:rStyle w:val="FootnoteCharacters"/>
        </w:rPr>
        <w:footnoteRef/>
      </w:r>
      <w:r>
        <w:rPr/>
        <w:tab/>
        <w:t>de Mello and Melkebeke, “From the Amazon to the Congo Valley,” 152,3</w:t>
      </w:r>
    </w:p>
  </w:footnote>
  <w:footnote w:id="26">
    <w:p>
      <w:pPr>
        <w:pStyle w:val="FootnoteText"/>
        <w:suppressLineNumbers/>
        <w:bidi w:val="0"/>
        <w:ind w:hanging="340" w:start="340"/>
        <w:jc w:val="start"/>
        <w:rPr/>
      </w:pPr>
      <w:r>
        <w:rPr>
          <w:rStyle w:val="FootnoteCharacters"/>
        </w:rPr>
        <w:footnoteRef/>
      </w:r>
      <w:r>
        <w:rPr/>
        <w:tab/>
        <w:t xml:space="preserve">de Mello and Melkebeke, “From the Amazon to the Congo Valley,” 153 </w:t>
      </w:r>
    </w:p>
  </w:footnote>
  <w:footnote w:id="2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Mies, Maria. 1986. </w:t>
      </w:r>
      <w:r>
        <w:rPr>
          <w:rFonts w:eastAsia="Times New Roman" w:cs="Times New Roman"/>
          <w:i/>
          <w:sz w:val="20"/>
          <w:szCs w:val="20"/>
        </w:rPr>
        <w:t xml:space="preserve">Patriarchy and Accumulation on a World Scale. </w:t>
      </w:r>
      <w:r>
        <w:rPr>
          <w:rFonts w:eastAsia="Times New Roman" w:cs="Times New Roman"/>
          <w:sz w:val="20"/>
          <w:szCs w:val="20"/>
        </w:rPr>
        <w:t>London: Zed Books. 91</w:t>
      </w:r>
    </w:p>
  </w:footnote>
  <w:footnote w:id="2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Mies, Maria. </w:t>
      </w:r>
      <w:r>
        <w:rPr>
          <w:rFonts w:eastAsia="Times New Roman" w:cs="Times New Roman"/>
          <w:i/>
          <w:sz w:val="20"/>
          <w:szCs w:val="20"/>
        </w:rPr>
        <w:t>Patriarchy and Accumulation</w:t>
      </w:r>
      <w:r>
        <w:rPr>
          <w:rFonts w:eastAsia="Times New Roman" w:cs="Times New Roman"/>
          <w:sz w:val="20"/>
          <w:szCs w:val="20"/>
        </w:rPr>
        <w:t>. 91</w:t>
      </w:r>
    </w:p>
  </w:footnote>
  <w:footnote w:id="29">
    <w:p>
      <w:pPr>
        <w:pStyle w:val="FootnoteText"/>
        <w:suppressLineNumbers/>
        <w:bidi w:val="0"/>
        <w:ind w:hanging="340" w:start="340"/>
        <w:jc w:val="start"/>
        <w:rPr/>
      </w:pPr>
      <w:r>
        <w:rPr>
          <w:rStyle w:val="FootnoteCharacters"/>
        </w:rPr>
        <w:footnoteRef/>
      </w:r>
      <w:r>
        <w:rPr/>
        <w:tab/>
        <w:t>de Mello and Melkebeke, “From the Amazon to the Congo Valley,” 145,6</w:t>
      </w:r>
    </w:p>
  </w:footnote>
  <w:footnote w:id="30">
    <w:p>
      <w:pPr>
        <w:pStyle w:val="FootnoteText"/>
        <w:suppressLineNumbers/>
        <w:bidi w:val="0"/>
        <w:ind w:hanging="340" w:start="340"/>
        <w:jc w:val="start"/>
        <w:rPr/>
      </w:pPr>
      <w:r>
        <w:rPr>
          <w:rStyle w:val="FootnoteCharacters"/>
        </w:rPr>
        <w:footnoteRef/>
      </w:r>
      <w:r>
        <w:rPr/>
        <w:tab/>
        <w:t>de Mello and Melkebeke, “From the Amazon to the Congo Valley,” 160</w:t>
      </w:r>
    </w:p>
  </w:footnote>
  <w:footnote w:id="31">
    <w:p>
      <w:pPr>
        <w:pStyle w:val="FootnoteText"/>
        <w:suppressLineNumbers/>
        <w:bidi w:val="0"/>
        <w:ind w:hanging="340" w:start="340"/>
        <w:jc w:val="start"/>
        <w:rPr/>
      </w:pPr>
      <w:r>
        <w:rPr>
          <w:rStyle w:val="FootnoteCharacters"/>
        </w:rPr>
        <w:footnoteRef/>
      </w:r>
      <w:r>
        <w:rPr/>
        <w:tab/>
        <w:t>de Mello and Melkebeke, “From the Amazon to the Congo Valley,” 161</w:t>
      </w:r>
    </w:p>
  </w:footnote>
  <w:footnote w:id="3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Coomes, Oliver T. and Bradford L. Barham. 1994. “The Amazon Rubber Boom: Labor Control, Resistance, and Failed Plantation Development Revisited.” </w:t>
      </w:r>
      <w:r>
        <w:rPr>
          <w:rFonts w:eastAsia="Times New Roman" w:cs="Times New Roman"/>
          <w:i/>
          <w:sz w:val="20"/>
          <w:szCs w:val="20"/>
        </w:rPr>
        <w:t>Hispanic American Historical Review.</w:t>
      </w:r>
      <w:r>
        <w:rPr>
          <w:rFonts w:eastAsia="Times New Roman" w:cs="Times New Roman"/>
          <w:sz w:val="20"/>
          <w:szCs w:val="20"/>
        </w:rPr>
        <w:t xml:space="preserve"> Vol 74:2</w:t>
      </w:r>
    </w:p>
  </w:footnote>
  <w:footnote w:id="33">
    <w:p>
      <w:pPr>
        <w:pStyle w:val="FootnoteText"/>
        <w:suppressLineNumbers/>
        <w:bidi w:val="0"/>
        <w:ind w:hanging="340" w:start="340"/>
        <w:jc w:val="start"/>
        <w:rPr/>
      </w:pPr>
      <w:r>
        <w:rPr>
          <w:rStyle w:val="FootnoteCharacters"/>
        </w:rPr>
        <w:footnoteRef/>
      </w:r>
      <w:r>
        <w:rPr/>
        <w:tab/>
        <w:t>Coomes and Barham. “The Amazon Rubber Boom”</w:t>
      </w:r>
    </w:p>
  </w:footnote>
  <w:footnote w:id="34">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Drabble, J. H. 1967. “The Plantation Rubber Industry in Malaya up to 1922.” </w:t>
      </w:r>
      <w:r>
        <w:rPr>
          <w:rFonts w:eastAsia="Times New Roman" w:cs="Times New Roman"/>
          <w:i/>
          <w:sz w:val="20"/>
          <w:szCs w:val="20"/>
        </w:rPr>
        <w:t>Journal of the Malaysian Branch of the Royal Asiatic Society.</w:t>
      </w:r>
      <w:r>
        <w:rPr>
          <w:rFonts w:eastAsia="Times New Roman" w:cs="Times New Roman"/>
          <w:sz w:val="20"/>
          <w:szCs w:val="20"/>
        </w:rPr>
        <w:t xml:space="preserve"> Vol 40:1. 54</w:t>
      </w:r>
    </w:p>
  </w:footnote>
  <w:footnote w:id="35">
    <w:p>
      <w:pPr>
        <w:pStyle w:val="FootnoteText"/>
        <w:bidi w:val="0"/>
        <w:jc w:val="start"/>
        <w:rPr>
          <w:rFonts w:ascii="Liberation Serif" w:hAnsi="Liberation Serif"/>
        </w:rPr>
      </w:pPr>
      <w:r>
        <w:rPr>
          <w:rStyle w:val="FootnoteCharacters"/>
        </w:rPr>
        <w:footnoteRef/>
      </w:r>
      <w:r>
        <w:rPr/>
        <w:tab/>
        <w:t xml:space="preserve">Drabble, “Plantation Rubber Industry,” 59 </w:t>
      </w:r>
    </w:p>
  </w:footnote>
  <w:footnote w:id="3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16</w:t>
      </w:r>
    </w:p>
  </w:footnote>
  <w:footnote w:id="3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168-9</w:t>
      </w:r>
    </w:p>
  </w:footnote>
  <w:footnote w:id="3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177</w:t>
      </w:r>
    </w:p>
  </w:footnote>
  <w:footnote w:id="3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177-8</w:t>
      </w:r>
    </w:p>
  </w:footnote>
</w:footnotes>
</file>

<file path=word/settings.xml><?xml version="1.0" encoding="utf-8"?>
<w:settings xmlns:w="http://schemas.openxmlformats.org/wordprocessingml/2006/main">
  <w:zoom w:percent="73"/>
  <w:defaultTabStop w:val="709"/>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 w:type="paragraph" w:styleId="Comment">
    <w:name w:val="Comment"/>
    <w:basedOn w:val="Normal"/>
    <w:qFormat/>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2026-05-13T11:56:20Z</dcterms:created>
  <dc:creator/>
  <dc:description/>
  <dc:language>en-US</dc:language>
  <cp:lastModifiedBy/>
  <dcterms:modified xsi:type="dcterms:W3CDTF">2026-05-13T12:04:49Z</dcterms:modified>
  <cp:revision>2</cp:revision>
  <dc:subject/>
  <dc:title/>
</cp:coreProperties>
</file>