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still posits a stable, if time-limited, regime of accumulation. For Aglietta the intensive regime of accumulation is an ideal type of capitalist society embodied by Fordist America, and against which other societies can be measured, rather than a </w:t>
      </w:r>
      <w:r>
        <w:rPr>
          <w:sz w:val="24"/>
          <w:szCs w:val="24"/>
        </w:rPr>
        <w:t>compromise between the concrete interests of specific classes and actors</w:t>
      </w:r>
      <w:r>
        <w:rPr>
          <w:sz w:val="24"/>
          <w:szCs w:val="24"/>
        </w:rPr>
        <w:t xml:space="preserve">. Sociologist Simon Clarke criticizes Aglietta, deeming </w:t>
      </w:r>
      <w:r>
        <w:rPr>
          <w:sz w:val="24"/>
          <w:szCs w:val="24"/>
        </w:rPr>
        <w:t>his</w:t>
      </w:r>
      <w:r>
        <w:rPr>
          <w:sz w:val="24"/>
          <w:szCs w:val="24"/>
        </w:rPr>
        <w:t xml:space="preserve"> perspective</w:t>
      </w:r>
      <w:r>
        <w:rPr>
          <w:sz w:val="24"/>
          <w:szCs w:val="24"/>
        </w:rPr>
        <w:t xml:space="preserve"> structural</w:t>
      </w:r>
      <w:r>
        <w:rPr>
          <w:sz w:val="24"/>
          <w:szCs w:val="24"/>
        </w:rPr>
        <w:t>-functionalist</w:t>
      </w:r>
      <w:r>
        <w:rPr>
          <w:sz w:val="24"/>
          <w:szCs w:val="24"/>
        </w:rPr>
        <w: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2"/>
      </w:r>
      <w:r>
        <w:rPr>
          <w:sz w:val="24"/>
          <w:szCs w:val="24"/>
        </w:rPr>
        <w:t xml:space="preserve"> On the question of working-class struggle this charge is perhaps more applicable to Aglietta’s followers than to his own work, which deals at length with working class organization. But class struggle is not one-sided, and Aglietta fails to adequately theorize the role of the state in constituting regimes of capitalist regulation.</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calls into question the </w:t>
      </w:r>
      <w:r>
        <w:rPr>
          <w:sz w:val="24"/>
          <w:szCs w:val="24"/>
        </w:rPr>
        <w:t xml:space="preserve">regulationist </w:t>
      </w:r>
      <w:r>
        <w:rPr>
          <w:sz w:val="24"/>
          <w:szCs w:val="24"/>
        </w:rPr>
        <w:t xml:space="preserve">framework of extensive vs intensive regimes of accumulation. </w:t>
      </w:r>
      <w:r>
        <w:rPr>
          <w:sz w:val="24"/>
          <w:szCs w:val="24"/>
        </w:rPr>
        <w:t xml:space="preserve">Clarke criticizes the concept of a regime of accumulation, which assumes a structural equilibrium and attempts to explain it with recourse to a relatively stable configuration of institutional forms. </w:t>
      </w:r>
      <w:r>
        <w:rPr>
          <w:sz w:val="24"/>
          <w:szCs w:val="24"/>
        </w:rPr>
        <w:t>For Clarke, the dynamic between production and consumption associated with Fordism are "best seen not as aspects of the regulation of a regime of accumulation, but as related aspects of the institutionalisation of a particular balance of class forces in the immediate post-war period."</w:t>
      </w:r>
      <w:r>
        <w:rPr>
          <w:rStyle w:val="FootnoteReference"/>
          <w:sz w:val="24"/>
          <w:szCs w:val="24"/>
        </w:rPr>
        <w:footnoteReference w:id="3"/>
      </w:r>
      <w:r>
        <w:rPr>
          <w:sz w:val="24"/>
          <w:szCs w:val="24"/>
        </w:rPr>
        <w:t xml:space="preserve"> In other words, the dynamic pioneered by Ford in the 1910s and 1920s was established </w:t>
      </w:r>
      <w:r>
        <w:rPr>
          <w:sz w:val="24"/>
          <w:szCs w:val="24"/>
        </w:rPr>
        <w:t xml:space="preserve">primarily </w:t>
      </w:r>
      <w:r>
        <w:rPr>
          <w:sz w:val="24"/>
          <w:szCs w:val="24"/>
        </w:rPr>
        <w:t xml:space="preserve">through the concrete social and political struggles. </w:t>
      </w:r>
      <w:r>
        <w:rPr>
          <w:sz w:val="24"/>
          <w:szCs w:val="24"/>
        </w:rPr>
        <w:t>The economic policy of Keynesianism was</w:t>
      </w:r>
      <w:r>
        <w:rPr>
          <w:sz w:val="24"/>
          <w:szCs w:val="24"/>
        </w:rPr>
        <w:t xml:space="preserve"> </w:t>
      </w:r>
      <w:r>
        <w:rPr>
          <w:sz w:val="24"/>
          <w:szCs w:val="24"/>
        </w:rPr>
        <w:t>dictated by “the balance of class forces, institutionalised in the systems of industrial relations, electoral politics and the welfare state.”</w:t>
      </w:r>
      <w:r>
        <w:rPr>
          <w:rStyle w:val="FootnoteReference"/>
          <w:sz w:val="24"/>
          <w:szCs w:val="24"/>
          <w:vertAlign w:val="superscript"/>
        </w:rPr>
        <w:footnoteReference w:id="4"/>
      </w:r>
      <w:r>
        <w:rPr>
          <w:sz w:val="24"/>
          <w:szCs w:val="24"/>
        </w:rPr>
        <w:t xml:space="preserve"> In short, the regulation approach “overestimates the stability and duration of ‘Fordist’ modes of regulation” and “the extent to which Fordism can be considered a systematic ‘regime of accumulation’”</w:t>
      </w:r>
      <w:r>
        <w:rPr>
          <w:rStyle w:val="FootnoteReference"/>
          <w:sz w:val="24"/>
          <w:szCs w:val="24"/>
        </w:rPr>
        <w:footnoteReference w:id="5"/>
      </w:r>
    </w:p>
    <w:sectPr>
      <w:footnotePr>
        <w:numFmt w:val="decimal"/>
      </w:footnote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3">
    <w:p>
      <w:pPr>
        <w:pStyle w:val="FootnoteText"/>
        <w:bidi w:val="0"/>
        <w:jc w:val="start"/>
        <w:rPr/>
      </w:pPr>
      <w:r>
        <w:rPr>
          <w:rStyle w:val="FootnoteCharacters"/>
        </w:rPr>
        <w:footnoteRef/>
      </w:r>
      <w:r>
        <w:rPr/>
        <w:tab/>
        <w:t>Clarke, “Overaccumulation” 24</w:t>
      </w:r>
    </w:p>
  </w:footnote>
  <w:footnote w:id="4">
    <w:p>
      <w:pPr>
        <w:pStyle w:val="FootnoteText"/>
        <w:suppressLineNumbers/>
        <w:bidi w:val="0"/>
        <w:ind w:hanging="340" w:start="340"/>
        <w:jc w:val="start"/>
        <w:rPr/>
      </w:pPr>
      <w:r>
        <w:rPr>
          <w:rStyle w:val="FootnoteCharacters"/>
        </w:rPr>
        <w:footnoteRef/>
      </w:r>
      <w:r>
        <w:rPr/>
        <w:tab/>
        <w:t>Clarke, “Overaccumulation” 18</w:t>
      </w:r>
    </w:p>
  </w:footnote>
  <w:footnote w:id="5">
    <w:p>
      <w:pPr>
        <w:pStyle w:val="FootnoteText"/>
        <w:suppressLineNumbers/>
        <w:bidi w:val="0"/>
        <w:ind w:hanging="340" w:start="340"/>
        <w:jc w:val="start"/>
        <w:rPr/>
      </w:pPr>
      <w:r>
        <w:rPr>
          <w:rStyle w:val="FootnoteCharacters"/>
        </w:rPr>
        <w:footnoteRef/>
      </w:r>
      <w:r>
        <w:rPr/>
        <w:tab/>
        <w:t>Clarke, “Overaccumulation” 16</w:t>
      </w:r>
    </w:p>
  </w:footnote>
</w:footnotes>
</file>

<file path=word/settings.xml><?xml version="1.0" encoding="utf-8"?>
<w:settings xmlns:w="http://schemas.openxmlformats.org/wordprocessingml/2006/main">
  <w:zoom w:percent="81"/>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2026-05-12T13:17:44Z</dcterms:created>
  <dc:creator/>
  <dc:description/>
  <dc:language>en-US</dc:language>
  <cp:lastModifiedBy/>
  <dcterms:modified xsi:type="dcterms:W3CDTF">2026-05-12T13:18:06Z</dcterms:modified>
  <cp:revision>1</cp:revision>
  <dc:subject/>
  <dc:title/>
</cp:coreProperties>
</file>