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480" w:before="0" w:after="0"/>
        <w:ind w:hanging="0" w:start="0" w:end="0"/>
        <w:rPr>
          <w:b/>
          <w:bCs/>
          <w:i w:val="false"/>
          <w:i w:val="false"/>
          <w:iCs w:val="false"/>
        </w:rPr>
      </w:pPr>
      <w:bookmarkStart w:id="0" w:name="_wn5wa6q13dn"/>
      <w:bookmarkEnd w:id="0"/>
      <w:r>
        <w:rPr>
          <w:rFonts w:ascii="Liberation Serif" w:hAnsi="Liberation Serif"/>
          <w:b/>
          <w:bCs/>
          <w:i w:val="false"/>
          <w:iCs w:val="false"/>
          <w:sz w:val="24"/>
          <w:szCs w:val="24"/>
        </w:rPr>
        <w:t>The Contradictions of Fordism (1703)</w:t>
      </w:r>
    </w:p>
    <w:p>
      <w:pPr>
        <w:pStyle w:val="Normal"/>
        <w:bidi w:val="0"/>
        <w:spacing w:lineRule="auto" w:line="480" w:before="0" w:after="0"/>
        <w:ind w:hanging="0" w:start="0" w:end="0"/>
        <w:jc w:val="start"/>
        <w:rPr>
          <w:b w:val="false"/>
          <w:bCs w:val="false"/>
          <w:i w:val="false"/>
          <w:i w:val="false"/>
          <w:iCs w:val="false"/>
          <w:highlight w:val="none"/>
          <w:shd w:fill="FFFF00" w:val="clear"/>
        </w:rPr>
      </w:pPr>
      <w:r>
        <w:rPr>
          <w:b w:val="false"/>
          <w:bCs w:val="false"/>
          <w:i w:val="false"/>
          <w:iCs w:val="false"/>
          <w:sz w:val="24"/>
          <w:szCs w:val="24"/>
          <w:shd w:fill="FFFF00" w:val="clear"/>
        </w:rPr>
        <w:t>[question of what motivates the workers - wages and force]</w:t>
      </w:r>
    </w:p>
    <w:p>
      <w:pPr>
        <w:pStyle w:val="Normal"/>
        <w:bidi w:val="0"/>
        <w:spacing w:lineRule="auto" w:line="480" w:before="0" w:after="0"/>
        <w:ind w:firstLine="720" w:start="0" w:end="0"/>
        <w:jc w:val="start"/>
        <w:rPr>
          <w:rFonts w:ascii="Liberation Serif" w:hAnsi="Liberation Serif"/>
          <w:sz w:val="24"/>
          <w:szCs w:val="24"/>
        </w:rPr>
      </w:pPr>
      <w:r>
        <w:rPr>
          <w:sz w:val="24"/>
          <w:szCs w:val="24"/>
        </w:rPr>
        <w:t>In the popular imagination, Fordism comprises two moments of personal genius: Henry Ford’s implementation of the automated assembly line and his institution of a family wage with the Five Dollar Day. Faced with the mutually exacerbating problems of rising demand and increasing employee turnover, Ford took the innovative approach of intensifying and de-skilling labor while at the same time increasing its pay.</w:t>
      </w:r>
      <w:r>
        <w:rPr>
          <w:rStyle w:val="FootnoteReference"/>
          <w:sz w:val="24"/>
          <w:szCs w:val="24"/>
        </w:rPr>
        <w:footnoteReference w:id="2"/>
      </w:r>
      <w:r>
        <w:rPr>
          <w:sz w:val="24"/>
          <w:szCs w:val="24"/>
        </w:rPr>
        <w:t xml:space="preserve"> These principles were combined in Ford's notorious River Rouge factory, a single complex that took raw materials as inputs turned them into cars. In the meantime, the laborers who worked in this factory were middle class workers who could afford to purchase the commodities they were producing. At one and the same time the efficient production methods transformed automobiles from a luxury good to a near-necessity, and transformed the workers from struggling laborers into participants in the bounty of production. The company's win-win solution to the antagonism of labor and capital transformed American life, and facilitated the dominance of US industry on the world stage. The combination of innovative shop floor management with a reconfiguration of family life ushered in the modern middle class and an era of mass consumerism. In this view, Fordism solved once and for all the antagonism between labor and capital.</w:t>
      </w:r>
    </w:p>
    <w:p>
      <w:pPr>
        <w:pStyle w:val="Normal"/>
        <w:bidi w:val="0"/>
        <w:spacing w:lineRule="auto" w:line="480" w:before="0" w:after="0"/>
        <w:ind w:firstLine="720" w:start="0" w:end="0"/>
        <w:jc w:val="start"/>
        <w:rPr>
          <w:rFonts w:ascii="Liberation Serif" w:hAnsi="Liberation Serif"/>
          <w:sz w:val="24"/>
          <w:szCs w:val="24"/>
        </w:rPr>
      </w:pPr>
      <w:r>
        <w:rPr>
          <w:sz w:val="24"/>
          <w:szCs w:val="24"/>
        </w:rPr>
        <w:t xml:space="preserve">This popular conception is problematic on several counts. Ford’s production practices were enormously successful, but the core idea of an powered assembly line was borrowed from Chicago slaughterhouses and </w:t>
      </w:r>
      <w:r>
        <w:rPr>
          <w:sz w:val="24"/>
          <w:szCs w:val="24"/>
          <w:shd w:fill="auto" w:val="clear"/>
        </w:rPr>
        <w:t>had first been employed in the automotive industry by a competitor of Ford. In 1911 management at  EMF company "installed a mechanized assembly line to boost chassis output to 100 per day."</w:t>
      </w:r>
      <w:r>
        <w:rPr>
          <w:rStyle w:val="FootnoteReference"/>
          <w:sz w:val="24"/>
          <w:szCs w:val="24"/>
          <w:shd w:fill="auto" w:val="clear"/>
        </w:rPr>
        <w:footnoteReference w:id="3"/>
      </w:r>
      <w:r>
        <w:rPr>
          <w:sz w:val="24"/>
          <w:szCs w:val="24"/>
          <w:shd w:fill="auto" w:val="clear"/>
        </w:rPr>
        <w:t xml:space="preserve"> Ford would not install his line (also for chassis production) for another two years, in 1913. Even after Ford's unprecedented success with rationalizing production, his methods would often be taken and improved upon by competitors - most notably General Motors. Ford's real innovation was the extreme to which he took the rationalization of production, and its combination with an aggressive social policy. His famous </w:t>
      </w:r>
      <w:r>
        <w:rPr>
          <w:sz w:val="24"/>
          <w:szCs w:val="24"/>
        </w:rPr>
        <w:t>Five Dollar Day was not a universal wage increase, but a profit share given only to employees whose private lives were approved by agents of the Ford Sociological Association. In addition to investigations into the stability of the workers' families, "the company wanted to know whether or not the workman owned or was purchasing property or a home, whether or not he had a savings account in a bank, and whether or not he was in debt."</w:t>
      </w:r>
      <w:r>
        <w:rPr>
          <w:rStyle w:val="FootnoteReference"/>
          <w:sz w:val="24"/>
          <w:szCs w:val="24"/>
        </w:rPr>
        <w:footnoteReference w:id="4"/>
      </w:r>
      <w:r>
        <w:rPr>
          <w:sz w:val="24"/>
          <w:szCs w:val="24"/>
        </w:rPr>
        <w:t xml:space="preserve"> In other words, in order to qualify for a family wage, Ford's workers had to demonstrate that they were sufficiently rooted in the community surrounding the factory. When combined with wages that exceeded those offered by competitors, this meant that Ford's prized workers were less able to seek out employment elsewhere. The question was not one of boosting the freedom of workers by increasing their pay, but of limiting them, of compelling them to stay in their jobs.</w:t>
      </w:r>
    </w:p>
    <w:p>
      <w:pPr>
        <w:pStyle w:val="Normal"/>
        <w:bidi w:val="0"/>
        <w:spacing w:lineRule="auto" w:line="480" w:before="0" w:after="0"/>
        <w:ind w:firstLine="720" w:start="0" w:end="0"/>
        <w:jc w:val="start"/>
        <w:rPr>
          <w:rFonts w:ascii="Liberation Serif" w:hAnsi="Liberation Serif"/>
          <w:sz w:val="24"/>
          <w:szCs w:val="24"/>
        </w:rPr>
      </w:pPr>
      <w:r>
        <w:rPr>
          <w:sz w:val="24"/>
          <w:szCs w:val="24"/>
        </w:rPr>
        <w:t xml:space="preserve">As we can see, Fordism is a deeply ambiguous concept, full of contradictions. This is part of why it has been studied and written about so extensively - almost any conceivable position on the relationship between labor and capital can find support in the empirical cases of Fordism. But the explanatory power of Fordism as a category in the history of capitalism is exaggerated. Scholarly attempts to resolve the contradictions of Fordism have usually involved a sort of analytical surgery, either removing the social-reproductive aspect and focusing on Henry Ford's specific management practices, or excising Ford almost entirely and treating 'Fordism' as synechdoche for larger structural changes in the global accumulation of capital in the mid twentieth century. Each of these approaches is untenable. The first reduces Fordism to a loose collection of stolen ideas that were implemented with a ruthless intensity, but which explain </w:t>
      </w:r>
      <w:r>
        <w:rPr>
          <w:sz w:val="24"/>
          <w:szCs w:val="24"/>
        </w:rPr>
        <w:t>very little</w:t>
      </w:r>
      <w:r>
        <w:rPr>
          <w:sz w:val="24"/>
          <w:szCs w:val="24"/>
        </w:rPr>
        <w:t xml:space="preserve"> about the history of capital. The second attempts to establish an ideal type of capitalist society that bears little resemblence to any actually existing world. It inevitably devolves into a list of </w:t>
      </w:r>
      <w:r>
        <w:rPr>
          <w:sz w:val="24"/>
          <w:szCs w:val="24"/>
        </w:rPr>
        <w:t xml:space="preserve">precursors, </w:t>
      </w:r>
      <w:r>
        <w:rPr>
          <w:sz w:val="24"/>
          <w:szCs w:val="24"/>
        </w:rPr>
        <w:t>exceptions</w:t>
      </w:r>
      <w:r>
        <w:rPr>
          <w:sz w:val="24"/>
          <w:szCs w:val="24"/>
        </w:rPr>
        <w:t>, and modifications</w:t>
      </w:r>
      <w:r>
        <w:rPr>
          <w:sz w:val="24"/>
          <w:szCs w:val="24"/>
        </w:rPr>
        <w:t xml:space="preserve"> that overwhelm the type itself: </w:t>
      </w:r>
      <w:r>
        <w:rPr>
          <w:sz w:val="24"/>
          <w:szCs w:val="24"/>
        </w:rPr>
        <w:t>Taylorism, Sloanism, Toyotism, Keynesianism, Post-Fordism, Neo-Fordism, etc. Sociologist Simon Clarke criticizes this tendency, saying "to explain these variants as failed versions of one ideal-type implies that the latter is in some way more real or more fundamental than the former."</w:t>
      </w:r>
      <w:r>
        <w:rPr>
          <w:rStyle w:val="FootnoteReference"/>
          <w:sz w:val="24"/>
          <w:szCs w:val="24"/>
        </w:rPr>
        <w:footnoteReference w:id="5"/>
      </w:r>
      <w:r>
        <w:rPr>
          <w:sz w:val="24"/>
          <w:szCs w:val="24"/>
        </w:rPr>
        <w:t xml:space="preserve"> Indeed, it is hard to see why Fordism would stand out in this list as the dominant element.</w:t>
      </w:r>
    </w:p>
    <w:p>
      <w:pPr>
        <w:pStyle w:val="Normal"/>
        <w:bidi w:val="0"/>
        <w:spacing w:lineRule="auto" w:line="480" w:before="0" w:after="0"/>
        <w:ind w:firstLine="720" w:start="0" w:end="0"/>
        <w:jc w:val="start"/>
        <w:rPr>
          <w:rFonts w:ascii="Liberation Serif" w:hAnsi="Liberation Serif"/>
          <w:sz w:val="24"/>
          <w:szCs w:val="24"/>
        </w:rPr>
      </w:pPr>
      <w:r>
        <w:rPr>
          <w:sz w:val="24"/>
          <w:szCs w:val="24"/>
        </w:rPr>
        <w:t xml:space="preserve">The irresolvability of these contradictions are made clear in the work of the regulation school, a group of French scholars who devoted considerable time to defining and delimiting the concept of Fordism. Their scholarship was rigorous, but deeply flawed. Within this group, </w:t>
      </w:r>
      <w:r>
        <w:rPr>
          <w:sz w:val="24"/>
          <w:szCs w:val="24"/>
        </w:rPr>
        <w:t>Michel Aglietta</w:t>
      </w:r>
      <w:r>
        <w:rPr>
          <w:sz w:val="24"/>
          <w:szCs w:val="24"/>
        </w:rPr>
        <w:t xml:space="preserve"> provides the</w:t>
      </w:r>
      <w:r>
        <w:rPr>
          <w:sz w:val="24"/>
          <w:szCs w:val="24"/>
        </w:rPr>
        <w:t xml:space="preserve"> classic structuralist account of Fordism as a generalized set of production principles, historicized within the long cycles of historical capitalism. For Aglietta, although Fordist practices may have originated as specific policies within the auto industry, Fordism represents a societal-level shift in the relations of production and the reproduction of capital. In </w:t>
      </w:r>
      <w:r>
        <w:rPr>
          <w:i/>
          <w:sz w:val="24"/>
          <w:szCs w:val="24"/>
        </w:rPr>
        <w:t>A Theory of Capitalist Regulation</w:t>
      </w:r>
      <w:r>
        <w:rPr>
          <w:sz w:val="24"/>
          <w:szCs w:val="24"/>
        </w:rPr>
        <w:t>,</w:t>
      </w:r>
      <w:r>
        <w:rPr>
          <w:rStyle w:val="FootnoteReference"/>
          <w:sz w:val="24"/>
          <w:szCs w:val="24"/>
          <w:vertAlign w:val="superscript"/>
        </w:rPr>
        <w:footnoteReference w:id="6"/>
      </w:r>
      <w:r>
        <w:rPr>
          <w:sz w:val="24"/>
          <w:szCs w:val="24"/>
        </w:rPr>
        <w:t xml:space="preserve"> he criticizes the dominant economic theories of capitalist equilibrium for being, among other things, ahistorical and abstract. Against this, Aglietta denies “that what exists does so automatically”, necessitating a theory of social reproduction, and he claims that “when actual social systems are studied, historical experience confirms that </w:t>
      </w:r>
      <w:r>
        <w:rPr>
          <w:i/>
          <w:sz w:val="24"/>
          <w:szCs w:val="24"/>
        </w:rPr>
        <w:t>transformation means rupture, qualitative change.</w:t>
      </w:r>
      <w:r>
        <w:rPr>
          <w:sz w:val="24"/>
          <w:szCs w:val="24"/>
        </w:rPr>
        <w:t>”</w:t>
      </w:r>
      <w:r>
        <w:rPr>
          <w:rStyle w:val="FootnoteReference"/>
          <w:sz w:val="24"/>
          <w:szCs w:val="24"/>
          <w:vertAlign w:val="superscript"/>
        </w:rPr>
        <w:footnoteReference w:id="7"/>
      </w:r>
      <w:r>
        <w:rPr>
          <w:sz w:val="24"/>
          <w:szCs w:val="24"/>
        </w:rPr>
        <w:t xml:space="preserve"> In other words, although Henry Ford's specific policies may have been solutions to the immediate problems in his own factories, their eventual widespread adoption does not indicate that they tapped into some transhistorical and abstract need for workers to receive higher wages. Rather, it indicates that these policies addressed a </w:t>
      </w:r>
      <w:r>
        <w:rPr>
          <w:i/>
          <w:iCs/>
          <w:sz w:val="24"/>
          <w:szCs w:val="24"/>
        </w:rPr>
        <w:t>historical</w:t>
      </w:r>
      <w:r>
        <w:rPr>
          <w:sz w:val="24"/>
          <w:szCs w:val="24"/>
        </w:rPr>
        <w:t xml:space="preserve"> condition that may not have existed before, and may change again in time. Aglietta is inspired by "Marx's refusal to postulate an immutable essence underlying the variability of phenomena"</w:t>
      </w:r>
      <w:r>
        <w:rPr>
          <w:rStyle w:val="FootnoteReference"/>
          <w:sz w:val="24"/>
          <w:szCs w:val="24"/>
        </w:rPr>
        <w:footnoteReference w:id="8"/>
      </w:r>
      <w:r>
        <w:rPr>
          <w:sz w:val="24"/>
          <w:szCs w:val="24"/>
        </w:rPr>
        <w:t xml:space="preserve"> and so he attempts to situate Fordism as a specific moment within the turbulent history of capitalist production.</w:t>
      </w:r>
    </w:p>
    <w:p>
      <w:pPr>
        <w:pStyle w:val="Normal"/>
        <w:bidi w:val="0"/>
        <w:spacing w:lineRule="auto" w:line="480" w:before="0" w:after="0"/>
        <w:ind w:firstLine="720" w:start="0" w:end="0"/>
        <w:jc w:val="start"/>
        <w:rPr>
          <w:rFonts w:ascii="Liberation Serif" w:hAnsi="Liberation Serif"/>
          <w:sz w:val="24"/>
          <w:szCs w:val="24"/>
        </w:rPr>
      </w:pPr>
      <w:r>
        <w:rPr>
          <w:sz w:val="24"/>
          <w:szCs w:val="24"/>
        </w:rPr>
        <w:t>Taking the US since 1870 as his spatial-temporal object, Aglietta elaborates a theory of capitalist regulation as an attempt to “formulate in general laws the way in which the determinant structure of a society is reproduced.”</w:t>
      </w:r>
      <w:r>
        <w:rPr>
          <w:rStyle w:val="FootnoteReference"/>
          <w:sz w:val="24"/>
          <w:szCs w:val="24"/>
          <w:vertAlign w:val="superscript"/>
        </w:rPr>
        <w:footnoteReference w:id="9"/>
      </w:r>
      <w:r>
        <w:rPr>
          <w:sz w:val="24"/>
          <w:szCs w:val="24"/>
        </w:rPr>
        <w:t xml:space="preserve"> These are not transhistorical laws for society in general, but laws structuring a specific society. In the decades after the American civil war, they were oriented towards the development of heavy industry. Claiming that “the fundamental economic condition for industrial capitalism to develop is the formation of a growing agricultural surplus product and its realization in commodity form,”</w:t>
      </w:r>
      <w:r>
        <w:rPr>
          <w:rStyle w:val="FootnoteReference"/>
          <w:sz w:val="24"/>
          <w:szCs w:val="24"/>
        </w:rPr>
        <w:footnoteReference w:id="10"/>
      </w:r>
      <w:r>
        <w:rPr>
          <w:sz w:val="24"/>
          <w:szCs w:val="24"/>
        </w:rPr>
        <w:t xml:space="preserve"> Aglietta highlights 19th century America’s privileged situation. The incorporation of vast frontiers precipitated the development of rail infrastructure, irrigation, farming and mining. This ‘regime of extensive accumulation’ was funded and aided by the development of western urban centers and their growing financial powers, but it did not initate a fundamental restructuring of the life of laborers. Labor was becoming more productive through intensification and mechanization, but the laborers' wages were generally low, and they were often reliant on a significant amount of subsistence labor rather than commodity consumption at home.</w:t>
      </w:r>
    </w:p>
    <w:p>
      <w:pPr>
        <w:pStyle w:val="Normal"/>
        <w:bidi w:val="0"/>
        <w:spacing w:lineRule="auto" w:line="480" w:before="0" w:after="0"/>
        <w:ind w:firstLine="720" w:start="0" w:end="0"/>
        <w:jc w:val="start"/>
        <w:rPr>
          <w:rFonts w:ascii="Liberation Serif" w:hAnsi="Liberation Serif"/>
          <w:sz w:val="24"/>
          <w:szCs w:val="24"/>
        </w:rPr>
      </w:pPr>
      <w:r>
        <w:rPr>
          <w:sz w:val="24"/>
          <w:szCs w:val="24"/>
        </w:rPr>
        <w:t>In the first decades of the twentieth century, this regime fell into crisis. Aglietta positions the economic collapse of the 1930s as a result of overaccumulation and underconsumption. Specifically, the average worker was paid so little that they could not contribute to the valorization cycle by purchasing and consuming commodities. As capital entered a crisis in the 1930s, producers sought out new ways to maintain profitability. This would mean restructuring society to expand the domestic market and increase the class of consumers. As producers cast about for a model, Fordism, at this point a decade and a half old, stood out as a potential answer to changing economic conditions.</w:t>
      </w:r>
    </w:p>
    <w:p>
      <w:pPr>
        <w:pStyle w:val="Normal"/>
        <w:bidi w:val="0"/>
        <w:spacing w:lineRule="auto" w:line="480" w:before="0" w:after="0"/>
        <w:ind w:firstLine="720" w:start="0" w:end="0"/>
        <w:jc w:val="start"/>
        <w:rPr>
          <w:rFonts w:ascii="Liberation Serif" w:hAnsi="Liberation Serif"/>
          <w:sz w:val="24"/>
          <w:szCs w:val="24"/>
        </w:rPr>
      </w:pPr>
      <w:r>
        <w:rPr>
          <w:sz w:val="24"/>
          <w:szCs w:val="24"/>
        </w:rPr>
        <w:t>Fordism figures into Aglietta’s account as an ‘intensive regime’ which “creates a new mode of life for the wage-earning class by establishing a logic that operates on the totality of time and space occupied or traversed by its individuals in daily life.”</w:t>
      </w:r>
      <w:r>
        <w:rPr>
          <w:rStyle w:val="FootnoteReference"/>
          <w:sz w:val="24"/>
          <w:szCs w:val="24"/>
          <w:vertAlign w:val="superscript"/>
        </w:rPr>
        <w:footnoteReference w:id="11"/>
      </w:r>
      <w:r>
        <w:rPr>
          <w:sz w:val="24"/>
          <w:szCs w:val="24"/>
        </w:rPr>
        <w:t xml:space="preserve"> In other words, Fordism is characterized by an unprecedented expansion of capitalist interest and control over the lives of its waged workers beyond the shop floor. In order to stave off another crisis of overproduction and underconsumption, the daily lives of workers would have to be rebuilt on the foundation of commodity consumption. Aglietta terms this reorganization of social life a ‘mode of consumption’ which is oriented towards the renewal of the energy expended in labor processes and the maintenance of a continual supply of labor power. </w:t>
      </w:r>
    </w:p>
    <w:p>
      <w:pPr>
        <w:pStyle w:val="Normal"/>
        <w:bidi w:val="0"/>
        <w:spacing w:lineRule="auto" w:line="480" w:before="0" w:after="0"/>
        <w:ind w:firstLine="720" w:start="0" w:end="0"/>
        <w:jc w:val="start"/>
        <w:rPr>
          <w:rFonts w:ascii="Liberation Serif" w:hAnsi="Liberation Serif"/>
          <w:sz w:val="24"/>
          <w:szCs w:val="24"/>
        </w:rPr>
      </w:pPr>
      <w:r>
        <w:rPr>
          <w:sz w:val="24"/>
          <w:szCs w:val="24"/>
        </w:rPr>
        <w:t>As an articulation between production and consumption, Fordism comprised several specific innovations linked to more general social reconfigurations. On the production side, Aglietta identifies the automated assembly line as Fordism’s “characteristic labour process.”</w:t>
      </w:r>
      <w:r>
        <w:rPr>
          <w:rStyle w:val="FootnoteReference"/>
          <w:sz w:val="24"/>
          <w:szCs w:val="24"/>
          <w:vertAlign w:val="superscript"/>
        </w:rPr>
        <w:footnoteReference w:id="12"/>
      </w:r>
      <w:r>
        <w:rPr>
          <w:sz w:val="24"/>
          <w:szCs w:val="24"/>
        </w:rPr>
        <w:t xml:space="preserve">  The assembly line separated mental and manual labor to a previously unseen degree. Instead of managing the relationship between several related tasks, workers performed simplified rote tasks over and over: “the labour process [was] converted from a dense network of relationships between jobs, with intermediate products passing back and forth … into a straightforward linear flow of the material under transformation.”</w:t>
      </w:r>
      <w:r>
        <w:rPr>
          <w:rStyle w:val="FootnoteReference"/>
          <w:sz w:val="24"/>
          <w:szCs w:val="24"/>
          <w:vertAlign w:val="superscript"/>
        </w:rPr>
        <w:footnoteReference w:id="13"/>
      </w:r>
      <w:r>
        <w:rPr>
          <w:sz w:val="24"/>
          <w:szCs w:val="24"/>
        </w:rPr>
        <w:t xml:space="preserve"> In Ford's factories, the production of a car was decomposed into 7,882 separate tasks, each of which was carefully documented and classified. The workers were similarly rationalized - not humans, but various assemblages of limbs: "The lightest jobs were again classified to discover how many of them required the use of full faculties, and we found that 670 could be filled by legless men, 2,637 by one-legged men, 2 by armless men, 715 by one-armed men, and 10 by blind men."</w:t>
      </w:r>
      <w:r>
        <w:rPr>
          <w:rStyle w:val="FootnoteReference"/>
          <w:sz w:val="24"/>
          <w:szCs w:val="24"/>
        </w:rPr>
        <w:footnoteReference w:id="14"/>
      </w:r>
    </w:p>
    <w:p>
      <w:pPr>
        <w:pStyle w:val="Normal"/>
        <w:bidi w:val="0"/>
        <w:spacing w:lineRule="auto" w:line="480" w:before="0" w:after="0"/>
        <w:ind w:firstLine="720" w:start="0" w:end="0"/>
        <w:jc w:val="start"/>
        <w:rPr>
          <w:rFonts w:ascii="Liberation Serif" w:hAnsi="Liberation Serif"/>
          <w:sz w:val="24"/>
          <w:szCs w:val="24"/>
        </w:rPr>
      </w:pPr>
      <w:r>
        <w:rPr>
          <w:sz w:val="24"/>
          <w:szCs w:val="24"/>
        </w:rPr>
        <w:t>The mental component of labor was excised from the ambit of the general laborer and given to a growing class of managers and process engineers. Workers became fixed to clearly and rigidly defined roles that were “determined by the configuration of the machine system”</w:t>
      </w:r>
      <w:r>
        <w:rPr>
          <w:rStyle w:val="FootnoteReference"/>
          <w:sz w:val="24"/>
          <w:szCs w:val="24"/>
          <w:vertAlign w:val="superscript"/>
        </w:rPr>
        <w:footnoteReference w:id="15"/>
      </w:r>
      <w:r>
        <w:rPr>
          <w:sz w:val="24"/>
          <w:szCs w:val="24"/>
        </w:rPr>
        <w:t xml:space="preserve"> which was “planned in engineering departments which were themselves subject to the division of labor.”</w:t>
      </w:r>
      <w:r>
        <w:rPr>
          <w:rStyle w:val="FootnoteReference"/>
          <w:sz w:val="24"/>
          <w:szCs w:val="24"/>
          <w:vertAlign w:val="superscript"/>
        </w:rPr>
        <w:footnoteReference w:id="16"/>
      </w:r>
      <w:r>
        <w:rPr>
          <w:sz w:val="24"/>
          <w:szCs w:val="24"/>
        </w:rPr>
        <w:t xml:space="preserve"> In this sense, the Fordist revolution went hand in hand with the managerial revolution described by Alfred Chandler.</w:t>
      </w:r>
      <w:r>
        <w:rPr>
          <w:rStyle w:val="FootnoteReference"/>
          <w:sz w:val="24"/>
          <w:szCs w:val="24"/>
        </w:rPr>
        <w:footnoteReference w:id="17"/>
      </w:r>
      <w:r>
        <w:rPr>
          <w:sz w:val="24"/>
          <w:szCs w:val="24"/>
        </w:rPr>
        <w:t xml:space="preserve"> As the scale and scope of production increased, and as jobs were broken up into smaller and smaller elements of an intricately designed whole, the "division between the labour of head and hand"</w:t>
      </w:r>
      <w:r>
        <w:rPr>
          <w:rStyle w:val="FootnoteReference"/>
          <w:sz w:val="24"/>
          <w:szCs w:val="24"/>
        </w:rPr>
        <w:footnoteReference w:id="18"/>
      </w:r>
      <w:r>
        <w:rPr>
          <w:sz w:val="24"/>
          <w:szCs w:val="24"/>
        </w:rPr>
        <w:t xml:space="preserve"> was deepened. Thought was no longer a part of the act of labor itself, but something that had already been completed in the past and invested into the creation of a proscribed list of infinitely repeatable movements. The Fordist workplace began to look more and more like that described by Marx: living labor ruled by the dead labor that was embodied in the planning and manufacturing of the machine system.</w:t>
      </w:r>
    </w:p>
    <w:p>
      <w:pPr>
        <w:pStyle w:val="Normal"/>
        <w:bidi w:val="0"/>
        <w:spacing w:lineRule="auto" w:line="480" w:before="0" w:after="0"/>
        <w:ind w:firstLine="720" w:start="0" w:end="0"/>
        <w:jc w:val="start"/>
        <w:rPr>
          <w:rFonts w:ascii="Liberation Serif" w:hAnsi="Liberation Serif"/>
          <w:sz w:val="24"/>
          <w:szCs w:val="24"/>
        </w:rPr>
      </w:pPr>
      <w:r>
        <w:rPr>
          <w:sz w:val="24"/>
          <w:szCs w:val="24"/>
        </w:rPr>
        <w:t>This process of rationalization extended far beyond the shop floor. Along with the revolution in production, Fordism reconfigured the social and private lives of the workforce. Aglietta notes that “for the first time in history, Fordism created a norm of working-class consumption in which the general ownership of commodities governed the concrete practices of consumption.” Two commodities stand out as governing this norm: the automobile as a means of private transportation, and standardized housing. The adoption of these two major commodities transformed other patterns of household production. Households began to substitute the purchase of ready-made products like canned food and clothing for space-intensive home production, such as butchering and tailoring. Further, the nineteenth century pattern of roaming peddlers bringing such necessities as pots, pans or medicines, directly to the tenement buildings where workers lived, was replaced by workers taking their now-indispensible cars on trips to the grocer and hardware store.</w:t>
      </w:r>
      <w:r>
        <w:rPr>
          <w:rStyle w:val="FootnoteReference"/>
          <w:sz w:val="24"/>
          <w:szCs w:val="24"/>
        </w:rPr>
        <w:footnoteReference w:id="19"/>
      </w:r>
      <w:r>
        <w:rPr>
          <w:sz w:val="24"/>
          <w:szCs w:val="24"/>
        </w:rPr>
        <w:t xml:space="preserve"> All of these commodities transformed the urban spaces in which the working classes were renewed, and their relatively high cost “presupposed a vast socialization of finance, and correlatively a very strict control over workers’ resources and expenditures.”</w:t>
      </w:r>
      <w:r>
        <w:rPr>
          <w:rStyle w:val="FootnoteReference"/>
          <w:sz w:val="24"/>
          <w:szCs w:val="24"/>
          <w:vertAlign w:val="superscript"/>
        </w:rPr>
        <w:footnoteReference w:id="20"/>
      </w:r>
      <w:r>
        <w:rPr>
          <w:sz w:val="24"/>
          <w:szCs w:val="24"/>
        </w:rPr>
        <w:t xml:space="preserve"> However, Aglietta notes that the rise of certain family norms within a consuming class of workers was never quite general: Fordism also deepened the stratification of the working classes, which “forms part of the concrete conditions of reproducing the wage relation.”</w:t>
      </w:r>
      <w:r>
        <w:rPr>
          <w:rStyle w:val="FootnoteReference"/>
          <w:sz w:val="24"/>
          <w:szCs w:val="24"/>
          <w:vertAlign w:val="superscript"/>
        </w:rPr>
        <w:footnoteReference w:id="21"/>
      </w:r>
    </w:p>
    <w:p>
      <w:pPr>
        <w:pStyle w:val="Normal"/>
        <w:bidi w:val="0"/>
        <w:spacing w:lineRule="auto" w:line="480" w:before="0" w:after="0"/>
        <w:ind w:firstLine="720" w:start="0" w:end="0"/>
        <w:jc w:val="start"/>
        <w:rPr>
          <w:rFonts w:ascii="Liberation Serif" w:hAnsi="Liberation Serif"/>
          <w:sz w:val="24"/>
          <w:szCs w:val="24"/>
        </w:rPr>
      </w:pPr>
      <w:r>
        <w:rPr>
          <w:sz w:val="24"/>
          <w:szCs w:val="24"/>
        </w:rPr>
        <w:t xml:space="preserve">Aglietta’s account of Fordism as an historical articulation of means of production and consumption responding to the global needs of capital accumulation is a compelling one, but it </w:t>
      </w:r>
      <w:r>
        <w:rPr>
          <w:sz w:val="24"/>
          <w:szCs w:val="24"/>
        </w:rPr>
        <w:t>fails on two counts, both related to his idealist conception of Fordism.</w:t>
      </w:r>
      <w:r>
        <w:rPr>
          <w:sz w:val="24"/>
          <w:szCs w:val="24"/>
        </w:rPr>
        <w:t xml:space="preserve"> </w:t>
      </w:r>
      <w:r>
        <w:rPr>
          <w:sz w:val="24"/>
          <w:szCs w:val="24"/>
        </w:rPr>
        <w:t>First, Aglietta considers</w:t>
      </w:r>
      <w:r>
        <w:rPr>
          <w:sz w:val="24"/>
          <w:szCs w:val="24"/>
        </w:rPr>
        <w:t xml:space="preserve"> the intensive regime of accumulation </w:t>
      </w:r>
      <w:r>
        <w:rPr>
          <w:sz w:val="24"/>
          <w:szCs w:val="24"/>
        </w:rPr>
        <w:t>to be</w:t>
      </w:r>
      <w:r>
        <w:rPr>
          <w:sz w:val="24"/>
          <w:szCs w:val="24"/>
        </w:rPr>
        <w:t xml:space="preserve"> an ideal type of capitalist society embodied by Fordist America, and against which other societies can be measured, rather than </w:t>
      </w:r>
      <w:r>
        <w:rPr>
          <w:sz w:val="24"/>
          <w:szCs w:val="24"/>
        </w:rPr>
        <w:t xml:space="preserve">the outcome of a struggle </w:t>
      </w:r>
      <w:r>
        <w:rPr>
          <w:sz w:val="24"/>
          <w:szCs w:val="24"/>
        </w:rPr>
        <w:t>between the concrete interests of specific classes and actors. Simon Clarke criticizes Aglietta, deeming his perspective structural-functionalist. Clarke claims that for the Regulationists, “in the relation between structure and struggle, it is the class struggle which takes the subordinate role, its significance constrained by the structural imperatives of the regime of accumulation.”</w:t>
      </w:r>
      <w:r>
        <w:rPr>
          <w:rStyle w:val="FootnoteReference"/>
          <w:sz w:val="24"/>
          <w:szCs w:val="24"/>
          <w:vertAlign w:val="superscript"/>
        </w:rPr>
        <w:footnoteReference w:id="22"/>
      </w:r>
      <w:r>
        <w:rPr>
          <w:sz w:val="24"/>
          <w:szCs w:val="24"/>
        </w:rPr>
        <w:t xml:space="preserve"> On the question of working-class struggle this charge is perhaps more applicable to Aglietta’s followers than to his own work, which deals at length with working class organization. But </w:t>
      </w:r>
      <w:r>
        <w:rPr>
          <w:sz w:val="24"/>
          <w:szCs w:val="24"/>
        </w:rPr>
        <w:t>the working classes are not merely a structural features of a capitalist society. Workers are agents with the power to impose their demands on capital, and their organizations are not subordinate to the structure of capital accumulation, but constitutive of it.</w:t>
      </w:r>
    </w:p>
    <w:p>
      <w:pPr>
        <w:pStyle w:val="Normal"/>
        <w:bidi w:val="0"/>
        <w:spacing w:lineRule="auto" w:line="480" w:before="0" w:after="0"/>
        <w:ind w:firstLine="720" w:start="0" w:end="0"/>
        <w:jc w:val="start"/>
        <w:rPr>
          <w:rFonts w:ascii="Liberation Serif" w:hAnsi="Liberation Serif"/>
          <w:sz w:val="24"/>
          <w:szCs w:val="24"/>
        </w:rPr>
      </w:pPr>
      <w:r>
        <w:rPr>
          <w:sz w:val="24"/>
          <w:szCs w:val="24"/>
        </w:rPr>
        <w:t xml:space="preserve">This calls into question the regulationist framework of extensive vs intensive regimes of accumulation. Clarke criticizes the concept of a regime of accumulation, which </w:t>
      </w:r>
      <w:r>
        <w:rPr>
          <w:sz w:val="24"/>
          <w:szCs w:val="24"/>
        </w:rPr>
        <w:t xml:space="preserve">first </w:t>
      </w:r>
      <w:r>
        <w:rPr>
          <w:sz w:val="24"/>
          <w:szCs w:val="24"/>
        </w:rPr>
        <w:t xml:space="preserve">assumes a structural equilibrium and </w:t>
      </w:r>
      <w:r>
        <w:rPr>
          <w:sz w:val="24"/>
          <w:szCs w:val="24"/>
        </w:rPr>
        <w:t xml:space="preserve">then </w:t>
      </w:r>
      <w:r>
        <w:rPr>
          <w:sz w:val="24"/>
          <w:szCs w:val="24"/>
        </w:rPr>
        <w:t>attempts to explain it with recourse to a relatively stable configuration of institutional forms. For Clarke, the dynamic between production and consumption associated with Fordism are "best seen not as aspects of the regulation of a regime of accumulation, but as related aspects of the institutionalisation of a particular balance of class forces in the immediate post-war period."</w:t>
      </w:r>
      <w:r>
        <w:rPr>
          <w:rStyle w:val="FootnoteReference"/>
          <w:sz w:val="24"/>
          <w:szCs w:val="24"/>
        </w:rPr>
        <w:footnoteReference w:id="23"/>
      </w:r>
      <w:r>
        <w:rPr>
          <w:sz w:val="24"/>
          <w:szCs w:val="24"/>
        </w:rPr>
        <w:t xml:space="preserve"> In other words, the dynamic pioneered by Ford in the 1910s and 1920s was established primarily through the concrete social and political struggles. The economic policy of Keynesianism was dictated by “the balance of class forces, institutionalised in the systems of industrial relations, electoral politics and the welfare state.”</w:t>
      </w:r>
      <w:r>
        <w:rPr>
          <w:rStyle w:val="FootnoteReference"/>
          <w:sz w:val="24"/>
          <w:szCs w:val="24"/>
          <w:vertAlign w:val="superscript"/>
        </w:rPr>
        <w:footnoteReference w:id="24"/>
      </w:r>
      <w:r>
        <w:rPr>
          <w:sz w:val="24"/>
          <w:szCs w:val="24"/>
        </w:rPr>
        <w:t xml:space="preserve"> In short, the regulation approach “overestimates the stability and duration of ‘Fordist’ modes of regulation” and “the extent to which Fordism can be considered a systematic ‘regime of accumulation’</w:t>
      </w:r>
      <w:r>
        <w:rPr>
          <w:sz w:val="24"/>
          <w:szCs w:val="24"/>
        </w:rPr>
        <w:t>.</w:t>
      </w:r>
      <w:r>
        <w:rPr>
          <w:sz w:val="24"/>
          <w:szCs w:val="24"/>
        </w:rPr>
        <w:t>”</w:t>
      </w:r>
      <w:r>
        <w:rPr>
          <w:rStyle w:val="FootnoteReference"/>
          <w:sz w:val="24"/>
          <w:szCs w:val="24"/>
        </w:rPr>
        <w:footnoteReference w:id="25"/>
      </w:r>
    </w:p>
    <w:p>
      <w:pPr>
        <w:pStyle w:val="Normal"/>
        <w:bidi w:val="0"/>
        <w:spacing w:lineRule="auto" w:line="480" w:before="0" w:after="0"/>
        <w:ind w:firstLine="720" w:start="0" w:end="0"/>
        <w:jc w:val="start"/>
        <w:rPr>
          <w:rFonts w:ascii="Liberation Serif" w:hAnsi="Liberation Serif"/>
          <w:sz w:val="24"/>
          <w:szCs w:val="24"/>
        </w:rPr>
      </w:pPr>
      <w:r>
        <w:rPr>
          <w:sz w:val="24"/>
          <w:szCs w:val="24"/>
        </w:rPr>
        <w:t>Th</w:t>
      </w:r>
      <w:r>
        <w:rPr>
          <w:sz w:val="24"/>
          <w:szCs w:val="24"/>
        </w:rPr>
        <w:t xml:space="preserve">e second shortcoming of Aglietta's work is </w:t>
      </w:r>
      <w:r>
        <w:rPr>
          <w:sz w:val="24"/>
          <w:szCs w:val="24"/>
        </w:rPr>
        <w:t xml:space="preserve">his (non)treatment of imperialism, and his abstraction of US capitalism from the system of global capitalism. In the introduction to </w:t>
      </w:r>
      <w:r>
        <w:rPr>
          <w:i/>
          <w:sz w:val="24"/>
          <w:szCs w:val="24"/>
        </w:rPr>
        <w:t>A Theory of Capitalist Regulation</w:t>
      </w:r>
      <w:r>
        <w:rPr>
          <w:sz w:val="24"/>
          <w:szCs w:val="24"/>
        </w:rPr>
        <w:t>, Aglietta defines imperialism as a system “through which one state manages to influence a series of other states to adopt a set of rules that are favourable to the stability of a vast space of multilateral commodity relations guaranteeing the circulation of capital.”</w:t>
      </w:r>
      <w:r>
        <w:rPr>
          <w:rStyle w:val="FootnoteReference"/>
          <w:sz w:val="24"/>
          <w:szCs w:val="24"/>
          <w:vertAlign w:val="superscript"/>
        </w:rPr>
        <w:footnoteReference w:id="26"/>
      </w:r>
      <w:r>
        <w:rPr>
          <w:sz w:val="24"/>
          <w:szCs w:val="24"/>
        </w:rPr>
        <w:t xml:space="preserve"> After posing this anemic definition, he pushes it aside, claiming that “there could be little question of analysing in the present work the system of contemporary states and the transformation that the crises of the 20th century have produced in inter-state relations.”</w:t>
      </w:r>
      <w:r>
        <w:rPr>
          <w:rStyle w:val="FootnoteReference"/>
          <w:sz w:val="24"/>
          <w:szCs w:val="24"/>
          <w:vertAlign w:val="superscript"/>
        </w:rPr>
        <w:footnoteReference w:id="27"/>
      </w:r>
      <w:r>
        <w:rPr>
          <w:sz w:val="24"/>
          <w:szCs w:val="24"/>
        </w:rPr>
        <w:t xml:space="preserve"> But he is unable to escape the weakness of his conception of capitalist hegemony - it undermines his entire project. In his attempt to analytically isolate America from the Global South, he misapprehends the extent to which American industry both exacerbated and was dependent on an unequal global division of labor. The intensification of exploitation across state lines undergirds  capitalist accumulation in Global North states. The insufficient definition of imperialism as management inflicted by one state on several with the goal of broadening the circulation of capital prevents Aglietta from appreciating the global scope of capitalist regulation and reproduction. </w:t>
      </w:r>
    </w:p>
    <w:p>
      <w:pPr>
        <w:pStyle w:val="Normal"/>
        <w:bidi w:val="0"/>
        <w:spacing w:lineRule="auto" w:line="480" w:before="0" w:after="0"/>
        <w:ind w:firstLine="720" w:start="0" w:end="0"/>
        <w:jc w:val="start"/>
        <w:rPr>
          <w:rFonts w:ascii="Liberation Serif" w:hAnsi="Liberation Serif"/>
          <w:sz w:val="24"/>
          <w:szCs w:val="24"/>
        </w:rPr>
      </w:pPr>
      <w:r>
        <w:rPr>
          <w:sz w:val="24"/>
          <w:szCs w:val="24"/>
        </w:rPr>
        <w:t>In "Towards Global Fordism?" Alain Lipietz, another scholar from the regulation school, attempts to more adequately theorize the connection between the Fordist core and the periphery, but his analysis shows the same weaknesses as Aglietta's. Writing in 1982, he notes that</w:t>
      </w:r>
    </w:p>
    <w:p>
      <w:pPr>
        <w:pStyle w:val="Normal"/>
        <w:bidi w:val="0"/>
        <w:spacing w:lineRule="auto" w:line="240" w:before="0" w:after="200"/>
        <w:ind w:hanging="0" w:start="720" w:end="0"/>
        <w:jc w:val="start"/>
        <w:rPr>
          <w:rFonts w:ascii="Liberation Serif" w:hAnsi="Liberation Serif"/>
        </w:rPr>
      </w:pPr>
      <w:r>
        <w:rPr>
          <w:sz w:val="24"/>
          <w:szCs w:val="24"/>
        </w:rPr>
        <w:t>in three ‘glorious’ post-war decades, a crucial change was introduced by the system of capitalist accumulation that various French economists, following Gramsci, have baptized ‘Fordism.’ A ‘centre’, displaying a cohesive internal logic at the level of blocs (North America, the EEC) if not individual countries, came to stand against a ‘periphery’ which, whatever the internal dynamic of its component parts, was ever more disconnected from this ‘autocentred’ logic.</w:t>
      </w:r>
      <w:r>
        <w:rPr>
          <w:rStyle w:val="FootnoteReference"/>
          <w:sz w:val="24"/>
          <w:szCs w:val="24"/>
          <w:vertAlign w:val="superscript"/>
        </w:rPr>
        <w:footnoteReference w:id="28"/>
      </w:r>
    </w:p>
    <w:p>
      <w:pPr>
        <w:pStyle w:val="Normal"/>
        <w:bidi w:val="0"/>
        <w:spacing w:lineRule="auto" w:line="480" w:before="0" w:after="0"/>
        <w:jc w:val="start"/>
        <w:rPr>
          <w:rFonts w:ascii="Liberation Serif" w:hAnsi="Liberation Serif"/>
        </w:rPr>
      </w:pPr>
      <w:r>
        <w:rPr>
          <w:sz w:val="24"/>
          <w:szCs w:val="24"/>
        </w:rPr>
        <w:t xml:space="preserve">However Lipietz immediately questions whether we can even “speak of a world-wide extension of Fordism,” noting that during the late 1960s and early 1970s, the economic periphery experienced uninterrupted growth while the economic core went into a production crisis. Indeed, the industrialization of the periphery was not a slow march following in the footsteps of the core, but was its own specific development, conditioned by and conditioning the dynamics of accumulation in the United States and Europe. By the time 'Fordism' reached the third world, it </w:t>
      </w:r>
      <w:r>
        <w:rPr>
          <w:sz w:val="24"/>
          <w:szCs w:val="24"/>
        </w:rPr>
        <w:t>had devolved into another one of its non-ideal, mutated forms. Lipietz describes a Global South Fordism stripped of its impetus to consumption as "sub-Fordism" and "'Bloody' Taylorization."</w:t>
      </w:r>
      <w:r>
        <w:rPr>
          <w:rStyle w:val="FootnoteReference"/>
          <w:sz w:val="24"/>
          <w:szCs w:val="24"/>
        </w:rPr>
        <w:footnoteReference w:id="29"/>
      </w:r>
      <w:r>
        <w:rPr>
          <w:sz w:val="24"/>
          <w:szCs w:val="24"/>
        </w:rPr>
        <w:t xml:space="preserve"> </w:t>
      </w:r>
    </w:p>
    <w:p>
      <w:pPr>
        <w:pStyle w:val="Normal"/>
        <w:bidi w:val="0"/>
        <w:spacing w:lineRule="auto" w:line="480" w:before="0" w:after="0"/>
        <w:jc w:val="start"/>
        <w:rPr>
          <w:rFonts w:ascii="Liberation Serif" w:hAnsi="Liberation Serif"/>
        </w:rPr>
      </w:pPr>
      <w:r>
        <w:rPr>
          <w:sz w:val="24"/>
          <w:szCs w:val="24"/>
        </w:rPr>
        <w:tab/>
        <w:t xml:space="preserve">Although Lipietz's work is rigorous and empirically rich, </w:t>
      </w:r>
      <w:r>
        <w:rPr>
          <w:sz w:val="24"/>
          <w:szCs w:val="24"/>
        </w:rPr>
        <w:t>it is undergirded by a flawed methodology. He first maintains Aglietta's idealist assumption that the Fordism of the US can be analytically extracted from its own contemporary global context. He then looks at the structures of accumulation in the Global South decades later and compares them to this ideal type. The implicit question is not 'how did the structure of accumulation in the South develop?' but 'why did Fordism fail to be exported as-is?' It completely sidesteps the question of how production in the South is contributed to the development of Fordism in the core.</w:t>
      </w:r>
    </w:p>
    <w:p>
      <w:pPr>
        <w:pStyle w:val="Normal"/>
        <w:bidi w:val="0"/>
        <w:spacing w:lineRule="auto" w:line="480" w:before="0" w:after="0"/>
        <w:ind w:firstLine="720" w:start="0" w:end="0"/>
        <w:jc w:val="start"/>
        <w:rPr>
          <w:rFonts w:ascii="Liberation Serif" w:hAnsi="Liberation Serif"/>
          <w:sz w:val="24"/>
          <w:szCs w:val="24"/>
        </w:rPr>
      </w:pPr>
      <w:r>
        <w:rPr>
          <w:sz w:val="24"/>
          <w:szCs w:val="24"/>
          <w:shd w:fill="auto" w:val="clear"/>
        </w:rPr>
        <w:t xml:space="preserve">A more appropriate approach to the global scope of Fordism is to trace the specific ways in which the automotive industry created new relations of production and consumption in peripheral countries, and how these relations contributed to the accumulation of capital in the core countries. </w:t>
      </w:r>
      <w:r>
        <w:rPr>
          <w:sz w:val="24"/>
          <w:szCs w:val="24"/>
          <w:shd w:fill="auto" w:val="clear"/>
        </w:rPr>
        <w:t>A useful</w:t>
      </w:r>
      <w:r>
        <w:rPr>
          <w:sz w:val="24"/>
          <w:szCs w:val="24"/>
          <w:shd w:fill="auto" w:val="clear"/>
        </w:rPr>
        <w:t xml:space="preserve"> framework for such an analysis is the commodity chain - the</w:t>
      </w:r>
      <w:r>
        <w:rPr>
          <w:sz w:val="24"/>
          <w:szCs w:val="24"/>
          <w:shd w:fill="auto" w:val="clear"/>
        </w:rPr>
        <w:t xml:space="preserve"> global</w:t>
      </w:r>
      <w:r>
        <w:rPr>
          <w:sz w:val="24"/>
          <w:szCs w:val="24"/>
          <w:shd w:fill="auto" w:val="clear"/>
        </w:rPr>
        <w:t xml:space="preserve"> network of extraction and production processes that transform raw materials into finished goods. As an raw essential material unavailable in the US and Europe, rubber and its conditions of production expose the fundamental</w:t>
      </w:r>
      <w:r>
        <w:rPr>
          <w:sz w:val="24"/>
          <w:szCs w:val="24"/>
          <w:shd w:fill="auto" w:val="clear"/>
        </w:rPr>
        <w:t>ly</w:t>
      </w:r>
      <w:r>
        <w:rPr>
          <w:sz w:val="24"/>
          <w:szCs w:val="24"/>
          <w:shd w:fill="auto" w:val="clear"/>
        </w:rPr>
        <w:t xml:space="preserve"> global nature of the production of automobiles. Cars could not be produced if rubber was not available - and their production would not be profitable if it was too expensive. In the drive to procure sufficient quantities of cheap rubber, European and American capital pulled the rubber producing regions in the Amazon, Africa and Southeast Asia into their sphere of influence, but on deeply unequal terms. </w:t>
      </w:r>
    </w:p>
    <w:p>
      <w:pPr>
        <w:pStyle w:val="Normal"/>
        <w:bidi w:val="0"/>
        <w:spacing w:lineRule="auto" w:line="480" w:before="0" w:after="0"/>
        <w:ind w:firstLine="720" w:start="0" w:end="0"/>
        <w:jc w:val="start"/>
        <w:rPr>
          <w:rFonts w:ascii="Liberation Serif" w:hAnsi="Liberation Serif"/>
          <w:sz w:val="24"/>
          <w:szCs w:val="24"/>
        </w:rPr>
      </w:pPr>
      <w:r>
        <w:rPr>
          <w:sz w:val="24"/>
          <w:szCs w:val="24"/>
          <w:shd w:fill="auto" w:val="clear"/>
        </w:rPr>
        <w:t>Several factors contributed to the underdevelopment of the rubber regions: the demands of Northern industry for cheap rubber, Colonial governments with no interest in the development of stable and autonomous economies in the Global South, and unscrupulous local actors happy to exploit their countrymen for a marginal share in the profits of capital. Each of these factors interacted with the same variables that were so important to Henry Ford: the possibilities of rationalizing processes of production and the substitution of commodity consumption for subsistence labor. These two variables were manipulated in different ways than in the US Midwest, but just as in the North, they were unified as part of a "logic that operates on the totality of time and space occupied or traversed by its individuals in daily life."</w:t>
      </w:r>
      <w:r>
        <w:rPr>
          <w:rStyle w:val="FootnoteReference"/>
          <w:sz w:val="24"/>
          <w:szCs w:val="24"/>
          <w:shd w:fill="auto" w:val="clear"/>
        </w:rPr>
        <w:footnoteReference w:id="30"/>
      </w:r>
      <w:r>
        <w:rPr>
          <w:sz w:val="24"/>
          <w:szCs w:val="24"/>
          <w:shd w:fill="auto" w:val="clear"/>
        </w:rPr>
        <w:t xml:space="preserve"> To sideline the exploitation of rubber workers, and the exclusion of Global South industry from the profits of the automotive industry is to misrecognize Fordism as a category of the capitalist world-system. </w:t>
      </w:r>
    </w:p>
    <w:p>
      <w:pPr>
        <w:pStyle w:val="Normal"/>
        <w:bidi w:val="0"/>
        <w:spacing w:lineRule="auto" w:line="480" w:before="0" w:after="0"/>
        <w:ind w:firstLine="720" w:start="0" w:end="0"/>
        <w:jc w:val="start"/>
        <w:rPr>
          <w:rFonts w:ascii="Liberation Serif" w:hAnsi="Liberation Serif"/>
          <w:sz w:val="24"/>
          <w:szCs w:val="24"/>
        </w:rPr>
      </w:pPr>
      <w:r>
        <w:rPr>
          <w:sz w:val="24"/>
          <w:szCs w:val="24"/>
        </w:rPr>
        <w:t xml:space="preserve">If we have called into question Fordism as a systematic regime of accumulation, and its validity as a mode of regulation divorced from both state action and the global contours of capital, we might reasonably ask what use the concept of Fordism provides, and what value we can gain from </w:t>
      </w:r>
      <w:r>
        <w:rPr>
          <w:sz w:val="24"/>
          <w:szCs w:val="24"/>
        </w:rPr>
        <w:t>the regulation school's</w:t>
      </w:r>
      <w:r>
        <w:rPr>
          <w:sz w:val="24"/>
          <w:szCs w:val="24"/>
        </w:rPr>
        <w:t xml:space="preserve"> treatment of it. Two of Aglietta’s core interventions - Fordism as a specific qualitative change in the articulation of production and consumption, and the increased stratification of the wage-earning class - are crucial</w:t>
      </w:r>
      <w:r>
        <w:rPr>
          <w:sz w:val="24"/>
          <w:szCs w:val="24"/>
        </w:rPr>
        <w:t>, but they must be reformulated as questions. We are interested in asking what concrete struggles led to the particular relationship between production and consumption in the early automotive industry, as well as interrogating the limits of this relationship. Further,</w:t>
      </w:r>
      <w:r>
        <w:rPr>
          <w:sz w:val="24"/>
          <w:szCs w:val="24"/>
        </w:rPr>
        <w:t xml:space="preserve"> we cannot define Fordism so narrowly as to exclude the conditions of production in the Global South. The production of rubber in the Amazon, Africa and Southeast Asia were not external to the automotive industry, but internal to it. With this in mind, we will investigate the articulation between production and consumption in the rubber industry, and the stratification of the rubber workers. We will especially pay attention to the development of commodity consumption and attempts at the rationalization of rubber gathering. In the following sections, we will look more closely at these phenomena both in the early Michigan automo</w:t>
      </w:r>
      <w:r>
        <w:rPr>
          <w:sz w:val="24"/>
          <w:szCs w:val="24"/>
        </w:rPr>
        <w:t>t</w:t>
      </w:r>
      <w:r>
        <w:rPr>
          <w:sz w:val="24"/>
          <w:szCs w:val="24"/>
        </w:rPr>
        <w:t>ive industry, and in the rubber industry abroad.</w:t>
      </w:r>
    </w:p>
    <w:sectPr>
      <w:footerReference w:type="even" r:id="rId2"/>
      <w:footerReference w:type="default" r:id="rId3"/>
      <w:footerReference w:type="first" r:id="rId4"/>
      <w:footnotePr>
        <w:numFmt w:val="decimal"/>
      </w:footnotePr>
      <w:type w:val="nextPage"/>
      <w:pgSz w:w="12240" w:h="15840"/>
      <w:pgMar w:left="1440" w:right="1440" w:gutter="0" w:header="0" w:top="1440" w:footer="1440" w:bottom="1999"/>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1" w:name="PageNumWizard_FOOTER_Default_Page_Style6"/>
    <w:r>
      <w:rPr/>
      <w:fldChar w:fldCharType="begin"/>
    </w:r>
    <w:r>
      <w:rPr/>
      <w:instrText xml:space="preserve"> PAGE </w:instrText>
    </w:r>
    <w:r>
      <w:rPr/>
      <w:fldChar w:fldCharType="separate"/>
    </w:r>
    <w:r>
      <w:rPr/>
      <w:t>12</w:t>
    </w:r>
    <w:r>
      <w:rPr/>
      <w:fldChar w:fldCharType="end"/>
    </w:r>
    <w:bookmarkEnd w:id="1"/>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2" w:name="PageNumWizard_FOOTER_Default_Page_Style6"/>
    <w:r>
      <w:rPr/>
      <w:fldChar w:fldCharType="begin"/>
    </w:r>
    <w:r>
      <w:rPr/>
      <w:instrText xml:space="preserve"> PAGE </w:instrText>
    </w:r>
    <w:r>
      <w:rPr/>
      <w:fldChar w:fldCharType="separate"/>
    </w:r>
    <w:r>
      <w:rPr/>
      <w:t>12</w:t>
    </w:r>
    <w:r>
      <w:rPr/>
      <w:fldChar w:fldCharType="end"/>
    </w:r>
    <w:bookmarkEnd w:id="2"/>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uppressLineNumbers/>
        <w:bidi w:val="0"/>
        <w:ind w:hanging="340" w:start="340"/>
        <w:jc w:val="start"/>
        <w:rPr/>
      </w:pPr>
      <w:r>
        <w:rPr>
          <w:rStyle w:val="FootnoteCharacters"/>
        </w:rPr>
        <w:footnoteRef/>
      </w:r>
      <w:r>
        <w:rPr/>
        <w:tab/>
        <w:t xml:space="preserve">Carl H. A. Dassbach, “The Origins of Fordism: The Introduction of Mass Production and the Five-Dollar Wage,” </w:t>
      </w:r>
      <w:r>
        <w:rPr>
          <w:i/>
        </w:rPr>
        <w:t>Critical Sociology</w:t>
      </w:r>
      <w:r>
        <w:rPr/>
        <w:t xml:space="preserve"> 18, no. 1 (1991): 77–90, </w:t>
      </w:r>
      <w:hyperlink r:id="rId1">
        <w:r>
          <w:rPr>
            <w:rStyle w:val="Hyperlink"/>
          </w:rPr>
          <w:t>https://doi.org/10.1177/089692059101800105</w:t>
        </w:r>
      </w:hyperlink>
      <w:r>
        <w:rPr/>
        <w:t>.</w:t>
      </w:r>
    </w:p>
  </w:footnote>
  <w:footnote w:id="3">
    <w:p>
      <w:pPr>
        <w:pStyle w:val="FootnoteText"/>
        <w:bidi w:val="0"/>
        <w:jc w:val="start"/>
        <w:rPr/>
      </w:pPr>
      <w:r>
        <w:rPr>
          <w:rStyle w:val="FootnoteCharacters"/>
        </w:rPr>
        <w:footnoteRef/>
      </w:r>
      <w:r>
        <w:rPr/>
        <w:tab/>
        <w:t xml:space="preserve">Wayne Lewchuck, “Fordism and the Moving Assembly Line: The British and American Experience, 1895-1930,” in </w:t>
      </w:r>
      <w:r>
        <w:rPr>
          <w:i/>
        </w:rPr>
        <w:t>On The Line: Essays in the History of Auto Work</w:t>
      </w:r>
      <w:r>
        <w:rPr/>
        <w:t>, ed. Nelson Lichtenstein and Stephen Meyer (University of Illinois Press, 1989). 20.</w:t>
      </w:r>
    </w:p>
  </w:footnote>
  <w:footnote w:id="4">
    <w:p>
      <w:pPr>
        <w:pStyle w:val="FootnoteText"/>
        <w:suppressLineNumbers/>
        <w:bidi w:val="0"/>
        <w:ind w:hanging="340" w:start="340"/>
        <w:jc w:val="start"/>
        <w:rPr/>
      </w:pPr>
      <w:r>
        <w:rPr>
          <w:rStyle w:val="FootnoteCharacters"/>
        </w:rPr>
        <w:footnoteRef/>
      </w:r>
      <w:r>
        <w:rPr/>
        <w:tab/>
        <w:t xml:space="preserve">Stephen Meyer III, </w:t>
      </w:r>
      <w:r>
        <w:rPr>
          <w:i/>
        </w:rPr>
        <w:t>The Five Dollar Day: Labor Management and Social Control in the Ford Motor Company, 1908-1921</w:t>
      </w:r>
      <w:r>
        <w:rPr/>
        <w:t xml:space="preserve"> (State University of New York Press, 1981). 131.</w:t>
      </w:r>
    </w:p>
  </w:footnote>
  <w:footnote w:id="5">
    <w:p>
      <w:pPr>
        <w:pStyle w:val="FootnoteText"/>
        <w:rPr/>
      </w:pPr>
      <w:r>
        <w:rPr>
          <w:rStyle w:val="FootnoteCharacters"/>
        </w:rPr>
        <w:footnoteRef/>
      </w:r>
      <w:r>
        <w:rPr/>
        <w:tab/>
        <w:t xml:space="preserve"> </w:t>
      </w:r>
      <w:r>
        <w:rPr>
          <w:shd w:fill="FFFF00" w:val="clear"/>
        </w:rPr>
        <w:t>Clarke, Simon. 1990. “What in the F—’s name is Fordism.” Paper presented at British Sociological Association Conference, University of Surrey</w:t>
      </w:r>
    </w:p>
  </w:footnote>
  <w:footnote w:id="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Michel. 1979. </w:t>
      </w:r>
      <w:r>
        <w:rPr>
          <w:rFonts w:eastAsia="Times New Roman" w:cs="Times New Roman"/>
          <w:i/>
          <w:sz w:val="20"/>
          <w:szCs w:val="20"/>
        </w:rPr>
        <w:t>A Theory of Capitalist Regulation</w:t>
      </w:r>
      <w:r>
        <w:rPr>
          <w:rFonts w:eastAsia="Times New Roman" w:cs="Times New Roman"/>
          <w:sz w:val="20"/>
          <w:szCs w:val="20"/>
        </w:rPr>
        <w:t>. London: NLB</w:t>
      </w:r>
    </w:p>
  </w:footnote>
  <w:footnote w:id="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12</w:t>
      </w:r>
    </w:p>
  </w:footnote>
  <w:footnote w:id="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15</w:t>
      </w:r>
    </w:p>
  </w:footnote>
  <w:footnote w:id="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13</w:t>
      </w:r>
    </w:p>
  </w:footnote>
  <w:footnote w:id="10">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73</w:t>
      </w:r>
    </w:p>
  </w:footnote>
  <w:footnote w:id="11">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71</w:t>
      </w:r>
    </w:p>
  </w:footnote>
  <w:footnote w:id="12">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117</w:t>
      </w:r>
    </w:p>
  </w:footnote>
  <w:footnote w:id="13">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118</w:t>
      </w:r>
    </w:p>
  </w:footnote>
  <w:footnote w:id="14">
    <w:p>
      <w:pPr>
        <w:pStyle w:val="FootnoteText"/>
        <w:bidi w:val="0"/>
        <w:jc w:val="start"/>
        <w:rPr>
          <w:highlight w:val="none"/>
          <w:shd w:fill="auto" w:val="clear"/>
        </w:rPr>
      </w:pPr>
      <w:r>
        <w:rPr>
          <w:rStyle w:val="FootnoteCharacters"/>
        </w:rPr>
        <w:footnoteRef/>
      </w:r>
      <w:r>
        <w:rPr>
          <w:shd w:fill="auto" w:val="clear"/>
        </w:rPr>
        <w:tab/>
        <w:t xml:space="preserve">Henry Ford and Samuel Crowther, </w:t>
      </w:r>
      <w:r>
        <w:rPr>
          <w:i/>
          <w:shd w:fill="auto" w:val="clear"/>
        </w:rPr>
        <w:t>My Life and Work</w:t>
      </w:r>
      <w:r>
        <w:rPr>
          <w:shd w:fill="auto" w:val="clear"/>
        </w:rPr>
        <w:t xml:space="preserve"> (Doubleday, Page &amp; Company, 1922). 108</w:t>
      </w:r>
    </w:p>
  </w:footnote>
  <w:footnote w:id="1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118</w:t>
      </w:r>
    </w:p>
  </w:footnote>
  <w:footnote w:id="1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119</w:t>
      </w:r>
    </w:p>
  </w:footnote>
  <w:footnote w:id="17">
    <w:p>
      <w:pPr>
        <w:pStyle w:val="FootnoteText"/>
        <w:suppressLineNumbers/>
        <w:bidi w:val="0"/>
        <w:ind w:hanging="340" w:start="340"/>
        <w:jc w:val="start"/>
        <w:rPr/>
      </w:pPr>
      <w:r>
        <w:rPr>
          <w:rStyle w:val="FootnoteCharacters"/>
        </w:rPr>
        <w:footnoteRef/>
      </w:r>
      <w:r>
        <w:rPr/>
        <w:tab/>
        <w:t xml:space="preserve">Chandler, </w:t>
      </w:r>
      <w:r>
        <w:rPr>
          <w:i/>
        </w:rPr>
        <w:t>The Visible Hand</w:t>
      </w:r>
      <w:r>
        <w:rPr/>
        <w:t>.</w:t>
      </w:r>
    </w:p>
  </w:footnote>
  <w:footnote w:id="18">
    <w:p>
      <w:pPr>
        <w:pStyle w:val="FootnoteText"/>
        <w:suppressLineNumbers/>
        <w:bidi w:val="0"/>
        <w:ind w:hanging="340" w:start="340"/>
        <w:jc w:val="start"/>
        <w:rPr/>
      </w:pPr>
      <w:r>
        <w:rPr>
          <w:rStyle w:val="FootnoteCharacters"/>
        </w:rPr>
        <w:footnoteRef/>
      </w:r>
      <w:r>
        <w:rPr/>
        <w:tab/>
        <w:t xml:space="preserve">Alfred Sohn-Rethel, </w:t>
      </w:r>
      <w:r>
        <w:rPr>
          <w:i/>
        </w:rPr>
        <w:t>Intellectual and Manual Labour: A Critique of Epistemology</w:t>
      </w:r>
      <w:r>
        <w:rPr/>
        <w:t>, trans. Martin Sohn-Rethel, Historical Materialism Book Series (1978; Brill Academic Publishers, 2020). 3.</w:t>
      </w:r>
    </w:p>
  </w:footnote>
  <w:footnote w:id="19">
    <w:p>
      <w:pPr>
        <w:pStyle w:val="FootnoteText"/>
        <w:rPr/>
      </w:pPr>
      <w:r>
        <w:rPr>
          <w:rStyle w:val="FootnoteCharacters"/>
        </w:rPr>
        <w:footnoteRef/>
      </w:r>
      <w:r>
        <w:rPr/>
        <w:tab/>
        <w:t xml:space="preserve"> </w:t>
      </w:r>
      <w:r>
        <w:rPr/>
        <w:t xml:space="preserve">Ruth Schwarz Cowen, </w:t>
      </w:r>
      <w:r>
        <w:rPr>
          <w:i/>
        </w:rPr>
        <w:t>More Work for Mother: The Ironies of Household Technology from the Open Hearth to the Microwave</w:t>
      </w:r>
      <w:r>
        <w:rPr/>
        <w:t xml:space="preserve"> (Basic Books, 1983). 71-85</w:t>
      </w:r>
    </w:p>
  </w:footnote>
  <w:footnote w:id="20">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159</w:t>
      </w:r>
    </w:p>
  </w:footnote>
  <w:footnote w:id="21">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137</w:t>
      </w:r>
    </w:p>
  </w:footnote>
  <w:footnote w:id="22">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Clarke, Simon. 1988. “Overaccumulation, Class Struggle and the Regulation Approach.” </w:t>
      </w:r>
      <w:r>
        <w:rPr>
          <w:rFonts w:eastAsia="Times New Roman" w:cs="Times New Roman"/>
          <w:i/>
          <w:sz w:val="20"/>
          <w:szCs w:val="20"/>
        </w:rPr>
        <w:t xml:space="preserve"> Capital &amp; Class</w:t>
      </w:r>
      <w:r>
        <w:rPr>
          <w:rFonts w:eastAsia="Times New Roman" w:cs="Times New Roman"/>
          <w:sz w:val="20"/>
          <w:szCs w:val="20"/>
        </w:rPr>
        <w:t xml:space="preserve">. Vol 12:3. </w:t>
      </w:r>
    </w:p>
  </w:footnote>
  <w:footnote w:id="23">
    <w:p>
      <w:pPr>
        <w:pStyle w:val="FootnoteText"/>
        <w:bidi w:val="0"/>
        <w:jc w:val="start"/>
        <w:rPr/>
      </w:pPr>
      <w:r>
        <w:rPr>
          <w:rStyle w:val="FootnoteCharacters"/>
        </w:rPr>
        <w:footnoteRef/>
      </w:r>
      <w:r>
        <w:rPr/>
        <w:tab/>
        <w:t>Clarke, “Overaccumulation” 24</w:t>
      </w:r>
    </w:p>
  </w:footnote>
  <w:footnote w:id="24">
    <w:p>
      <w:pPr>
        <w:pStyle w:val="FootnoteText"/>
        <w:suppressLineNumbers/>
        <w:bidi w:val="0"/>
        <w:ind w:hanging="340" w:start="340"/>
        <w:jc w:val="start"/>
        <w:rPr/>
      </w:pPr>
      <w:r>
        <w:rPr>
          <w:rStyle w:val="FootnoteCharacters"/>
        </w:rPr>
        <w:footnoteRef/>
      </w:r>
      <w:r>
        <w:rPr/>
        <w:tab/>
        <w:t>Clarke, “Overaccumulation” 18</w:t>
      </w:r>
    </w:p>
  </w:footnote>
  <w:footnote w:id="25">
    <w:p>
      <w:pPr>
        <w:pStyle w:val="FootnoteText"/>
        <w:suppressLineNumbers/>
        <w:bidi w:val="0"/>
        <w:ind w:hanging="340" w:start="340"/>
        <w:jc w:val="start"/>
        <w:rPr/>
      </w:pPr>
      <w:r>
        <w:rPr>
          <w:rStyle w:val="FootnoteCharacters"/>
        </w:rPr>
        <w:footnoteRef/>
      </w:r>
      <w:r>
        <w:rPr/>
        <w:tab/>
        <w:t>Clarke, “Overaccumulation” 16</w:t>
      </w:r>
    </w:p>
  </w:footnote>
  <w:footnote w:id="2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32</w:t>
      </w:r>
    </w:p>
  </w:footnote>
  <w:footnote w:id="2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32</w:t>
      </w:r>
    </w:p>
  </w:footnote>
  <w:footnote w:id="2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Alain Lipietz. 1982. “Towards Global Fordism?” </w:t>
      </w:r>
      <w:r>
        <w:rPr>
          <w:rFonts w:eastAsia="Times New Roman" w:cs="Times New Roman"/>
          <w:i/>
          <w:sz w:val="20"/>
          <w:szCs w:val="20"/>
        </w:rPr>
        <w:t>New Left Review</w:t>
      </w:r>
      <w:r>
        <w:rPr>
          <w:rFonts w:eastAsia="Times New Roman" w:cs="Times New Roman"/>
          <w:sz w:val="20"/>
          <w:szCs w:val="20"/>
        </w:rPr>
        <w:t xml:space="preserve"> I:132. 33-47.</w:t>
      </w:r>
    </w:p>
  </w:footnote>
  <w:footnote w:id="29">
    <w:p>
      <w:pPr>
        <w:pStyle w:val="FootnoteText"/>
        <w:rPr/>
      </w:pPr>
      <w:r>
        <w:rPr>
          <w:rStyle w:val="FootnoteCharacters"/>
        </w:rPr>
        <w:footnoteRef/>
      </w:r>
      <w:r>
        <w:rPr/>
        <w:tab/>
        <w:t xml:space="preserve"> </w:t>
      </w:r>
      <w:r>
        <w:rPr/>
        <w:t>Lipietz, “Towards Global Fordism?”</w:t>
      </w:r>
      <w:r>
        <w:rPr/>
        <w:t xml:space="preserve"> 41.</w:t>
      </w:r>
    </w:p>
  </w:footnote>
  <w:footnote w:id="30">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71</w:t>
      </w:r>
    </w:p>
  </w:footnote>
</w:footnotes>
</file>

<file path=word/settings.xml><?xml version="1.0" encoding="utf-8"?>
<w:settings xmlns:w="http://schemas.openxmlformats.org/wordprocessingml/2006/main">
  <w:zoom w:percent="73"/>
  <w:defaultTabStop w:val="709"/>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normal1"/>
    <w:next w:val="Normal"/>
    <w:qFormat/>
    <w:pPr>
      <w:keepNext w:val="true"/>
      <w:keepLines/>
    </w:pPr>
    <w:rPr>
      <w:i/>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rPr>
      <w:color w:val="000080"/>
      <w:u w:val="single"/>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qFormat/>
    <w:pPr>
      <w:widowControl/>
      <w:suppressAutoHyphens w:val="true"/>
      <w:overflowPunct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pPr>
      <w:suppressLineNumbers/>
      <w:ind w:hanging="340" w:start="340"/>
    </w:pPr>
    <w:rPr>
      <w:sz w:val="20"/>
      <w:szCs w:val="20"/>
    </w:rPr>
  </w:style>
  <w:style w:type="paragraph" w:styleId="HeaderandFooter">
    <w:name w:val="Header and Footer"/>
    <w:basedOn w:val="Normal"/>
    <w:qFormat/>
    <w:pPr>
      <w:suppressLineNumbers/>
      <w:tabs>
        <w:tab w:val="clear" w:pos="709"/>
        <w:tab w:val="center" w:pos="4680" w:leader="none"/>
        <w:tab w:val="right" w:pos="9360" w:leader="none"/>
      </w:tabs>
    </w:pPr>
    <w:rPr/>
  </w:style>
  <w:style w:type="paragraph" w:styleId="Footer">
    <w:name w:val="Footer"/>
    <w:basedOn w:val="HeaderandFooter"/>
    <w:pPr>
      <w:suppressLineNumbers/>
    </w:pPr>
    <w:rPr/>
  </w:style>
  <w:style w:type="paragraph" w:styleId="Comment">
    <w:name w:val="Comment"/>
    <w:basedOn w:val="Normal"/>
    <w:qForma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doi.org/10.1177/089692059101800105"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72</TotalTime>
  <Application>LibreOffice/24.2.7.2$Linux_X86_64 LibreOffice_project/420$Build-2</Application>
  <AppVersion>15.0000</AppVersion>
  <Pages>12</Pages>
  <Words>3436</Words>
  <Characters>19195</Characters>
  <CharactersWithSpaces>22591</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2026-05-11T12:07:10Z</dcterms:created>
  <dc:creator/>
  <dc:description/>
  <dc:language>en-US</dc:language>
  <cp:lastModifiedBy/>
  <dcterms:modified xsi:type="dcterms:W3CDTF">2026-05-13T11:28:57Z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