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hanging="0" w:start="0" w:end="0"/>
        <w:jc w:val="start"/>
        <w:rPr>
          <w:rFonts w:ascii="Liberation Serif" w:hAnsi="Liberation Serif"/>
        </w:rPr>
      </w:pPr>
      <w:r>
        <w:rPr>
          <w:b/>
          <w:bCs/>
          <w:i w:val="false"/>
          <w:iCs w:val="false"/>
          <w:sz w:val="24"/>
          <w:szCs w:val="24"/>
        </w:rPr>
        <w:t>Global Complications: the Rubber Industry</w:t>
      </w:r>
    </w:p>
    <w:p>
      <w:pPr>
        <w:pStyle w:val="Normal"/>
        <w:bidi w:val="0"/>
        <w:spacing w:lineRule="auto" w:line="480" w:before="0" w:after="0"/>
        <w:ind w:firstLine="720" w:start="0" w:end="0"/>
        <w:jc w:val="start"/>
        <w:rPr>
          <w:rFonts w:ascii="Liberation Serif" w:hAnsi="Liberation Serif"/>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w:t>
      </w:r>
      <w:r>
        <w:rPr>
          <w:sz w:val="24"/>
          <w:szCs w:val="24"/>
        </w:rPr>
        <w:t xml:space="preserve"> </w:t>
      </w:r>
      <w:r>
        <w:rPr>
          <w:sz w:val="24"/>
          <w:szCs w:val="24"/>
        </w:rPr>
        <w:t xml:space="preserve">Wallerstein </w:t>
      </w:r>
      <w:r>
        <w:rPr>
          <w:sz w:val="24"/>
          <w:szCs w:val="24"/>
        </w:rPr>
        <w:t>refers to</w:t>
      </w:r>
      <w:r>
        <w:rPr>
          <w:sz w:val="24"/>
          <w:szCs w:val="24"/>
        </w:rPr>
        <w:t xml:space="preserve"> this global dynamic</w:t>
      </w:r>
      <w:r>
        <w:rPr>
          <w:sz w:val="24"/>
          <w:szCs w:val="24"/>
        </w:rPr>
        <w:t xml:space="preserve"> as</w:t>
      </w:r>
      <w:r>
        <w:rPr>
          <w:sz w:val="24"/>
          <w:szCs w:val="24"/>
        </w:rPr>
        <w:t xml:space="preserve">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2"/>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3"/>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4"/>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w:t>
      </w:r>
      <w:r>
        <w:rPr>
          <w:sz w:val="24"/>
          <w:szCs w:val="24"/>
        </w:rPr>
        <w:t>concept</w:t>
      </w:r>
      <w:r>
        <w:rPr>
          <w:sz w:val="24"/>
          <w:szCs w:val="24"/>
        </w:rPr>
        <w:t xml:space="preserve">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5"/>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6"/>
      </w:r>
    </w:p>
    <w:p>
      <w:pPr>
        <w:pStyle w:val="Normal"/>
        <w:bidi w:val="0"/>
        <w:spacing w:lineRule="auto" w:line="480" w:before="0" w:after="0"/>
        <w:ind w:firstLine="720" w:start="0" w:end="0"/>
        <w:jc w:val="start"/>
        <w:rPr>
          <w:rFonts w:ascii="Liberation Serif" w:hAnsi="Liberation Serif"/>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7"/>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8"/>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rFonts w:ascii="Liberation Serif" w:hAnsi="Liberation Serif"/>
        </w:rPr>
      </w:pPr>
      <w:r>
        <w:rPr>
          <w:sz w:val="24"/>
          <w:szCs w:val="24"/>
        </w:rPr>
        <w:t>This dynamic can be traced along what world-systems analysts call commodity chains: the global chain of labor and raw-material inputs that results in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9"/>
      </w:r>
      <w:r>
        <w:rPr>
          <w:sz w:val="24"/>
          <w:szCs w:val="24"/>
        </w:rPr>
        <w:t xml:space="preserve"> Criticizing an analytical nationalism which attempts to abstract autonomous societies from each other, Wallerstein and Hopkins insist on analyzing the world-system </w:t>
      </w:r>
      <w:r>
        <w:rPr>
          <w:i/>
          <w:iCs/>
          <w:sz w:val="24"/>
          <w:szCs w:val="24"/>
        </w:rPr>
        <w:t>in toto</w:t>
      </w:r>
      <w:r>
        <w:rPr>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10"/>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Liberation Serif" w:hAnsi="Liberation Serif"/>
        </w:rPr>
      </w:pPr>
      <w:r>
        <w:rPr>
          <w:sz w:val="24"/>
          <w:szCs w:val="24"/>
        </w:rPr>
        <w:t xml:space="preserve">Commodity chains bring local and global </w:t>
      </w:r>
      <w:r>
        <w:rPr>
          <w:sz w:val="24"/>
          <w:szCs w:val="24"/>
        </w:rPr>
        <w:t>production processes</w:t>
      </w:r>
      <w:r>
        <w:rPr>
          <w:sz w:val="24"/>
          <w:szCs w:val="24"/>
        </w:rPr>
        <w:t xml:space="preserve">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11"/>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rFonts w:ascii="Liberation Serif" w:hAnsi="Liberation Serif"/>
        </w:rPr>
      </w:pPr>
      <w:r>
        <w:rPr>
          <w:sz w:val="24"/>
          <w:szCs w:val="24"/>
        </w:rPr>
        <w:t xml:space="preserve">Commodity chains are a useful concept for countering </w:t>
      </w:r>
      <w:r>
        <w:rPr>
          <w:sz w:val="24"/>
          <w:szCs w:val="24"/>
        </w:rPr>
        <w:t>perspectives which treat</w:t>
      </w:r>
      <w:r>
        <w:rPr>
          <w:sz w:val="24"/>
          <w:szCs w:val="24"/>
        </w:rPr>
        <w:t xml:space="preserve"> capitalist accumulation</w:t>
      </w:r>
      <w:r>
        <w:rPr>
          <w:sz w:val="24"/>
          <w:szCs w:val="24"/>
        </w:rPr>
        <w:t xml:space="preserve"> as a local phenomenon</w:t>
      </w:r>
      <w:r>
        <w:rPr>
          <w:sz w:val="24"/>
          <w:szCs w:val="24"/>
        </w:rPr>
        <w:t>.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12"/>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13"/>
      </w:r>
      <w:r>
        <w:rPr>
          <w:sz w:val="24"/>
          <w:szCs w:val="24"/>
        </w:rPr>
        <w:t xml:space="preserve"> The remainder of this section will examine production and reproduction in this context along the Fordist commodity chain. </w:t>
      </w:r>
    </w:p>
    <w:p>
      <w:pPr>
        <w:pStyle w:val="Normal"/>
        <w:bidi w:val="0"/>
        <w:spacing w:lineRule="auto" w:line="480" w:before="0" w:after="0"/>
        <w:ind w:firstLine="720" w:start="0" w:end="0"/>
        <w:jc w:val="start"/>
        <w:rPr>
          <w:rFonts w:ascii="Liberation Serif" w:hAnsi="Liberation Serif"/>
        </w:rPr>
      </w:pPr>
      <w:r>
        <w:rPr>
          <w:sz w:val="24"/>
          <w:szCs w:val="24"/>
        </w:rPr>
        <w:t xml:space="preserve">For early automobile producers in Michigan, many of </w:t>
      </w:r>
      <w:r>
        <w:rPr>
          <w:sz w:val="24"/>
          <w:szCs w:val="24"/>
        </w:rPr>
        <w:t>a significant portion of the commodity chain</w:t>
      </w:r>
      <w:r>
        <w:rPr>
          <w:sz w:val="24"/>
          <w:szCs w:val="24"/>
        </w:rPr>
        <w:t xml:space="preserve"> w</w:t>
      </w:r>
      <w:r>
        <w:rPr>
          <w:sz w:val="24"/>
          <w:szCs w:val="24"/>
        </w:rPr>
        <w:t>as</w:t>
      </w:r>
      <w:r>
        <w:rPr>
          <w:sz w:val="24"/>
          <w:szCs w:val="24"/>
        </w:rPr>
        <w:t xml:space="preserve">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14"/>
      </w:r>
      <w:r>
        <w:rPr>
          <w:sz w:val="24"/>
          <w:szCs w:val="24"/>
        </w:rPr>
        <w:t xml:space="preserve"> To acquire the rubber necessary for the production of automobiles, Ford and his competitors had to look outside the US - at first to the Amazon and the Congo, and then later to Malaya and Sumatra in Southeast Asia.</w:t>
      </w:r>
    </w:p>
    <w:p>
      <w:pPr>
        <w:pStyle w:val="Normal"/>
        <w:bidi w:val="0"/>
        <w:spacing w:lineRule="auto" w:line="480" w:before="0" w:after="0"/>
        <w:ind w:firstLine="720" w:start="0" w:end="0"/>
        <w:jc w:val="start"/>
        <w:rPr>
          <w:rFonts w:ascii="Liberation Serif" w:hAnsi="Liberation Serif"/>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w:t>
      </w:r>
      <w:r>
        <w:rPr>
          <w:sz w:val="24"/>
          <w:szCs w:val="24"/>
        </w:rPr>
        <w:t>8</w:t>
      </w:r>
      <w:r>
        <w:rPr>
          <w:sz w:val="24"/>
          <w:szCs w:val="24"/>
        </w:rPr>
        <w:t>45 carriage wheels were equipped with solid rubber tires.</w:t>
      </w:r>
      <w:r>
        <w:rPr>
          <w:rStyle w:val="FootnoteReference"/>
          <w:sz w:val="24"/>
          <w:szCs w:val="24"/>
          <w:vertAlign w:val="superscript"/>
        </w:rPr>
        <w:footnoteReference w:id="15"/>
      </w:r>
      <w:r>
        <w:rPr>
          <w:sz w:val="24"/>
          <w:szCs w:val="24"/>
        </w:rPr>
        <w:t xml:space="preserve"> The demand generated by t</w:t>
      </w:r>
      <w:r>
        <w:rPr>
          <w:sz w:val="24"/>
          <w:szCs w:val="24"/>
        </w:rPr>
        <w: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16"/>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rFonts w:ascii="Liberation Serif" w:hAnsi="Liberation Serif"/>
        </w:rPr>
      </w:pPr>
      <w:r>
        <w:rPr>
          <w:sz w:val="24"/>
          <w:szCs w:val="24"/>
        </w:rPr>
        <w:t>Large scale</w:t>
      </w:r>
      <w:r>
        <w:rPr>
          <w:sz w:val="24"/>
          <w:szCs w:val="24"/>
        </w:rPr>
        <w:t xml:space="preserve"> </w:t>
      </w:r>
      <w:r>
        <w:rPr>
          <w:sz w:val="24"/>
          <w:szCs w:val="24"/>
        </w:rPr>
        <w:t>extraction</w:t>
      </w:r>
      <w:r>
        <w:rPr>
          <w:sz w:val="24"/>
          <w:szCs w:val="24"/>
        </w:rPr>
        <w:t xml:space="preserve">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17"/>
      </w:r>
      <w:r>
        <w:rPr>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sz w:val="24"/>
          <w:szCs w:val="24"/>
          <w:vertAlign w:val="superscript"/>
        </w:rPr>
        <w:footnoteReference w:id="18"/>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w:t>
      </w:r>
      <w:r>
        <w:rPr>
          <w:sz w:val="24"/>
          <w:szCs w:val="24"/>
        </w:rPr>
        <w:t>was</w:t>
      </w:r>
      <w:r>
        <w:rPr>
          <w:sz w:val="24"/>
          <w:szCs w:val="24"/>
        </w:rPr>
        <w:t xml:space="preserve">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Liberation Serif" w:hAnsi="Liberation Serif"/>
        </w:rPr>
      </w:pPr>
      <w:r>
        <w:rPr>
          <w:sz w:val="24"/>
          <w:szCs w:val="24"/>
        </w:rPr>
        <w:t xml:space="preserve">The working conditions in rubber fields </w:t>
      </w:r>
      <w:r>
        <w:rPr>
          <w:sz w:val="24"/>
          <w:szCs w:val="24"/>
        </w:rPr>
        <w:t>of the Amazon</w:t>
      </w:r>
      <w:r>
        <w:rPr>
          <w:sz w:val="24"/>
          <w:szCs w:val="24"/>
        </w:rPr>
        <w:t xml:space="preserve">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w:t>
      </w:r>
      <w:r>
        <w:rPr>
          <w:sz w:val="24"/>
          <w:szCs w:val="24"/>
        </w:rPr>
        <w:t xml:space="preserve">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sz w:val="24"/>
          <w:szCs w:val="24"/>
          <w:vertAlign w:val="superscript"/>
        </w:rPr>
        <w:footnoteReference w:id="19"/>
      </w:r>
      <w:r>
        <w:rPr>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20"/>
      </w:r>
      <w:r>
        <w:rPr>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rFonts w:ascii="Liberation Serif" w:hAnsi="Liberation Serif"/>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21"/>
      </w:r>
      <w:r>
        <w:rPr>
          <w:sz w:val="24"/>
          <w:szCs w:val="24"/>
        </w:rPr>
        <w:t xml:space="preserve"> Whereas in the Amazon, workers migrated to the rubber regions due to harsh economic and environmental conditions</w:t>
      </w:r>
      <w:r>
        <w:rPr>
          <w:sz w:val="24"/>
          <w:szCs w:val="24"/>
        </w:rPr>
        <w:t xml:space="preserve"> back home</w:t>
      </w:r>
      <w:r>
        <w:rPr>
          <w:sz w:val="24"/>
          <w:szCs w:val="24"/>
        </w:rPr>
        <w:t xml:space="preserve">, in the Congo the state and private firms sent expeditions into the countryside to capture and enslave </w:t>
      </w:r>
      <w:r>
        <w:rPr>
          <w:sz w:val="24"/>
          <w:szCs w:val="24"/>
        </w:rPr>
        <w:t>Indigenous</w:t>
      </w:r>
      <w:r>
        <w:rPr>
          <w:sz w:val="24"/>
          <w:szCs w:val="24"/>
        </w:rPr>
        <w:t xml:space="preserve">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22"/>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23"/>
      </w:r>
    </w:p>
    <w:p>
      <w:pPr>
        <w:pStyle w:val="Normal"/>
        <w:bidi w:val="0"/>
        <w:spacing w:lineRule="auto" w:line="480" w:before="0" w:after="0"/>
        <w:ind w:firstLine="720" w:start="0" w:end="0"/>
        <w:jc w:val="start"/>
        <w:rPr>
          <w:rFonts w:ascii="Liberation Serif" w:hAnsi="Liberation Serif"/>
        </w:rPr>
      </w:pPr>
      <w:r>
        <w:rPr>
          <w:sz w:val="24"/>
          <w:szCs w:val="24"/>
        </w:rPr>
        <w:t>Unlike in the US midwest, few provisions were made for generational reproduction. It is true that the automotive industry in Michigan employed large amounts of immigrant labor, but if they conformed to Ford's social expectations then allowances were made to support their families. The Five Dollar Day was explicitly an encouragement to generational reproduction. In the Amazon and Congo, however, e</w:t>
      </w:r>
      <w:r>
        <w:rPr>
          <w:sz w:val="24"/>
          <w:szCs w:val="24"/>
        </w:rPr>
        <w:t>xisting communities and their social relations were violently disrupted by rubber barons and state</w:t>
      </w:r>
      <w:r>
        <w:rPr>
          <w:sz w:val="24"/>
          <w:szCs w:val="24"/>
        </w:rPr>
        <w:t xml:space="preserve"> actors</w:t>
      </w:r>
      <w:r>
        <w:rPr>
          <w:sz w:val="24"/>
          <w:szCs w:val="24"/>
        </w:rPr>
        <w:t xml:space="preserve"> who saw no need to recreate conditions for the renewal of laborers. Rather indigenous and migrant populations </w:t>
      </w:r>
      <w:r>
        <w:rPr>
          <w:sz w:val="24"/>
          <w:szCs w:val="24"/>
        </w:rPr>
        <w:t>were almost exclusively an</w:t>
      </w:r>
      <w:r>
        <w:rPr>
          <w:sz w:val="24"/>
          <w:szCs w:val="24"/>
        </w:rPr>
        <w:t xml:space="preserve"> external pool from which new labor could be drawn. The pay given to rubber workers (if it can be called pay) was insufficient to provide for the renewal of the conditions of labor on an open </w:t>
      </w:r>
      <w:r>
        <w:rPr>
          <w:sz w:val="24"/>
          <w:szCs w:val="24"/>
        </w:rPr>
        <w:t>labor</w:t>
      </w:r>
      <w:r>
        <w:rPr>
          <w:sz w:val="24"/>
          <w:szCs w:val="24"/>
        </w:rPr>
        <w:t xml:space="preserve"> market, and so the gap was filled by coercion, and by the workers’ informal reproductive labor. </w:t>
      </w:r>
      <w:r>
        <w:rPr>
          <w:sz w:val="24"/>
          <w:szCs w:val="24"/>
        </w:rPr>
        <w:t xml:space="preserve">Furthermore, although workers along the commodity chain were increasingly commodity consumers, as well as producers, in Michigan this took the form of household appliances purchased with an earned wage. In the rubber fields these commodites were </w:t>
      </w:r>
      <w:r>
        <w:rPr>
          <w:sz w:val="24"/>
          <w:szCs w:val="24"/>
        </w:rPr>
        <w:t xml:space="preserve">obtained from closed company shops, and in both the Amazon and the Congo, roving rubber tappers </w:t>
      </w:r>
      <w:r>
        <w:rPr>
          <w:sz w:val="24"/>
          <w:szCs w:val="24"/>
        </w:rPr>
        <w:t xml:space="preserve">lived not in their own houses, but in </w:t>
      </w:r>
      <w:r>
        <w:rPr>
          <w:sz w:val="24"/>
          <w:szCs w:val="24"/>
        </w:rPr>
        <w:t>temporary shelters in the rubber fields.</w:t>
      </w:r>
      <w:r>
        <w:rPr>
          <w:rStyle w:val="FootnoteReference"/>
          <w:sz w:val="24"/>
          <w:szCs w:val="24"/>
          <w:vertAlign w:val="superscript"/>
        </w:rPr>
        <w:footnoteReference w:id="24"/>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rFonts w:ascii="Liberation Serif" w:hAnsi="Liberation Serif"/>
        </w:rPr>
      </w:pPr>
      <w:r>
        <w:rPr>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25"/>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26"/>
      </w:r>
    </w:p>
    <w:p>
      <w:pPr>
        <w:pStyle w:val="Normal"/>
        <w:bidi w:val="0"/>
        <w:spacing w:lineRule="auto" w:line="480" w:before="0" w:after="0"/>
        <w:ind w:firstLine="720" w:start="0" w:end="0"/>
        <w:jc w:val="start"/>
        <w:rPr>
          <w:rFonts w:ascii="Liberation Serif" w:hAnsi="Liberation Serif"/>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27"/>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28"/>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29"/>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 xml:space="preserve">The </w:t>
      </w:r>
      <w:r>
        <w:rPr>
          <w:sz w:val="24"/>
          <w:szCs w:val="24"/>
        </w:rPr>
        <w:t>wild</w:t>
      </w:r>
      <w:r>
        <w:rPr>
          <w:sz w:val="24"/>
          <w:szCs w:val="24"/>
        </w:rPr>
        <w:t xml:space="preserve"> rubber industry was quite volatile, in large part because of the </w:t>
      </w:r>
      <w:r>
        <w:rPr>
          <w:sz w:val="24"/>
          <w:szCs w:val="24"/>
        </w:rPr>
        <w:t>decentralized</w:t>
      </w:r>
      <w:r>
        <w:rPr>
          <w:sz w:val="24"/>
          <w:szCs w:val="24"/>
        </w:rPr>
        <w:t xml:space="preserve"> nature of the production system. Rubber in Brazil was not produced on plantations, but was gathered from wild rubber trees by contract workers. Although the exploitation of tappers by traders and barons was significant and the labor productivity of wild tapping was low, there were several factors that impeded the rationalization and industrialization of rubber production in Brazil. </w:t>
      </w:r>
      <w:r>
        <w:rPr>
          <w:sz w:val="24"/>
          <w:szCs w:val="24"/>
        </w:rPr>
        <w:t xml:space="preserve">Scholars </w:t>
      </w:r>
      <w:r>
        <w:rPr>
          <w:sz w:val="24"/>
          <w:szCs w:val="24"/>
        </w:rPr>
        <w:t xml:space="preserve">note two explanations for the relative failure of proletarianization among Brazilian rubber tappers. The first </w:t>
      </w:r>
      <w:r>
        <w:rPr>
          <w:sz w:val="24"/>
          <w:szCs w:val="24"/>
        </w:rPr>
        <w:t>emphasizes the dispersed nature of the workforce alongside</w:t>
      </w:r>
      <w:r>
        <w:rPr>
          <w:sz w:val="24"/>
          <w:szCs w:val="24"/>
        </w:rPr>
        <w:t xml:space="preserve"> tapper resistance: the desire among tappers to maintain the relative autonomy of piece work and their aversion to wage-labor. Along with the traders, tappers actively resisted the </w:t>
      </w:r>
      <w:r>
        <w:rPr>
          <w:sz w:val="24"/>
          <w:szCs w:val="24"/>
        </w:rPr>
        <w:t>rationalization of their production</w:t>
      </w:r>
      <w:r>
        <w:rPr>
          <w:sz w:val="24"/>
          <w:szCs w:val="24"/>
        </w:rPr>
        <w:t>.</w:t>
      </w:r>
      <w:r>
        <w:rPr>
          <w:rStyle w:val="FootnoteReference"/>
          <w:sz w:val="24"/>
          <w:szCs w:val="24"/>
        </w:rPr>
        <w:footnoteReference w:id="30"/>
      </w:r>
      <w:r>
        <w:rPr>
          <w:sz w:val="24"/>
          <w:szCs w:val="24"/>
        </w:rPr>
        <w:t xml:space="preserve"> The second explanation was</w:t>
      </w:r>
      <w:r>
        <w:rPr>
          <w:sz w:val="24"/>
          <w:szCs w:val="24"/>
        </w:rPr>
        <w:t xml:space="preserve"> the notorious South American leaf blight which had limited spread in the wild, but thrived on plantations with rows of close planted trees.</w:t>
      </w:r>
      <w:r>
        <w:rPr>
          <w:rStyle w:val="FootnoteReference"/>
          <w:sz w:val="24"/>
          <w:szCs w:val="24"/>
        </w:rPr>
        <w:footnoteReference w:id="31"/>
      </w:r>
      <w:r>
        <w:rPr>
          <w:sz w:val="24"/>
          <w:szCs w:val="24"/>
        </w:rPr>
        <w:t xml:space="preserve"> This disease, native to South America, was not present in Asia, and so had no deleterious effect on the development of plantations in Colonial Malaya.</w:t>
      </w:r>
    </w:p>
    <w:p>
      <w:pPr>
        <w:pStyle w:val="Normal"/>
        <w:bidi w:val="0"/>
        <w:spacing w:lineRule="auto" w:line="480" w:before="0" w:after="0"/>
        <w:ind w:firstLine="720" w:start="0" w:end="0"/>
        <w:jc w:val="start"/>
        <w:rPr>
          <w:rFonts w:ascii="Liberation Serif" w:hAnsi="Liberation Serif"/>
        </w:rPr>
      </w:pPr>
      <w:r>
        <w:rPr>
          <w:sz w:val="24"/>
          <w:szCs w:val="24"/>
        </w:rPr>
        <w:t xml:space="preserve">As wild harvested rubber declined on the world stage, hampered by the South American blight in the Amazon, King Leopold’s personal finances in the Congo, and the </w:t>
      </w:r>
      <w:r>
        <w:rPr>
          <w:sz w:val="24"/>
          <w:szCs w:val="24"/>
        </w:rPr>
        <w:t>low productivity of wild rubber collection</w:t>
      </w:r>
      <w:r>
        <w:rPr>
          <w:sz w:val="24"/>
          <w:szCs w:val="24"/>
        </w:rPr>
        <w:t>,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32"/>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33"/>
      </w:r>
    </w:p>
    <w:p>
      <w:pPr>
        <w:pStyle w:val="Normal"/>
        <w:bidi w:val="0"/>
        <w:spacing w:lineRule="auto" w:line="480" w:before="0" w:after="0"/>
        <w:ind w:firstLine="720" w:start="0" w:end="0"/>
        <w:jc w:val="start"/>
        <w:rPr>
          <w:rFonts w:ascii="Liberation Serif" w:hAnsi="Liberation Serif"/>
        </w:rPr>
      </w:pPr>
      <w:r>
        <w:rPr>
          <w:sz w:val="24"/>
          <w:szCs w:val="24"/>
        </w:rPr>
        <w:t xml:space="preserve">In practice, this policy led to significantly better working conditions than those in the Amazon and the Congo, but worse than those of auto workers in Michigan. </w:t>
      </w:r>
      <w:r>
        <w:rPr>
          <w:sz w:val="24"/>
          <w:szCs w:val="24"/>
        </w:rPr>
        <w:t>Between 1840 and 1940 in one of the largest migratory systems on earth some 28 million people crossed the Bay of Bengal, many of them low-caste Tamils looking to work on the rubber plantations in Malaya.</w:t>
      </w:r>
      <w:r>
        <w:rPr>
          <w:rStyle w:val="FootnoteReference"/>
          <w:sz w:val="24"/>
          <w:szCs w:val="24"/>
        </w:rPr>
        <w:footnoteReference w:id="34"/>
      </w:r>
      <w:r>
        <w:rPr>
          <w:sz w:val="24"/>
          <w:szCs w:val="24"/>
        </w:rPr>
        <w:t xml:space="preserve"> Their legal status fluctuated between indentured, debt-bonded, and free, but these labels often had little influence over their day-to-day working conditions. </w:t>
      </w:r>
      <w:r>
        <w:rPr>
          <w:sz w:val="24"/>
          <w:szCs w:val="24"/>
        </w:rPr>
        <w:t xml:space="preserve">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35"/>
      </w:r>
      <w:r>
        <w:rPr>
          <w:sz w:val="24"/>
          <w:szCs w:val="24"/>
        </w:rPr>
        <w:t xml:space="preserve"> Most of the workers, indentured or free, worked for a wage that was differentiated on type of job and the sex and race of the worker. Women generally received </w:t>
      </w:r>
      <w:r>
        <w:rPr>
          <w:sz w:val="24"/>
          <w:szCs w:val="24"/>
        </w:rPr>
        <w:t xml:space="preserve">a fraction of their male co-workers wages, </w:t>
      </w:r>
      <w:r>
        <w:rPr>
          <w:sz w:val="24"/>
          <w:szCs w:val="24"/>
        </w:rPr>
        <w:t xml:space="preserve">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Liberation Serif" w:hAnsi="Liberation Serif"/>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36"/>
      </w:r>
      <w:r>
        <w:rPr>
          <w:sz w:val="24"/>
          <w:szCs w:val="24"/>
        </w:rPr>
        <w:t xml:space="preserve"> </w:t>
      </w:r>
      <w:r>
        <w:rPr>
          <w:sz w:val="24"/>
          <w:szCs w:val="24"/>
        </w:rPr>
        <w:t xml:space="preserve">An interesting </w:t>
      </w:r>
      <w:r>
        <w:rPr>
          <w:sz w:val="24"/>
          <w:szCs w:val="24"/>
        </w:rPr>
        <w:t xml:space="preserve">feature of the </w:t>
      </w:r>
      <w:r>
        <w:rPr>
          <w:sz w:val="24"/>
          <w:szCs w:val="24"/>
        </w:rPr>
        <w:t>Malayan rubber</w:t>
      </w:r>
      <w:r>
        <w:rPr>
          <w:sz w:val="24"/>
          <w:szCs w:val="24"/>
        </w:rPr>
        <w:t xml:space="preserve"> industry</w:t>
      </w:r>
      <w:r>
        <w:rPr>
          <w:sz w:val="24"/>
          <w:szCs w:val="24"/>
        </w:rPr>
        <w:t xml:space="preserve"> is the recrutier/oversee called a </w:t>
      </w:r>
      <w:r>
        <w:rPr>
          <w:i/>
          <w:iCs/>
          <w:sz w:val="24"/>
          <w:szCs w:val="24"/>
        </w:rPr>
        <w:t>kanga</w:t>
      </w:r>
      <w:r>
        <w:rPr>
          <w:i/>
          <w:iCs/>
          <w:sz w:val="24"/>
          <w:szCs w:val="24"/>
        </w:rPr>
        <w:t>ny</w:t>
      </w:r>
      <w:r>
        <w:rPr>
          <w:i w:val="false"/>
          <w:iCs w:val="false"/>
          <w:sz w:val="24"/>
          <w:szCs w:val="24"/>
        </w:rPr>
        <w:t>.</w:t>
      </w:r>
      <w:r>
        <w:rPr>
          <w:rStyle w:val="FootnoteReference"/>
          <w:i w:val="false"/>
          <w:iCs w:val="false"/>
          <w:sz w:val="24"/>
          <w:szCs w:val="24"/>
        </w:rPr>
        <w:footnoteReference w:id="37"/>
      </w:r>
      <w:r>
        <w:rPr>
          <w:i w:val="false"/>
          <w:iCs w:val="false"/>
          <w:sz w:val="24"/>
          <w:szCs w:val="24"/>
        </w:rPr>
        <w:t xml:space="preserve"> These individuals would travel back to India to recruit family members as rubber workers, and would later serve as their managers on the plantations</w:t>
      </w:r>
      <w:r>
        <w:rPr>
          <w:i w:val="false"/>
          <w:iCs w:val="false"/>
          <w:sz w:val="24"/>
          <w:szCs w:val="24"/>
        </w:rPr>
        <w:t>, employing a combination of coercions based on debt and familial relations</w:t>
      </w:r>
      <w:r>
        <w:rPr>
          <w:i w:val="false"/>
          <w:iCs w:val="false"/>
          <w:sz w:val="24"/>
          <w:szCs w:val="24"/>
        </w:rPr>
        <w:t xml:space="preserve">. </w:t>
      </w:r>
      <w:r>
        <w:rPr>
          <w:i w:val="false"/>
          <w:iCs w:val="false"/>
          <w:sz w:val="24"/>
          <w:szCs w:val="24"/>
        </w:rPr>
        <w:t>As</w:t>
      </w:r>
      <w:r>
        <w:rPr>
          <w:sz w:val="24"/>
          <w:szCs w:val="24"/>
        </w:rPr>
        <w:t xml:space="preserve">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38"/>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rFonts w:ascii="Liberation Serif" w:hAnsi="Liberation Serif"/>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w:t>
      </w:r>
      <w:r>
        <w:rPr>
          <w:sz w:val="24"/>
          <w:szCs w:val="24"/>
        </w:rPr>
        <w:t>capital</w:t>
      </w:r>
      <w:r>
        <w:rPr>
          <w:sz w:val="24"/>
          <w:szCs w:val="24"/>
        </w:rPr>
        <w:t xml:space="preserve"> as it is attenuated by geographical and political space. </w:t>
      </w:r>
    </w:p>
    <w:p>
      <w:pPr>
        <w:pStyle w:val="Normal"/>
        <w:bidi w:val="0"/>
        <w:spacing w:lineRule="auto" w:line="480" w:before="0" w:after="0"/>
        <w:ind w:firstLine="720" w:start="0" w:end="0"/>
        <w:jc w:val="start"/>
        <w:rPr>
          <w:rFonts w:ascii="Liberation Serif" w:hAnsi="Liberation Serif"/>
        </w:rPr>
      </w:pPr>
      <w:r>
        <w:rPr>
          <w:sz w:val="24"/>
          <w:szCs w:val="24"/>
        </w:rPr>
        <w:t xml:space="preserve">A steady supply of laborers is a central problem for industry everywhere. The social-reproductive conditions </w:t>
      </w:r>
      <w:r>
        <w:rPr>
          <w:sz w:val="24"/>
          <w:szCs w:val="24"/>
        </w:rPr>
        <w:t>of</w:t>
      </w:r>
      <w:r>
        <w:rPr>
          <w:sz w:val="24"/>
          <w:szCs w:val="24"/>
        </w:rPr>
        <w:t xml:space="preserve"> laborers varied </w:t>
      </w:r>
      <w:r>
        <w:rPr>
          <w:sz w:val="24"/>
          <w:szCs w:val="24"/>
        </w:rPr>
        <w:t xml:space="preserve">widely </w:t>
      </w:r>
      <w:r>
        <w:rPr>
          <w:sz w:val="24"/>
          <w:szCs w:val="24"/>
        </w:rPr>
        <w:t>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12</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12</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Wallerstein, Immanuel. 2004. </w:t>
      </w:r>
      <w:r>
        <w:rPr>
          <w:rFonts w:eastAsia="Times New Roman" w:cs="Times New Roman"/>
          <w:i/>
          <w:sz w:val="20"/>
          <w:szCs w:val="20"/>
        </w:rPr>
        <w:t>World-Systems Analysis: An Introduction</w:t>
      </w:r>
      <w:r>
        <w:rPr>
          <w:rFonts w:eastAsia="Times New Roman" w:cs="Times New Roman"/>
          <w:sz w:val="20"/>
          <w:szCs w:val="20"/>
        </w:rPr>
        <w:t>. Durham: Duke University Press. 60</w:t>
      </w:r>
    </w:p>
  </w:footnote>
  <w:footnote w:id="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Andre Gunder Frank. 1966. “The Development of Underdevelopment.” </w:t>
      </w:r>
      <w:r>
        <w:rPr>
          <w:rFonts w:eastAsia="Times New Roman" w:cs="Times New Roman"/>
          <w:i/>
          <w:sz w:val="20"/>
          <w:szCs w:val="20"/>
        </w:rPr>
        <w:t>Monthly Review</w:t>
      </w:r>
      <w:r>
        <w:rPr>
          <w:rFonts w:eastAsia="Times New Roman" w:cs="Times New Roman"/>
          <w:sz w:val="20"/>
          <w:szCs w:val="20"/>
        </w:rPr>
        <w:t>. 18:4. 17-31.</w:t>
      </w:r>
    </w:p>
  </w:footnote>
  <w:footnote w:id="4">
    <w:p>
      <w:pPr>
        <w:pStyle w:val="FootnoteText"/>
        <w:suppressLineNumbers/>
        <w:bidi w:val="0"/>
        <w:ind w:hanging="340" w:start="340"/>
        <w:jc w:val="start"/>
        <w:rPr/>
      </w:pPr>
      <w:r>
        <w:rPr>
          <w:rStyle w:val="FootnoteCharacters"/>
        </w:rPr>
        <w:footnoteRef/>
      </w:r>
      <w:r>
        <w:rPr/>
        <w:tab/>
        <w:t>Frank. “The Development of Underdevelopment.” 21.</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Samir. 1971. </w:t>
      </w:r>
      <w:r>
        <w:rPr>
          <w:rFonts w:eastAsia="Times New Roman" w:cs="Times New Roman"/>
          <w:i/>
          <w:sz w:val="20"/>
          <w:szCs w:val="20"/>
        </w:rPr>
        <w:t>Accumulation on a World Scale</w:t>
      </w:r>
      <w:r>
        <w:rPr>
          <w:rFonts w:eastAsia="Times New Roman" w:cs="Times New Roman"/>
          <w:sz w:val="20"/>
          <w:szCs w:val="20"/>
        </w:rPr>
        <w:t>. Monthly Review Press. 13</w:t>
      </w:r>
    </w:p>
  </w:footnote>
  <w:footnote w:id="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10">
    <w:p>
      <w:pPr>
        <w:pStyle w:val="FootnoteText"/>
        <w:suppressLineNumbers/>
        <w:bidi w:val="0"/>
        <w:ind w:hanging="340" w:start="340"/>
        <w:jc w:val="start"/>
        <w:rPr/>
      </w:pPr>
      <w:r>
        <w:rPr>
          <w:rStyle w:val="FootnoteCharacters"/>
        </w:rPr>
        <w:footnoteRef/>
      </w:r>
      <w:r>
        <w:rPr/>
        <w:tab/>
        <w:t>Hopkins, Wallerstein, 1977, 112</w:t>
      </w:r>
    </w:p>
  </w:footnote>
  <w:footnote w:id="1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Stephen G., and Paul S. Ciccantell. 2005. </w:t>
      </w:r>
      <w:r>
        <w:rPr>
          <w:rFonts w:eastAsia="Times New Roman" w:cs="Times New Roman"/>
          <w:i/>
          <w:sz w:val="20"/>
          <w:szCs w:val="20"/>
        </w:rPr>
        <w:t>Globalization and the Race for Resources</w:t>
      </w:r>
      <w:r>
        <w:rPr>
          <w:rFonts w:eastAsia="Times New Roman" w:cs="Times New Roman"/>
          <w:sz w:val="20"/>
          <w:szCs w:val="20"/>
        </w:rPr>
        <w:t>. Baltimore: Johns Hopkins University Press. 19</w:t>
      </w:r>
    </w:p>
  </w:footnote>
  <w:footnote w:id="1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Smith, David A., Paul S. Ciccantell, and Elizabeth A. Sowers. 2023.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eds. Corey R. Payne, Roberto Patricio Korzeniewicz, and Beverly J. Silver, New York: Routledge. 62</w:t>
      </w:r>
    </w:p>
  </w:footnote>
  <w:footnote w:id="13">
    <w:p>
      <w:pPr>
        <w:pStyle w:val="FootnoteText"/>
        <w:bidi w:val="0"/>
        <w:jc w:val="start"/>
        <w:rPr>
          <w:rFonts w:ascii="Liberation Serif" w:hAnsi="Liberation Serif"/>
        </w:rPr>
      </w:pPr>
      <w:r>
        <w:rPr>
          <w:rStyle w:val="FootnoteCharacters"/>
        </w:rPr>
        <w:footnoteRef/>
      </w:r>
      <w:r>
        <w:rPr/>
        <w:tab/>
        <w:t>Smith et al, “Reconstructing Commodity Chain Analysis,” 62</w:t>
      </w:r>
    </w:p>
  </w:footnote>
  <w:footnote w:id="1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Grandin, Greg. 2013. “Empire’s Ruins: Detroit to the Amazon.” in </w:t>
      </w:r>
      <w:r>
        <w:rPr>
          <w:rFonts w:eastAsia="Times New Roman" w:cs="Times New Roman"/>
          <w:i/>
          <w:sz w:val="20"/>
          <w:szCs w:val="20"/>
        </w:rPr>
        <w:t>Imperial Debris</w:t>
      </w:r>
      <w:r>
        <w:rPr>
          <w:rFonts w:eastAsia="Times New Roman" w:cs="Times New Roman"/>
          <w:sz w:val="20"/>
          <w:szCs w:val="20"/>
        </w:rPr>
        <w:t>, ed. Ann Laura Stoler. Durham: Duke University Press. 118</w:t>
      </w:r>
    </w:p>
  </w:footnote>
  <w:footnote w:id="1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Austin. 1987. </w:t>
      </w:r>
      <w:r>
        <w:rPr>
          <w:rFonts w:eastAsia="Times New Roman" w:cs="Times New Roman"/>
          <w:i/>
          <w:sz w:val="20"/>
          <w:szCs w:val="20"/>
        </w:rPr>
        <w:t>Commerce in Rubber: The First 250 Years</w:t>
      </w:r>
      <w:r>
        <w:rPr>
          <w:rFonts w:eastAsia="Times New Roman" w:cs="Times New Roman"/>
          <w:sz w:val="20"/>
          <w:szCs w:val="20"/>
        </w:rPr>
        <w:t>. Oxford: Oxford University Press. 49</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1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1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de Mello, Louise Cardoso and Sven Van Melkebeke. 2019. “From the Amazon to the Congo Valley,” in </w:t>
      </w:r>
      <w:r>
        <w:rPr>
          <w:rFonts w:eastAsia="Times New Roman" w:cs="Times New Roman"/>
          <w:i/>
          <w:sz w:val="20"/>
          <w:szCs w:val="20"/>
        </w:rPr>
        <w:t>Commodity Frontiers and Global Capitalist Expansion.</w:t>
      </w:r>
      <w:r>
        <w:rPr>
          <w:rFonts w:eastAsia="Times New Roman" w:cs="Times New Roman"/>
          <w:sz w:val="20"/>
          <w:szCs w:val="20"/>
        </w:rPr>
        <w:t xml:space="preserve"> Ed. Sabrina Joseph. Palgrave MacMillan. 148</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21">
    <w:p>
      <w:pPr>
        <w:pStyle w:val="FootnoteText"/>
        <w:suppressLineNumbers/>
        <w:bidi w:val="0"/>
        <w:ind w:hanging="340" w:start="340"/>
        <w:jc w:val="start"/>
        <w:rPr/>
      </w:pPr>
      <w:r>
        <w:rPr>
          <w:rStyle w:val="FootnoteCharacters"/>
        </w:rPr>
        <w:footnoteRef/>
      </w:r>
      <w:r>
        <w:rPr/>
        <w:tab/>
        <w:t>de Mello and Melkebeke, “From the Amazon to the Congo Valley,” 143</w:t>
      </w:r>
    </w:p>
  </w:footnote>
  <w:footnote w:id="22">
    <w:p>
      <w:pPr>
        <w:pStyle w:val="FootnoteText"/>
        <w:suppressLineNumbers/>
        <w:bidi w:val="0"/>
        <w:ind w:hanging="340" w:start="340"/>
        <w:jc w:val="start"/>
        <w:rPr/>
      </w:pPr>
      <w:r>
        <w:rPr>
          <w:rStyle w:val="FootnoteCharacters"/>
        </w:rPr>
        <w:footnoteRef/>
      </w:r>
      <w:r>
        <w:rPr/>
        <w:tab/>
        <w:t>de Mello and Melkebeke, “From the Amazon to the Congo Valley,” 147</w:t>
      </w:r>
    </w:p>
  </w:footnote>
  <w:footnote w:id="23">
    <w:p>
      <w:pPr>
        <w:pStyle w:val="FootnoteText"/>
        <w:suppressLineNumbers/>
        <w:bidi w:val="0"/>
        <w:ind w:hanging="340" w:start="340"/>
        <w:jc w:val="start"/>
        <w:rPr/>
      </w:pPr>
      <w:r>
        <w:rPr>
          <w:rStyle w:val="FootnoteCharacters"/>
        </w:rPr>
        <w:footnoteRef/>
      </w:r>
      <w:r>
        <w:rPr/>
        <w:tab/>
        <w:t>de Mello and Melkebeke, “From the Amazon to the Congo Valley,” 152,3</w:t>
      </w:r>
    </w:p>
  </w:footnote>
  <w:footnote w:id="24">
    <w:p>
      <w:pPr>
        <w:pStyle w:val="FootnoteText"/>
        <w:suppressLineNumbers/>
        <w:bidi w:val="0"/>
        <w:ind w:hanging="340" w:start="340"/>
        <w:jc w:val="start"/>
        <w:rPr/>
      </w:pPr>
      <w:r>
        <w:rPr>
          <w:rStyle w:val="FootnoteCharacters"/>
        </w:rPr>
        <w:footnoteRef/>
      </w:r>
      <w:r>
        <w:rPr/>
        <w:tab/>
        <w:t xml:space="preserve">de Mello and Melkebeke, “From the Amazon to the Congo Valley,” 153 </w:t>
      </w:r>
    </w:p>
  </w:footnote>
  <w:footnote w:id="2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1986. </w:t>
      </w:r>
      <w:r>
        <w:rPr>
          <w:rFonts w:eastAsia="Times New Roman" w:cs="Times New Roman"/>
          <w:i/>
          <w:sz w:val="20"/>
          <w:szCs w:val="20"/>
        </w:rPr>
        <w:t xml:space="preserve">Patriarchy and Accumulation on a World Scale. </w:t>
      </w:r>
      <w:r>
        <w:rPr>
          <w:rFonts w:eastAsia="Times New Roman" w:cs="Times New Roman"/>
          <w:sz w:val="20"/>
          <w:szCs w:val="20"/>
        </w:rPr>
        <w:t>London: Zed Books. 91</w:t>
      </w:r>
    </w:p>
  </w:footnote>
  <w:footnote w:id="2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w:t>
      </w:r>
      <w:r>
        <w:rPr>
          <w:rFonts w:eastAsia="Times New Roman" w:cs="Times New Roman"/>
          <w:i/>
          <w:sz w:val="20"/>
          <w:szCs w:val="20"/>
        </w:rPr>
        <w:t>Patriarchy and Accumulation</w:t>
      </w:r>
      <w:r>
        <w:rPr>
          <w:rFonts w:eastAsia="Times New Roman" w:cs="Times New Roman"/>
          <w:sz w:val="20"/>
          <w:szCs w:val="20"/>
        </w:rPr>
        <w:t>. 91</w:t>
      </w:r>
    </w:p>
  </w:footnote>
  <w:footnote w:id="27">
    <w:p>
      <w:pPr>
        <w:pStyle w:val="FootnoteText"/>
        <w:suppressLineNumbers/>
        <w:bidi w:val="0"/>
        <w:ind w:hanging="340" w:start="340"/>
        <w:jc w:val="start"/>
        <w:rPr/>
      </w:pPr>
      <w:r>
        <w:rPr>
          <w:rStyle w:val="FootnoteCharacters"/>
        </w:rPr>
        <w:footnoteRef/>
      </w:r>
      <w:r>
        <w:rPr/>
        <w:tab/>
        <w:t>de Mello and Melkebeke, “From the Amazon to the Congo Valley,” 145,6</w:t>
      </w:r>
    </w:p>
  </w:footnote>
  <w:footnote w:id="28">
    <w:p>
      <w:pPr>
        <w:pStyle w:val="FootnoteText"/>
        <w:suppressLineNumbers/>
        <w:bidi w:val="0"/>
        <w:ind w:hanging="340" w:start="340"/>
        <w:jc w:val="start"/>
        <w:rPr/>
      </w:pPr>
      <w:r>
        <w:rPr>
          <w:rStyle w:val="FootnoteCharacters"/>
        </w:rPr>
        <w:footnoteRef/>
      </w:r>
      <w:r>
        <w:rPr/>
        <w:tab/>
        <w:t>de Mello and Melkebeke, “From the Amazon to the Congo Valley,” 160</w:t>
      </w:r>
    </w:p>
  </w:footnote>
  <w:footnote w:id="29">
    <w:p>
      <w:pPr>
        <w:pStyle w:val="FootnoteText"/>
        <w:suppressLineNumbers/>
        <w:bidi w:val="0"/>
        <w:ind w:hanging="340" w:start="340"/>
        <w:jc w:val="start"/>
        <w:rPr/>
      </w:pPr>
      <w:r>
        <w:rPr>
          <w:rStyle w:val="FootnoteCharacters"/>
        </w:rPr>
        <w:footnoteRef/>
      </w:r>
      <w:r>
        <w:rPr/>
        <w:tab/>
        <w:t>de Mello and Melkebeke, “From the Amazon to the Congo Valley,” 161</w:t>
      </w:r>
    </w:p>
  </w:footnote>
  <w:footnote w:id="30">
    <w:p>
      <w:pPr>
        <w:pStyle w:val="FootnoteText"/>
        <w:rPr>
          <w:highlight w:val="none"/>
          <w:shd w:fill="auto" w:val="clear"/>
        </w:rPr>
      </w:pPr>
      <w:r>
        <w:rPr>
          <w:rStyle w:val="FootnoteCharacters"/>
        </w:rPr>
        <w:footnoteRef/>
      </w:r>
      <w:r>
        <w:rPr>
          <w:shd w:fill="auto" w:val="clear"/>
        </w:rPr>
        <w:tab/>
        <w:t xml:space="preserve">Barbara Weinstein, “Capital Penetration and Problems of Labor Control in the Amazon Rubber Trade,” </w:t>
      </w:r>
      <w:r>
        <w:rPr>
          <w:i/>
          <w:shd w:fill="auto" w:val="clear"/>
        </w:rPr>
        <w:t>Radical History Review</w:t>
      </w:r>
      <w:r>
        <w:rPr>
          <w:shd w:fill="auto" w:val="clear"/>
        </w:rPr>
        <w:t xml:space="preserve"> 27 (1983): 121–40.</w:t>
      </w:r>
    </w:p>
  </w:footnote>
  <w:footnote w:id="31">
    <w:p>
      <w:pPr>
        <w:pStyle w:val="FootnoteText"/>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w:t>
      </w:r>
    </w:p>
  </w:footnote>
  <w:footnote w:id="3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Drabble, J. H. 1967.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Vol 40:1. 54</w:t>
      </w:r>
    </w:p>
  </w:footnote>
  <w:footnote w:id="33">
    <w:p>
      <w:pPr>
        <w:pStyle w:val="FootnoteText"/>
        <w:bidi w:val="0"/>
        <w:jc w:val="start"/>
        <w:rPr>
          <w:rFonts w:ascii="Liberation Serif" w:hAnsi="Liberation Serif"/>
        </w:rPr>
      </w:pPr>
      <w:r>
        <w:rPr>
          <w:rStyle w:val="FootnoteCharacters"/>
        </w:rPr>
        <w:footnoteRef/>
      </w:r>
      <w:r>
        <w:rPr/>
        <w:tab/>
        <w:t xml:space="preserve">Drabble, “Plantation Rubber Industry,” 59 </w:t>
      </w:r>
    </w:p>
  </w:footnote>
  <w:footnote w:id="34">
    <w:p>
      <w:pPr>
        <w:pStyle w:val="FootnoteText"/>
        <w:rPr/>
      </w:pPr>
      <w:r>
        <w:rPr>
          <w:rStyle w:val="FootnoteCharacters"/>
        </w:rPr>
        <w:footnoteRef/>
      </w:r>
      <w:r>
        <w:rPr/>
        <w:tab/>
        <w:t xml:space="preserve"> </w:t>
      </w:r>
      <w:r>
        <w:rPr/>
        <w:t xml:space="preserve">Sunil S. Amrith, </w:t>
      </w:r>
      <w:r>
        <w:rPr>
          <w:i/>
        </w:rPr>
        <w:t>Crossing the Bay of Bengal: The Furies of Nature and the Fortunes of Migrants</w:t>
      </w:r>
      <w:r>
        <w:rPr/>
        <w:t xml:space="preserve"> (Harvard University Press, 2013)</w:t>
      </w:r>
      <w:r>
        <w:rPr/>
        <w:t>. 2</w:t>
      </w:r>
    </w:p>
  </w:footnote>
  <w:footnote w:id="3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16</w:t>
      </w:r>
    </w:p>
  </w:footnote>
  <w:footnote w:id="3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37">
    <w:p>
      <w:pPr>
        <w:pStyle w:val="FootnoteText"/>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3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s>
</file>

<file path=word/settings.xml><?xml version="1.0" encoding="utf-8"?>
<w:settings xmlns:w="http://schemas.openxmlformats.org/wordprocessingml/2006/main">
  <w:zoom w:percent="73"/>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12</Pages>
  <Words>3842</Words>
  <Characters>21066</Characters>
  <CharactersWithSpaces>24860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2026-05-13T11:56:20Z</dcterms:created>
  <dc:creator/>
  <dc:description/>
  <dc:language>en-US</dc:language>
  <cp:lastModifiedBy/>
  <dcterms:modified xsi:type="dcterms:W3CDTF">2026-05-14T12:49:33Z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