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ind w:hanging="0" w:start="0" w:end="0"/>
        <w:jc w:val="start"/>
        <w:rPr>
          <w:rFonts w:ascii="Liberation Serif" w:hAnsi="Liberation Serif"/>
        </w:rPr>
      </w:pPr>
      <w:r>
        <w:rPr>
          <w:b/>
          <w:bCs/>
        </w:rPr>
        <w:t>The Peruvian Amazon Company and the Putumayo Genocide</w:t>
      </w:r>
    </w:p>
    <w:p>
      <w:pPr>
        <w:pStyle w:val="Normal"/>
        <w:bidi w:val="0"/>
        <w:spacing w:lineRule="auto" w:line="480" w:before="0" w:after="0"/>
        <w:ind w:firstLine="720" w:start="0" w:end="0"/>
        <w:jc w:val="start"/>
        <w:rPr>
          <w:rFonts w:ascii="Liberation Serif" w:hAnsi="Liberation Serif"/>
        </w:rPr>
      </w:pPr>
      <w:r>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w:t>
      </w:r>
      <w:commentRangeStart w:id="0"/>
      <w:r>
        <w:rPr/>
        <w:t xml:space="preserve">In the late 19th and early 20th centuries, the land north of the river was claimed by both Peru and Colombia, each of whom sent 'settlers' into the area to establish land claims and harvest its rubber. </w:t>
      </w:r>
      <w:r>
        <w:rPr/>
      </w:r>
      <w:commentRangeEnd w:id="0"/>
      <w:r>
        <w:commentReference w:id="0"/>
      </w:r>
      <w:r>
        <w:rPr/>
        <w:t xml:space="preserve">Rubber was booming, and there was certainly a fortune to be made in its exploitation, but the rubber of the Putumayo region was of an inferior quality. In addition to the well-known Hevea Brasiliensis, which can be tapped, </w:t>
      </w:r>
      <w:commentRangeStart w:id="1"/>
      <w:r>
        <w:rPr/>
        <w:t>the region was home to the lower quality Castilloa Elastica, which was cut down in the process of harvesting its natural latex.</w:t>
      </w:r>
      <w:r>
        <w:rPr/>
      </w:r>
      <w:commentRangeEnd w:id="1"/>
      <w:r>
        <w:commentReference w:id="1"/>
      </w:r>
      <w:r>
        <w:rPr/>
        <w:t xml:space="preserve"> Evidently harvesting was so severe that a contemporary observer in 1907 noted that Colombian harvesters complained there was very little of this second type left.</w:t>
      </w:r>
      <w:r>
        <w:rPr>
          <w:rStyle w:val="FootnoteReference"/>
        </w:rPr>
        <w:footnoteReference w:id="2"/>
      </w:r>
      <w:r>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Liberation Serif" w:hAnsi="Liberation Serif"/>
        </w:rPr>
      </w:pPr>
      <w:r>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Pr>
        <w:footnoteReference w:id="3"/>
      </w:r>
      <w:r>
        <w:rPr/>
        <w:t xml:space="preserve"> Exact figures are disputed, but </w:t>
      </w:r>
      <w:commentRangeStart w:id="2"/>
      <w:r>
        <w:rPr/>
        <w:t>Roger Casement</w:t>
      </w:r>
      <w:r>
        <w:rPr/>
      </w:r>
      <w:commentRangeEnd w:id="2"/>
      <w:r>
        <w:commentReference w:id="2"/>
      </w:r>
      <w:r>
        <w:rPr/>
        <w:t xml:space="preserve"> gives a conservative estimate of 30,000 total victims; </w:t>
      </w:r>
      <w:commentRangeStart w:id="3"/>
      <w:r>
        <w:rPr/>
        <w:t>the Putumayo region was depopulated by 90% during the rubber boom.</w:t>
      </w:r>
      <w:r>
        <w:rPr/>
      </w:r>
      <w:commentRangeEnd w:id="3"/>
      <w:r>
        <w:commentReference w:id="3"/>
      </w:r>
      <w:r>
        <w:rPr/>
        <w:t xml:space="preserve"> </w:t>
      </w:r>
      <w:r>
        <w:rPr/>
        <w:t>In addition to ouright massacres, thousands were killed by starvation, overwork, or were forcibly removed from their home region.</w:t>
      </w:r>
    </w:p>
    <w:p>
      <w:pPr>
        <w:pStyle w:val="Normal"/>
        <w:bidi w:val="0"/>
        <w:spacing w:lineRule="auto" w:line="480" w:before="0" w:after="0"/>
        <w:ind w:firstLine="720" w:start="0" w:end="0"/>
        <w:jc w:val="start"/>
        <w:rPr>
          <w:rFonts w:ascii="Liberation Serif" w:hAnsi="Liberation Serif"/>
        </w:rPr>
      </w:pPr>
      <w:r>
        <w:rPr/>
        <w:t xml:space="preserve">The major perpetrator of this genocide was a single company, the J. C. Arana and Hermanos Company which was later renamed the Peruvian Amazon Company (PAC) after receiving a significant investment of British capital in 1907. </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hd w:fill="FFFF00" w:val="clear"/>
        </w:rPr>
        <w:t>[finish out this paragraph]</w:t>
      </w:r>
    </w:p>
    <w:p>
      <w:pPr>
        <w:pStyle w:val="Normal"/>
        <w:bidi w:val="0"/>
        <w:spacing w:lineRule="auto" w:line="480" w:before="0" w:after="0"/>
        <w:ind w:firstLine="720" w:start="0" w:end="0"/>
        <w:jc w:val="start"/>
        <w:rPr>
          <w:rFonts w:ascii="Liberation Serif" w:hAnsi="Liberation Serif"/>
        </w:rPr>
      </w:pPr>
      <w:r>
        <w:rPr/>
        <w:t xml:space="preserve">We will draw our description of the genocide primarily from two contemporary, English language sources. Some of the earliest attestations to the mistreatment of the peoples native to the Putumayo came from engineer and adventurist W.E. Hardenburg. While traveling to the Putumayo in search of fortune in 1907 he encountered firsthand the brutality of the slavers and published an account of his journey in 1912. After Hardenburg's reports garnered public attention, the British crown sent Irishman Roger Casement to investigate the situation. Casement was already famous for his investigation of the rubber genocide in the Congo, and his reports are more systematic than Hardenburg's travelogue. However both of their accounts, and especially Hardenburg's, despite their admirable sense of outrage on behalf of the victims, retain continuity with the logic of colonialism. As we will see, they are not so much concerned with the restriction of the freedom of indigenous people, or their exploitation, but merely the violent nature by which they were transformed into producers. </w:t>
      </w:r>
    </w:p>
    <w:p>
      <w:pPr>
        <w:pStyle w:val="Normal"/>
        <w:bidi w:val="0"/>
        <w:spacing w:lineRule="auto" w:line="480"/>
        <w:jc w:val="start"/>
        <w:rPr>
          <w:rFonts w:ascii="Liberation Serif" w:hAnsi="Liberation Serif"/>
        </w:rPr>
      </w:pPr>
      <w:r>
        <w:rPr>
          <w:b w:val="false"/>
          <w:bCs w:val="false"/>
        </w:rPr>
        <w:tab/>
      </w:r>
      <w:commentRangeStart w:id="4"/>
      <w:r>
        <w:rPr>
          <w:b w:val="false"/>
          <w:bCs w:val="false"/>
        </w:rPr>
        <w:t>The primary perpetrators of the Putumayo Genocide were the Peruvian agents of the J. C. Arana and Hermanos Company, which was, with an investment of British capital, renamed the Peruvian Amazon Company in 1907 (hereafter PAC). Originally a hat salesman, 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rPr>
        <w:footnoteReference w:id="4"/>
      </w:r>
      <w:r>
        <w:rPr>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rPr>
        <w:footnoteReference w:id="5"/>
      </w:r>
      <w:r>
        <w:rPr>
          <w:b w:val="false"/>
          <w:bCs w:val="false"/>
        </w:rPr>
        <w:t xml:space="preserve"> </w:t>
      </w:r>
      <w:commentRangeEnd w:id="4"/>
      <w:r>
        <w:commentReference w:id="4"/>
      </w:r>
      <w:r>
        <w:rPr>
          <w:b w:val="false"/>
          <w:bCs w:val="false"/>
        </w:rPr>
      </w:r>
    </w:p>
    <w:p>
      <w:pPr>
        <w:pStyle w:val="Normal"/>
        <w:bidi w:val="0"/>
        <w:spacing w:lineRule="auto" w:line="480"/>
        <w:jc w:val="start"/>
        <w:rPr>
          <w:rFonts w:ascii="Liberation Serif" w:hAnsi="Liberation Serif"/>
        </w:rPr>
      </w:pPr>
      <w:r>
        <w:rPr>
          <w:b w:val="false"/>
          <w:bCs w:val="false"/>
        </w:rPr>
        <w:tab/>
        <w:t xml:space="preserve">There is something significant in Hardenburg using the phrase "taking away </w:t>
      </w:r>
      <w:r>
        <w:rPr>
          <w:b w:val="false"/>
          <w:bCs w:val="false"/>
          <w:i/>
          <w:iCs/>
        </w:rPr>
        <w:t>his</w:t>
      </w:r>
      <w:r>
        <w:rPr>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rFonts w:ascii="Liberation Serif" w:hAnsi="Liberation Serif"/>
        </w:rPr>
      </w:pPr>
      <w:r>
        <w:rPr>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commodities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rPr>
        <w:footnoteReference w:id="6"/>
      </w:r>
      <w:r>
        <w:rPr>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rFonts w:ascii="Liberation Serif" w:hAnsi="Liberation Serif"/>
        </w:rPr>
      </w:pPr>
      <w:r>
        <w:rPr>
          <w:b w:val="false"/>
          <w:bCs w:val="false"/>
        </w:rPr>
        <w:tab/>
        <w:t xml:space="preserve">In 1910, after Hardenburg's initial account had been published in the British newspaper </w:t>
      </w:r>
      <w:r>
        <w:rPr>
          <w:b w:val="false"/>
          <w:bCs w:val="false"/>
          <w:i/>
          <w:iCs/>
        </w:rPr>
        <w:t>Truth</w:t>
      </w:r>
      <w:r>
        <w:rPr>
          <w:b w:val="false"/>
          <w:bCs w:val="false"/>
          <w:i w:val="false"/>
          <w:iCs w:val="false"/>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rPr>
        <w:footnoteReference w:id="7"/>
      </w:r>
      <w:r>
        <w:rPr>
          <w:b w:val="false"/>
          <w:bCs w:val="false"/>
          <w:i w:val="false"/>
          <w:iCs w:val="false"/>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rPr>
        <w:footnoteReference w:id="8"/>
      </w:r>
      <w:r>
        <w:rPr>
          <w:b w:val="false"/>
          <w:bCs w:val="false"/>
          <w:i w:val="false"/>
          <w:iCs w:val="false"/>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rPr>
        <w:footnoteReference w:id="9"/>
      </w:r>
      <w:r>
        <w:rPr>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rFonts w:ascii="Liberation Serif" w:hAnsi="Liberation Serif"/>
        </w:rPr>
      </w:pPr>
      <w:r>
        <w:rPr>
          <w:b w:val="false"/>
          <w:bCs w:val="false"/>
          <w:i w:val="false"/>
          <w:iCs w:val="false"/>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rPr>
        <w:footnoteReference w:id="10"/>
      </w:r>
      <w:r>
        <w:rPr>
          <w:b w:val="false"/>
          <w:bCs w:val="false"/>
          <w:i w:val="false"/>
          <w:iCs w:val="false"/>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jc w:val="start"/>
        <w:rPr>
          <w:rFonts w:ascii="Liberation Serif" w:hAnsi="Liberation Serif"/>
        </w:rPr>
      </w:pPr>
      <w:r>
        <w:rPr>
          <w:b w:val="false"/>
          <w:bCs w:val="false"/>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rPr>
        <w:footnoteReference w:id="11"/>
      </w:r>
      <w:r>
        <w:rPr>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rPr>
        <w:footnoteReference w:id="12"/>
      </w:r>
      <w:r>
        <w:rPr>
          <w:b w:val="false"/>
          <w:bCs w:val="false"/>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rFonts w:ascii="Liberation Serif" w:hAnsi="Liberation Serif"/>
        </w:rPr>
      </w:pPr>
      <w:r>
        <w:rPr>
          <w:b w:val="false"/>
          <w:bCs w:val="false"/>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rPr>
        <w:footnoteReference w:id="13"/>
      </w:r>
      <w:r>
        <w:rPr>
          <w:b w:val="false"/>
          <w:bCs w:val="false"/>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rPr>
        <w:footnoteReference w:id="14"/>
      </w:r>
    </w:p>
    <w:p>
      <w:pPr>
        <w:pStyle w:val="Normal"/>
        <w:bidi w:val="0"/>
        <w:spacing w:lineRule="auto" w:line="480"/>
        <w:jc w:val="start"/>
        <w:rPr>
          <w:rFonts w:ascii="Liberation Serif" w:hAnsi="Liberation Serif"/>
        </w:rPr>
      </w:pPr>
      <w:r>
        <w:rPr>
          <w:b w:val="false"/>
          <w:bCs w:val="false"/>
        </w:rPr>
        <w:tab/>
        <w:t>These men also took part in the spoils of slavery. Casement reports that "every so-called civilised employé receives from the agent of the company, on arrival, and Indian woman to be his temporary wife."</w:t>
      </w:r>
      <w:r>
        <w:rPr>
          <w:rStyle w:val="FootnoteReference"/>
          <w:b w:val="false"/>
          <w:bCs w:val="false"/>
        </w:rPr>
        <w:footnoteReference w:id="15"/>
      </w:r>
      <w:r>
        <w:rPr>
          <w:b w:val="false"/>
          <w:bCs w:val="false"/>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rFonts w:ascii="Liberation Serif" w:hAnsi="Liberation Serif"/>
        </w:rPr>
      </w:pPr>
      <w:r>
        <w:rPr>
          <w:b w:val="false"/>
          <w:bCs w:val="false"/>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rPr>
        <w:footnoteReference w:id="16"/>
      </w:r>
      <w:r>
        <w:rPr>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rPr>
        <w:footnoteReference w:id="17"/>
      </w:r>
      <w:r>
        <w:rPr>
          <w:b w:val="false"/>
          <w:bCs w:val="false"/>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rFonts w:ascii="Liberation Serif" w:hAnsi="Liberation Serif"/>
        </w:rPr>
      </w:pPr>
      <w:r>
        <w:rPr>
          <w:b w:val="false"/>
          <w:bCs w:val="false"/>
        </w:rPr>
        <w:tab/>
        <w:t>Food was a central question for workers in the Putumayo.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rPr>
        <w:footnoteReference w:id="18"/>
      </w:r>
      <w:r>
        <w:rPr>
          <w:b w:val="false"/>
          <w:bCs w:val="false"/>
        </w:rPr>
        <w:t xml:space="preserve"> In some cases they had to forage their own food and survive on "a wild herb called by the Indians 'airambo'."</w:t>
      </w:r>
      <w:r>
        <w:rPr>
          <w:rStyle w:val="FootnoteReference"/>
          <w:b w:val="false"/>
          <w:bCs w:val="false"/>
        </w:rPr>
        <w:footnoteReference w:id="19"/>
      </w:r>
      <w:r>
        <w:rPr>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rPr>
        <w:footnoteReference w:id="20"/>
      </w:r>
      <w:r>
        <w:rPr>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rFonts w:ascii="Liberation Serif" w:hAnsi="Liberation Serif"/>
        </w:rPr>
      </w:pPr>
      <w:r>
        <w:rPr>
          <w:b w:val="false"/>
          <w:bCs w:val="false"/>
        </w:rPr>
        <w:tab/>
        <w:t xml:space="preserve">As we can see,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01T11:25:47Z" w:initials="">
    <w:p>
      <w:pPr>
        <w:overflowPunct w:val="true"/>
        <w:bidi w:val="0"/>
        <w:rPr/>
      </w:pPr>
      <w:r>
        <w:rPr>
          <w:rFonts w:eastAsia="DejaVu Sans" w:cs="Noto Sans Arabic"/>
          <w:kern w:val="0"/>
          <w:lang w:val="en-US" w:eastAsia="en-US" w:bidi="en-US"/>
        </w:rPr>
        <w:t>Cite this</w:t>
      </w:r>
    </w:p>
  </w:comment>
  <w:comment w:id="1" w:author="Unknown Author" w:date="2026-06-01T11:26:08Z" w:initials="">
    <w:p>
      <w:pPr>
        <w:overflowPunct w:val="true"/>
        <w:bidi w:val="0"/>
        <w:rPr/>
      </w:pPr>
      <w:r>
        <w:rPr>
          <w:rFonts w:eastAsia="DejaVu Sans" w:cs="Noto Sans Arabic"/>
          <w:kern w:val="0"/>
          <w:lang w:val="en-US" w:eastAsia="en-US" w:bidi="en-US"/>
        </w:rPr>
        <w:t>Cite this</w:t>
      </w:r>
    </w:p>
  </w:comment>
  <w:comment w:id="2" w:author="Unknown Author" w:date="2026-06-01T11:26:48Z" w:initials="">
    <w:p>
      <w:pPr>
        <w:overflowPunct w:val="true"/>
        <w:bidi w:val="0"/>
        <w:rPr/>
      </w:pPr>
      <w:r>
        <w:rPr>
          <w:rFonts w:eastAsia="DejaVu Sans" w:cs="Noto Sans Arabic"/>
          <w:kern w:val="0"/>
          <w:lang w:val="en-US" w:eastAsia="en-US" w:bidi="en-US"/>
        </w:rPr>
        <w:t>Who?</w:t>
      </w:r>
    </w:p>
  </w:comment>
  <w:comment w:id="3" w:author="Unknown Author" w:date="2026-06-02T11:24:26Z" w:initials="">
    <w:p>
      <w:pPr>
        <w:overflowPunct w:val="false"/>
        <w:rPr/>
      </w:pPr>
      <w:r>
        <w:rPr>
          <w:rFonts w:eastAsia="DejaVu Sans" w:cs="Noto Sans Arabic"/>
          <w:kern w:val="0"/>
          <w:lang w:val="en-US" w:eastAsia="en-US" w:bidi="en-US"/>
        </w:rPr>
        <w:t>cite</w:t>
      </w:r>
    </w:p>
  </w:comment>
  <w:comment w:id="4" w:author="Unknown Author" w:date="2026-06-01T11:44:29Z" w:initials="">
    <w:p>
      <w:pPr>
        <w:overflowPunct w:val="true"/>
        <w:bidi w:val="0"/>
        <w:rPr/>
      </w:pPr>
      <w:r>
        <w:rPr>
          <w:rFonts w:eastAsia="DejaVu Sans" w:cs="Noto Sans Arabic"/>
          <w:kern w:val="0"/>
          <w:lang w:val="en-US" w:eastAsia="en-US" w:bidi="en-US"/>
        </w:rPr>
        <w:t>Find some better way to draw this out of the source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0" w:name="PageNumWizard_FOOTER_Default_Page_Style7"/>
    <w:r>
      <w:rPr/>
      <w:fldChar w:fldCharType="begin"/>
    </w:r>
    <w:r>
      <w:rPr/>
      <w:instrText xml:space="preserve"> PAGE </w:instrText>
    </w:r>
    <w:r>
      <w:rPr/>
      <w:fldChar w:fldCharType="separate"/>
    </w:r>
    <w:r>
      <w:rPr/>
      <w:t>9</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1" w:name="PageNumWizard_FOOTER_Default_Page_Style7"/>
    <w:r>
      <w:rPr/>
      <w:fldChar w:fldCharType="begin"/>
    </w:r>
    <w:r>
      <w:rPr/>
      <w:instrText xml:space="preserve"> PAGE </w:instrText>
    </w:r>
    <w:r>
      <w:rPr/>
      <w:fldChar w:fldCharType="separate"/>
    </w:r>
    <w:r>
      <w:rPr/>
      <w:t>9</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4">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6">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7">
    <w:p>
      <w:pPr>
        <w:pStyle w:val="FootnoteText"/>
        <w:bidi w:val="0"/>
        <w:jc w:val="star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1.</w:t>
      </w:r>
    </w:p>
  </w:footnote>
  <w:footnote w:id="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1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1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1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1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1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1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1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1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2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s>
</file>

<file path=word/settings.xml><?xml version="1.0" encoding="utf-8"?>
<w:settings xmlns:w="http://schemas.openxmlformats.org/wordprocessingml/2006/main">
  <w:zoom w:percent="68"/>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2026-06-01T11:23:12Z</dcterms:created>
  <dc:creator/>
  <dc:description/>
  <dc:language>en-US</dc:language>
  <cp:lastModifiedBy/>
  <dcterms:modified xsi:type="dcterms:W3CDTF">2026-06-02T13:52:11Z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