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b/>
          <w:bCs/>
          <w:sz w:val="22"/>
          <w:szCs w:val="22"/>
        </w:rPr>
        <w:t xml:space="preserve">ELABORATING A 'NEW KIND OF FAMILY': </w:t>
      </w:r>
    </w:p>
    <w:p>
      <w:pPr>
        <w:pStyle w:val="Normal"/>
        <w:bidi w:val="0"/>
        <w:jc w:val="center"/>
        <w:rPr>
          <w:sz w:val="22"/>
          <w:szCs w:val="22"/>
        </w:rPr>
      </w:pPr>
      <w:r>
        <w:rPr>
          <w:b/>
          <w:bCs/>
          <w:sz w:val="22"/>
          <w:szCs w:val="22"/>
        </w:rPr>
        <w:t xml:space="preserve">FORDIST SOCIAL POLICIES AND RUBBER WORKERS IN THE GLOBAL SOUTH </w:t>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BY</w:t>
      </w:r>
    </w:p>
    <w:p>
      <w:pPr>
        <w:pStyle w:val="Normal"/>
        <w:bidi w:val="0"/>
        <w:jc w:val="center"/>
        <w:rPr>
          <w:sz w:val="22"/>
          <w:szCs w:val="22"/>
        </w:rPr>
      </w:pPr>
      <w:r>
        <w:rPr>
          <w:sz w:val="22"/>
          <w:szCs w:val="22"/>
        </w:rPr>
      </w:r>
    </w:p>
    <w:p>
      <w:pPr>
        <w:sectPr>
          <w:type w:val="nextPage"/>
          <w:pgSz w:w="12240" w:h="15840"/>
          <w:pgMar w:left="1134" w:right="1134" w:gutter="0" w:header="0" w:top="1134" w:footer="0" w:bottom="1134"/>
          <w:pgNumType w:start="1" w:fmt="decimal"/>
          <w:formProt w:val="false"/>
          <w:textDirection w:val="lrTb"/>
        </w:sectPr>
        <w:pStyle w:val="Normal"/>
        <w:bidi w:val="0"/>
        <w:jc w:val="center"/>
        <w:rPr>
          <w:sz w:val="22"/>
          <w:szCs w:val="22"/>
        </w:rPr>
      </w:pPr>
      <w:r>
        <w:rPr>
          <w:b/>
          <w:bCs/>
          <w:sz w:val="22"/>
          <w:szCs w:val="22"/>
        </w:rPr>
        <w:t>KENYON CAVENDER</w:t>
      </w:r>
    </w:p>
    <w:p>
      <w:pPr>
        <w:pStyle w:val="Normal"/>
        <w:bidi w:val="0"/>
        <w:jc w:val="center"/>
        <w:rPr/>
      </w:pPr>
      <w:r>
        <w:rPr/>
      </w:r>
    </w:p>
    <w:sdt>
      <w:sdtPr>
        <w:docPartObj>
          <w:docPartGallery w:val="Table of Contents"/>
          <w:docPartUnique w:val="true"/>
        </w:docPartObj>
      </w:sdtPr>
      <w:sdtContent>
        <w:p>
          <w:pPr>
            <w:pStyle w:val="TOCHeading"/>
            <w:suppressLineNumbers/>
            <w:ind w:hanging="0" w:start="0"/>
            <w:jc w:val="center"/>
            <w:rPr>
              <w:rFonts w:ascii="Liberation Serif" w:hAnsi="Liberation Serif"/>
              <w:b/>
              <w:bCs/>
              <w:sz w:val="24"/>
              <w:szCs w:val="32"/>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\f \o "1-9" \t "Heading 1,1" \h</w:instrText>
          </w:r>
          <w:r>
            <w:rPr>
              <w:rStyle w:val="IndexLink"/>
            </w:rPr>
            <w:fldChar w:fldCharType="separate"/>
          </w:r>
          <w:hyperlink w:anchor="__RefHeading___Toc4495_1312339340">
            <w:r>
              <w:rPr>
                <w:rStyle w:val="IndexLink"/>
              </w:rPr>
              <w:t>Chapter 1: Fordism, Social Reproduction and the Global Division of Labor</w:t>
              <w:tab/>
              <w:t>1</w:t>
            </w:r>
          </w:hyperlink>
        </w:p>
        <w:p>
          <w:pPr>
            <w:pStyle w:val="TOC2"/>
            <w:tabs>
              <w:tab w:val="clear" w:pos="9077"/>
              <w:tab w:val="right" w:pos="9359" w:leader="dot"/>
            </w:tabs>
            <w:rPr/>
          </w:pPr>
          <w:hyperlink w:anchor="__RefHeading___Toc4493_1312339340">
            <w:r>
              <w:rPr>
                <w:rStyle w:val="IndexLink"/>
              </w:rPr>
              <w:t>The Contradictions of Fordism</w:t>
              <w:tab/>
              <w:t>6</w:t>
            </w:r>
          </w:hyperlink>
        </w:p>
        <w:p>
          <w:pPr>
            <w:pStyle w:val="TOC2"/>
            <w:tabs>
              <w:tab w:val="clear" w:pos="9077"/>
              <w:tab w:val="right" w:pos="9359" w:leader="dot"/>
            </w:tabs>
            <w:rPr/>
          </w:pPr>
          <w:hyperlink w:anchor="__RefHeading___Toc4678_1312339340">
            <w:r>
              <w:rPr>
                <w:rStyle w:val="IndexLink"/>
              </w:rPr>
              <w:t>A Provincial Study: Fordism in Michigan</w:t>
              <w:tab/>
              <w:t>17</w:t>
            </w:r>
          </w:hyperlink>
        </w:p>
        <w:p>
          <w:pPr>
            <w:pStyle w:val="TOC2"/>
            <w:tabs>
              <w:tab w:val="clear" w:pos="9077"/>
              <w:tab w:val="right" w:pos="9359" w:leader="dot"/>
            </w:tabs>
            <w:rPr/>
          </w:pPr>
          <w:hyperlink w:anchor="__RefHeading___Toc4680_1312339340">
            <w:r>
              <w:rPr>
                <w:rStyle w:val="IndexLink"/>
              </w:rPr>
              <w:t>Global Complications: the Rubber Industry</w:t>
              <w:tab/>
              <w:t>29</w:t>
            </w:r>
          </w:hyperlink>
        </w:p>
        <w:p>
          <w:pPr>
            <w:pStyle w:val="TOC2"/>
            <w:tabs>
              <w:tab w:val="clear" w:pos="9077"/>
              <w:tab w:val="right" w:pos="9359" w:leader="dot"/>
            </w:tabs>
            <w:rPr/>
          </w:pPr>
          <w:hyperlink w:anchor="__RefHeading___Toc4682_1312339340">
            <w:r>
              <w:rPr>
                <w:rStyle w:val="IndexLink"/>
              </w:rPr>
              <w:t>Conclusion</w:t>
              <w:tab/>
              <w:t>41</w:t>
            </w:r>
          </w:hyperlink>
        </w:p>
        <w:p>
          <w:pPr>
            <w:pStyle w:val="TOC1"/>
            <w:tabs>
              <w:tab w:val="clear" w:pos="9360"/>
              <w:tab w:val="right" w:pos="9359" w:leader="dot"/>
            </w:tabs>
            <w:rPr/>
          </w:pPr>
          <w:hyperlink w:anchor="__RefHeading___Toc27223_2998453443">
            <w:r>
              <w:rPr>
                <w:rStyle w:val="IndexLink"/>
              </w:rPr>
              <w:t>Chapter 2: Social Reproduction in Fordist Michigan</w:t>
              <w:tab/>
              <w:t>44</w:t>
            </w:r>
          </w:hyperlink>
        </w:p>
        <w:p>
          <w:pPr>
            <w:pStyle w:val="TOC2"/>
            <w:tabs>
              <w:tab w:val="clear" w:pos="9077"/>
              <w:tab w:val="right" w:pos="9359" w:leader="dot"/>
            </w:tabs>
            <w:rPr/>
          </w:pPr>
          <w:hyperlink w:anchor="__RefHeading___Toc27205_2998453443">
            <w:r>
              <w:rPr>
                <w:rStyle w:val="IndexLink"/>
              </w:rPr>
              <w:t>The Reproduction of Capitalist Society</w:t>
              <w:tab/>
              <w:t>48</w:t>
            </w:r>
          </w:hyperlink>
        </w:p>
        <w:p>
          <w:pPr>
            <w:pStyle w:val="TOC3"/>
            <w:tabs>
              <w:tab w:val="clear" w:pos="8793"/>
              <w:tab w:val="right" w:pos="9359" w:leader="dot"/>
            </w:tabs>
            <w:rPr/>
          </w:pPr>
          <w:hyperlink w:anchor="__RefHeading___Toc27207_2998453443">
            <w:r>
              <w:rPr>
                <w:rStyle w:val="IndexLink"/>
              </w:rPr>
              <w:t>The Reproduction of Labor Power</w:t>
              <w:tab/>
              <w:t>53</w:t>
            </w:r>
          </w:hyperlink>
        </w:p>
        <w:p>
          <w:pPr>
            <w:pStyle w:val="TOC3"/>
            <w:tabs>
              <w:tab w:val="clear" w:pos="8793"/>
              <w:tab w:val="right" w:pos="9359" w:leader="dot"/>
            </w:tabs>
            <w:rPr/>
          </w:pPr>
          <w:hyperlink w:anchor="__RefHeading___Toc27209_2998453443">
            <w:r>
              <w:rPr>
                <w:rStyle w:val="IndexLink"/>
              </w:rPr>
              <w:t>The Reproduction of Concrete Labor</w:t>
              <w:tab/>
              <w:t>65</w:t>
            </w:r>
          </w:hyperlink>
        </w:p>
        <w:p>
          <w:pPr>
            <w:pStyle w:val="TOC3"/>
            <w:tabs>
              <w:tab w:val="clear" w:pos="8793"/>
              <w:tab w:val="right" w:pos="9359" w:leader="dot"/>
            </w:tabs>
            <w:rPr/>
          </w:pPr>
          <w:hyperlink w:anchor="__RefHeading___Toc27211_2998453443">
            <w:r>
              <w:rPr>
                <w:rStyle w:val="IndexLink"/>
              </w:rPr>
              <w:t>The Reproduction of the Market</w:t>
              <w:tab/>
              <w:t>69</w:t>
            </w:r>
          </w:hyperlink>
        </w:p>
        <w:p>
          <w:pPr>
            <w:pStyle w:val="TOC2"/>
            <w:tabs>
              <w:tab w:val="clear" w:pos="9077"/>
              <w:tab w:val="right" w:pos="9359" w:leader="dot"/>
            </w:tabs>
            <w:rPr/>
          </w:pPr>
          <w:hyperlink w:anchor="__RefHeading___Toc27213_2998453443">
            <w:r>
              <w:rPr>
                <w:rStyle w:val="IndexLink"/>
              </w:rPr>
              <w:t>Households in the Michigan Automotive Industry</w:t>
              <w:tab/>
              <w:t>71</w:t>
            </w:r>
          </w:hyperlink>
        </w:p>
        <w:p>
          <w:pPr>
            <w:pStyle w:val="TOC3"/>
            <w:tabs>
              <w:tab w:val="clear" w:pos="8793"/>
              <w:tab w:val="right" w:pos="9359" w:leader="dot"/>
            </w:tabs>
            <w:rPr/>
          </w:pPr>
          <w:hyperlink w:anchor="__RefHeading___Toc27215_2998453443">
            <w:r>
              <w:rPr>
                <w:rStyle w:val="IndexLink"/>
              </w:rPr>
              <w:t>The Five Dollar Day – Patterns of Work</w:t>
              <w:tab/>
              <w:t>76</w:t>
            </w:r>
          </w:hyperlink>
        </w:p>
        <w:p>
          <w:pPr>
            <w:pStyle w:val="TOC3"/>
            <w:tabs>
              <w:tab w:val="clear" w:pos="8793"/>
              <w:tab w:val="right" w:pos="9359" w:leader="dot"/>
            </w:tabs>
            <w:rPr/>
          </w:pPr>
          <w:hyperlink w:anchor="__RefHeading___Toc27217_2998453443">
            <w:r>
              <w:rPr>
                <w:rStyle w:val="IndexLink"/>
              </w:rPr>
              <w:t>Home and communal life</w:t>
              <w:tab/>
              <w:t>80</w:t>
            </w:r>
          </w:hyperlink>
        </w:p>
        <w:p>
          <w:pPr>
            <w:pStyle w:val="TOC3"/>
            <w:tabs>
              <w:tab w:val="clear" w:pos="8793"/>
              <w:tab w:val="right" w:pos="9359" w:leader="dot"/>
            </w:tabs>
            <w:rPr/>
          </w:pPr>
          <w:hyperlink w:anchor="__RefHeading___Toc27219_2998453443">
            <w:r>
              <w:rPr>
                <w:rStyle w:val="IndexLink"/>
              </w:rPr>
              <w:t>The Modern Housing Corporation</w:t>
              <w:tab/>
              <w:t>84</w:t>
            </w:r>
          </w:hyperlink>
        </w:p>
        <w:p>
          <w:pPr>
            <w:pStyle w:val="TOC2"/>
            <w:tabs>
              <w:tab w:val="clear" w:pos="9077"/>
              <w:tab w:val="right" w:pos="9359" w:leader="dot"/>
            </w:tabs>
            <w:rPr/>
          </w:pPr>
          <w:hyperlink w:anchor="__RefHeading___Toc27221_2998453443">
            <w:r>
              <w:rPr>
                <w:rStyle w:val="IndexLink"/>
              </w:rPr>
              <w:t>Conclusion</w:t>
              <w:tab/>
              <w:t>89</w:t>
            </w:r>
          </w:hyperlink>
          <w:r>
            <w:rPr>
              <w:rStyle w:val="IndexLink"/>
            </w:rPr>
            <w:fldChar w:fldCharType="end"/>
          </w:r>
        </w:p>
        <w:p>
          <w:pPr>
            <w:sect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bookmarkStart w:id="0" w:name="__RefHeading___Toc4495_1312339340"/>
      <w:bookmarkEnd w:id="0"/>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r>
        <w:br w:type="page"/>
      </w:r>
    </w:p>
    <w:p>
      <w:pPr>
        <w:pStyle w:val="Normal"/>
        <w:bidi w:val="0"/>
        <w:spacing w:lineRule="auto" w:line="480" w:before="0" w:after="0"/>
        <w:ind w:firstLine="720" w:start="0" w:end="0"/>
        <w:jc w:val="start"/>
        <w:rPr>
          <w:rFonts w:ascii="Liberation Serif" w:hAnsi="Liberation Serif"/>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1" w:name="__RefHeading___Toc4493_1312339340"/>
      <w:bookmarkStart w:id="2" w:name="_wn5wa6q13dn_Copy_1"/>
      <w:bookmarkEnd w:id="1"/>
      <w:bookmarkEnd w:id="2"/>
      <w:r>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3" w:name="__RefHeading___Toc4678_1312339340"/>
      <w:bookmarkEnd w:id="3"/>
      <w:r>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4" w:name="__RefHeading___Toc4680_1312339340"/>
      <w:bookmarkEnd w:id="4"/>
      <w:r>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5" w:name="__RefHeading___Toc4682_1312339340"/>
      <w:bookmarkEnd w:id="5"/>
      <w:r>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rPr/>
      </w:pPr>
      <w:r>
        <w:rPr/>
      </w:r>
    </w:p>
    <w:p>
      <w:pPr>
        <w:pStyle w:val="Heading1"/>
        <w:rPr/>
      </w:pPr>
      <w:r>
        <w:rPr/>
      </w:r>
    </w:p>
    <w:p>
      <w:pPr>
        <w:pStyle w:val="Heading1"/>
        <w:rPr/>
      </w:pPr>
      <w:r>
        <w:rPr/>
      </w:r>
    </w:p>
    <w:p>
      <w:pPr>
        <w:pStyle w:val="Heading1"/>
        <w:rPr/>
      </w:pPr>
      <w:r>
        <w:rPr/>
      </w:r>
    </w:p>
    <w:p>
      <w:pPr>
        <w:pStyle w:val="Heading1"/>
        <w:rPr/>
      </w:pPr>
      <w:bookmarkStart w:id="6" w:name="__RefHeading___Toc27223_2998453443"/>
      <w:bookmarkEnd w:id="6"/>
      <w:r>
        <w:rPr/>
        <w:t xml:space="preserve">Chapter 2: </w:t>
      </w:r>
      <w:r>
        <w:rPr/>
        <w:t>Social Reproduction in Fordis</w:t>
      </w:r>
      <w:r>
        <w:rPr/>
        <w:t>t</w:t>
      </w:r>
      <w:r>
        <w:rPr/>
        <w:t xml:space="preserve">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r>
      <w:r>
        <w:rPr/>
        <w:t xml:space="preserve">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w:t>
      </w:r>
      <w:r>
        <w:rPr/>
        <w:t>Sociologist</w:t>
      </w:r>
      <w:r>
        <w:rPr/>
        <w:t xml:space="preserve"> Simon Clarke notes that “the decomposition of tasks, the specialization of tools, the assembly of tools into the machine, and even of machines into the machine system”</w:t>
      </w:r>
      <w:r>
        <w:rPr>
          <w:rStyle w:val="FootnoteReference"/>
        </w:rPr>
        <w:footnoteReference w:id="103"/>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104"/>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105"/>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06"/>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 xml:space="preserve">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w:t>
      </w:r>
      <w:r>
        <w:rPr/>
        <w:t xml:space="preserve">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w:t>
      </w:r>
      <w:r>
        <w:rPr/>
        <w:t xml:space="preserve">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w:t>
      </w:r>
      <w:r>
        <w:rPr/>
        <w:t>the</w:t>
      </w:r>
      <w:r>
        <w:rPr/>
        <w:t xml:space="preserve">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107"/>
      </w:r>
      <w:r>
        <w:rPr/>
        <w:t xml:space="preserve"> – that is, vertical integration – and a new relationship with space. Crucial to the rise of US hegemony</w:t>
      </w:r>
      <w:r>
        <w:rPr/>
        <w:t xml:space="preserve"> was a massive continent full of </w:t>
      </w:r>
      <w:r>
        <w:rPr/>
        <w:t>rich reserves of labor and raw materials</w:t>
      </w:r>
      <w:r>
        <w:rPr/>
        <w:t>. Accessing these materials</w:t>
      </w:r>
      <w:r>
        <w:rPr/>
        <w:t xml:space="preserve"> required</w:t>
      </w:r>
      <w:r>
        <w:rPr/>
        <w:t>, alongside a genocidal campaign of dispossession of indigenous communities,</w:t>
      </w:r>
      <w:r>
        <w:rPr/>
        <w:t xml:space="preserve">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08"/>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09"/>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We should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we are interested specifically in Fordist Michigan is that the policies developed there prefigured later developments.</w:t>
      </w:r>
    </w:p>
    <w:p>
      <w:pPr>
        <w:pStyle w:val="Normal"/>
        <w:bidi w:val="0"/>
        <w:spacing w:lineRule="auto" w:line="480" w:before="0" w:after="0"/>
        <w:ind w:firstLine="720"/>
        <w:jc w:val="start"/>
        <w:rPr/>
      </w:pPr>
      <w:r>
        <w:rPr/>
        <w:t xml:space="preserve">To begin this examination, we need a theoretical apparatus upon which to hang our facts and figures. </w:t>
      </w:r>
      <w:r>
        <w:rPr/>
        <w:t xml:space="preserve">We employ two distinct </w:t>
      </w:r>
      <w:r>
        <w:rPr/>
        <w:t>frameworks: the work of world-systems analysts and of</w:t>
      </w:r>
      <w:r>
        <w:rPr/>
        <w:t xml:space="preserve"> Social Reproduction theorists, as elaborated in </w:t>
      </w:r>
      <w:r>
        <w:rPr>
          <w:i/>
          <w:iCs/>
        </w:rPr>
        <w:t>Social Reproduction Theory</w:t>
      </w:r>
      <w:r>
        <w:rPr>
          <w:i/>
          <w:iCs/>
        </w:rPr>
        <w:t>.</w:t>
      </w:r>
      <w:r>
        <w:rPr/>
        <w:t xml:space="preserve"> </w:t>
      </w:r>
      <w:r>
        <w:rPr/>
        <w:t xml:space="preserve">Combining the insights of these two very different traditions allows us to identify the relationship between global dynamics of production and the local reproduction that takes place within working households. </w:t>
      </w:r>
      <w:r>
        <w:rPr/>
        <w:t xml:space="preserve">Bringing Social Reproduction Theory (SRT) to bear on our empirical study of labor reproduction in Fordist Michigan will have the </w:t>
      </w:r>
      <w:r>
        <w:rPr/>
        <w:t>secondary</w:t>
      </w:r>
      <w:r>
        <w:rPr/>
        <w:t xml:space="preserve"> effect of allowing us to identify both the strengths and limitations of SRT. The next section will trace SRT from its roots in the work of Lise Vogel to its current iteration, and will consider several criticisms of that iteration</w:t>
      </w:r>
      <w:r>
        <w:rPr/>
        <w:t>, especially those posed by Kirstin Munro.</w:t>
      </w:r>
    </w:p>
    <w:p>
      <w:pPr>
        <w:pStyle w:val="Heading2"/>
        <w:numPr>
          <w:ilvl w:val="1"/>
          <w:numId w:val="2"/>
        </w:numPr>
        <w:ind w:hanging="0" w:start="0"/>
        <w:rPr/>
      </w:pPr>
      <w:bookmarkStart w:id="7" w:name="__RefHeading___Toc27205_2998453443"/>
      <w:bookmarkEnd w:id="7"/>
      <w:r>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10"/>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11"/>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12"/>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13"/>
      </w:r>
      <w:r>
        <w:rPr>
          <w:i w:val="false"/>
          <w:iCs w:val="false"/>
        </w:rPr>
        <w:t xml:space="preserve"> </w:t>
      </w:r>
    </w:p>
    <w:p>
      <w:pPr>
        <w:pStyle w:val="Normal"/>
        <w:bidi w:val="0"/>
        <w:spacing w:lineRule="auto" w:line="480" w:before="0" w:after="0"/>
        <w:ind w:hanging="0"/>
        <w:jc w:val="start"/>
        <w:rPr>
          <w:i/>
          <w:i/>
          <w:iCs/>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14"/>
      </w:r>
      <w:r>
        <w:rPr>
          <w:i w:val="false"/>
          <w:iCs w:val="false"/>
        </w:rPr>
        <w:t xml:space="preserve"> The imposition of the exchange relation as social synthesis is based on a regime of continuous violence.</w:t>
      </w:r>
      <w:r>
        <w:rPr>
          <w:rStyle w:val="FootnoteReference"/>
          <w:i w:val="false"/>
          <w:iCs w:val="false"/>
        </w:rPr>
        <w:footnoteReference w:id="115"/>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16"/>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17"/>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18"/>
      </w:r>
    </w:p>
    <w:p>
      <w:pPr>
        <w:pStyle w:val="Normal"/>
        <w:bidi w:val="0"/>
        <w:spacing w:lineRule="auto" w:line="480" w:before="0" w:after="0"/>
        <w:ind w:hanging="0"/>
        <w:jc w:val="start"/>
        <w:rPr>
          <w:i/>
          <w:i/>
          <w:iCs/>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19"/>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20"/>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21"/>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8" w:name="__RefHeading___Toc27207_2998453443"/>
      <w:bookmarkEnd w:id="8"/>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22"/>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23"/>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124"/>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25"/>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26"/>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27"/>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28"/>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29"/>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30"/>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31"/>
      </w:r>
      <w:r>
        <w:rPr/>
        <w:t xml:space="preserve"> This situates the analysis of the position of women in society within the “central dynamic of social development in societies characterized by exploitation.”</w:t>
      </w:r>
      <w:r>
        <w:rPr>
          <w:rStyle w:val="FootnoteReference"/>
        </w:rPr>
        <w:footnoteReference w:id="132"/>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33"/>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34"/>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35"/>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36"/>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137"/>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38"/>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39"/>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40"/>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41"/>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42"/>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43"/>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44"/>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45"/>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46"/>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 xml:space="preserve">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w:t>
      </w:r>
      <w:r>
        <w:rPr/>
        <w:t xml:space="preserve">the labor of racialized </w:t>
      </w:r>
      <w:r>
        <w:rPr/>
        <w:t>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47"/>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48"/>
      </w:r>
      <w:r>
        <w:rPr/>
        <w:t xml:space="preserve"> Similarly, in Bhattacharya’s formulation: “SRT points out that labor power itself is the sole commodity ... that is produced outside of the circuit of commodity production.”</w:t>
      </w:r>
      <w:r>
        <w:rPr>
          <w:rStyle w:val="FootnoteReference"/>
        </w:rPr>
        <w:footnoteReference w:id="149"/>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w:t>
      </w:r>
      <w:r>
        <w:rPr/>
        <w:t xml:space="preserve">, but </w:t>
      </w:r>
      <w:r>
        <w:rPr/>
        <w:t>it is a fundamentally capitalist institution. When Mohandesi and Teitelman claim that “households have historically served as bulwarks against capitalism”</w:t>
      </w:r>
      <w:r>
        <w:rPr>
          <w:rStyle w:val="FootnoteReference"/>
        </w:rPr>
        <w:footnoteReference w:id="150"/>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Heading3"/>
        <w:ind w:hanging="0" w:start="0"/>
        <w:rPr/>
      </w:pPr>
      <w:r>
        <w:rPr/>
      </w:r>
    </w:p>
    <w:p>
      <w:pPr>
        <w:pStyle w:val="Heading3"/>
        <w:numPr>
          <w:ilvl w:val="0"/>
          <w:numId w:val="0"/>
        </w:numPr>
        <w:ind w:hanging="0" w:start="0"/>
        <w:rPr/>
      </w:pPr>
      <w:bookmarkStart w:id="9" w:name="__RefHeading___Toc27209_2998453443"/>
      <w:bookmarkEnd w:id="9"/>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51"/>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52"/>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53"/>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54"/>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55"/>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56"/>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57"/>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w:t>
      </w:r>
      <w:r>
        <w:rPr/>
        <w:t xml:space="preserve">on. </w:t>
      </w:r>
      <w:r>
        <w:rPr/>
        <w:t>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58"/>
      </w:r>
      <w:r>
        <w:rPr/>
        <w:t xml:space="preserve"> </w:t>
      </w:r>
      <w:r>
        <w:rPr/>
        <w:t xml:space="preserve">In other words, although the labor performed within hospitals, schools, and other reproductive institutions is essential for the renewal of life, the context in which it happens reinforces a repressive social structure. </w:t>
      </w:r>
      <w:r>
        <w:rPr/>
        <w:t>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59"/>
      </w:r>
      <w:r>
        <w:rPr/>
        <w:t xml:space="preserve"> We see this play out </w:t>
      </w:r>
      <w:r>
        <w:rPr/>
        <w:t xml:space="preserve">explicitly in </w:t>
      </w:r>
      <w:r>
        <w:rPr/>
        <w:t xml:space="preserve">the </w:t>
      </w:r>
      <w:r>
        <w:rPr/>
        <w:t xml:space="preserve">continued </w:t>
      </w:r>
      <w:r>
        <w:rPr/>
        <w:t>perpetuation of structural racism in schools</w:t>
      </w:r>
      <w:r>
        <w:rPr>
          <w:rStyle w:val="FootnoteReference"/>
        </w:rPr>
        <w:footnoteReference w:id="160"/>
      </w:r>
      <w:r>
        <w:rPr/>
        <w:t xml:space="preserve"> and hospitals</w:t>
      </w:r>
      <w:r>
        <w:rPr/>
        <w:t>.</w:t>
      </w:r>
      <w:r>
        <w:rPr>
          <w:rStyle w:val="FootnoteReference"/>
        </w:rPr>
        <w:footnoteReference w:id="161"/>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62"/>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63"/>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64"/>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w:t>
      </w:r>
      <w:r>
        <w:rPr/>
        <w:t xml:space="preserve"> - it is through the abstraction of 'labor-power' divorced from its immediate context that we can consider commensurate, for example, work done on a farm and that done in an office. However,</w:t>
      </w:r>
      <w:r>
        <w:rPr/>
        <w:t xml:space="preserve">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0" w:name="__RefHeading___Toc27211_2998453443"/>
      <w:bookmarkEnd w:id="10"/>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65"/>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66"/>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67"/>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68"/>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69"/>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2"/>
        </w:numPr>
        <w:ind w:hanging="0" w:start="0"/>
        <w:rPr/>
      </w:pPr>
      <w:bookmarkStart w:id="11" w:name="__RefHeading___Toc27213_2998453443"/>
      <w:bookmarkEnd w:id="11"/>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70"/>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 xml:space="preserve">At the end of the 19th century and the beginning of the 20th, American industry underwent significant changes. </w:t>
      </w:r>
      <w:r>
        <w:rPr/>
        <w:t xml:space="preserve">During and just after the first world war, as industry was booming in the Midwest, </w:t>
      </w:r>
      <w:r>
        <w:rPr/>
        <w:t xml:space="preserve">waves of workers moved both north and west, whether Black workers looking for relief from the racial regime of the American south, or white workers from the northeast looking for new opportunities in the west. </w:t>
      </w:r>
      <w:r>
        <w:rPr/>
        <w:t>In the 1910s and 1920s, a</w:t>
      </w:r>
      <w:r>
        <w:rPr/>
        <w:t>n estimated 1.5-2 million African Americans</w:t>
      </w:r>
      <w:r>
        <w:rPr/>
        <w:t>, predominantly men,</w:t>
      </w:r>
      <w:r>
        <w:rPr/>
        <w:t xml:space="preserve"> migrated from the American South to cities such as Detroit, Chicago, New York, and Los Angeles</w:t>
      </w:r>
      <w:r>
        <w:rPr/>
        <w:t xml:space="preserve"> in what is known as the Great Migration</w:t>
      </w:r>
      <w:r>
        <w:rPr/>
        <w:t>.</w:t>
      </w:r>
      <w:r>
        <w:rPr>
          <w:rStyle w:val="FootnoteReference"/>
        </w:rPr>
        <w:footnoteReference w:id="171"/>
      </w:r>
      <w:r>
        <w:rPr/>
        <w:t xml:space="preserve"> </w:t>
      </w:r>
      <w:r>
        <w:rPr/>
        <w:t>Although the Midwest, and Michigan in particular, had been a destination for immigrants looking for work since the late 18th century, the population virtually exploded in the twentieth. From 1910 to 1930,</w:t>
      </w:r>
      <w:r>
        <w:rPr/>
        <w:t xml:space="preserve"> </w:t>
      </w:r>
      <w:r>
        <w:rPr/>
        <w:t>the population of Michigan almost doubled from 2.8 million to 4.8 million residents. Michigan’s cities saw the greater portion of this boom as the Michigan economy shifted from extractive industries such as logging and copper mining to craft production and manufacturing. In the</w:t>
      </w:r>
      <w:r>
        <w:rPr/>
        <w:t>se</w:t>
      </w:r>
      <w:r>
        <w:rPr/>
        <w:t xml:space="preserve"> same t</w:t>
      </w:r>
      <w:r>
        <w:rPr/>
        <w:t>wo decades</w:t>
      </w:r>
      <w:r>
        <w:rPr/>
        <w:t>, Detroit more than tripled to over 1.5 million inhabitants, and Flint more than quadrupled to 150,000.</w:t>
      </w:r>
      <w:r>
        <w:rPr>
          <w:rStyle w:val="FootnoteReference"/>
        </w:rPr>
        <w:footnoteReference w:id="172"/>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73"/>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74"/>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75"/>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76"/>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77"/>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78"/>
      </w:r>
      <w:r>
        <w:rPr/>
        <w:t xml:space="preserve"> European society, for Gramsci, is characterized precisely by the existence of ‘parasitic’ classes with no economic function beyond consumption.</w:t>
      </w:r>
      <w:r>
        <w:rPr/>
        <w:t xml:space="preserve"> For Gramsci, it was precisely the lack of such a calcified social structure that allowed Fordism to succeed in America.</w:t>
      </w:r>
    </w:p>
    <w:p>
      <w:pPr>
        <w:pStyle w:val="Normal"/>
        <w:bidi w:val="0"/>
        <w:spacing w:lineRule="auto" w:line="480" w:before="0" w:after="0"/>
        <w:ind w:firstLine="720"/>
        <w:jc w:val="start"/>
        <w:rPr/>
      </w:pPr>
      <w:r>
        <w:rPr/>
        <w:t xml:space="preserve">This brings us to the second point of interest in Gramsci’s schema – Americanism is not a system of reducing stratification by the elimination of </w:t>
      </w:r>
      <w:r>
        <w:rPr/>
        <w:t>'</w:t>
      </w:r>
      <w:r>
        <w:rPr/>
        <w:t>parasitic</w:t>
      </w:r>
      <w:r>
        <w:rPr/>
        <w:t>'</w:t>
      </w:r>
      <w:r>
        <w:rPr/>
        <w:t xml:space="preserve">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2" w:name="__RefHeading___Toc27215_2998453443"/>
      <w:bookmarkEnd w:id="12"/>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79"/>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80"/>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81"/>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82"/>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83"/>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84"/>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w:t>
      </w:r>
      <w:r>
        <w:rPr/>
        <w:t>out</w:t>
      </w:r>
      <w:r>
        <w:rPr/>
        <w:t xml:space="preserve"> family or community contacts</w:t>
      </w:r>
      <w:r>
        <w:rPr/>
        <w:t xml:space="preserve">; </w:t>
      </w:r>
      <w:r>
        <w:rPr/>
        <w:t xml:space="preserve"> </w:t>
      </w:r>
      <w:r>
        <w:rPr/>
        <w:t>t</w:t>
      </w:r>
      <w:r>
        <w:rPr/>
        <w:t>h</w:t>
      </w:r>
      <w:r>
        <w:rPr/>
        <w:t>is</w:t>
      </w:r>
      <w:r>
        <w:rPr/>
        <w:t xml:space="preserve"> mass arrival of single Black workers was “a strong encouragement to the phenomenon of boarding, which helped both the new migrants and old residents to hold down housing costs.”</w:t>
      </w:r>
      <w:r>
        <w:rPr>
          <w:rStyle w:val="FootnoteReference"/>
        </w:rPr>
        <w:footnoteReference w:id="185"/>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86"/>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87"/>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88"/>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ind w:hanging="0" w:start="0"/>
        <w:rPr/>
      </w:pPr>
      <w:r>
        <w:rPr/>
      </w:r>
    </w:p>
    <w:p>
      <w:pPr>
        <w:pStyle w:val="Heading3"/>
        <w:numPr>
          <w:ilvl w:val="0"/>
          <w:numId w:val="0"/>
        </w:numPr>
        <w:ind w:hanging="0" w:start="0"/>
        <w:rPr/>
      </w:pPr>
      <w:bookmarkStart w:id="13" w:name="__RefHeading___Toc27217_2998453443"/>
      <w:bookmarkEnd w:id="13"/>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189"/>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190"/>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191"/>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192"/>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193"/>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194"/>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195"/>
      </w:r>
      <w:r>
        <w:rPr/>
        <w:t xml:space="preserve"> They are writing of the recent gentrification, but the divided city has always been a complete, if complicated, whole</w:t>
      </w:r>
      <w:r>
        <w:rPr/>
        <w:t xml:space="preserv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Heading3"/>
        <w:numPr>
          <w:ilvl w:val="0"/>
          <w:numId w:val="0"/>
        </w:numPr>
        <w:ind w:hanging="0" w:start="0"/>
        <w:rPr/>
      </w:pPr>
      <w:bookmarkStart w:id="14" w:name="__RefHeading___Toc27219_2998453443"/>
      <w:bookmarkEnd w:id="14"/>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196"/>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197"/>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 xml:space="preserve">Indeed, direct return on investment seems to have been less of a concern for the Modern Housing Corporation than </w:t>
      </w:r>
      <w:r>
        <w:rPr/>
        <w:t xml:space="preserve">exercising control over their employees' living conditions. </w:t>
      </w:r>
      <w:r>
        <w:rPr/>
        <w:t>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198"/>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199"/>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 xml:space="preserve">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w:t>
      </w:r>
      <w:r>
        <w:rPr/>
        <w:t>the city</w:t>
      </w:r>
      <w:r>
        <w:rPr/>
        <w:t xml:space="preserve">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00"/>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01"/>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02"/>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03"/>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04"/>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rStyle w:val="FootnoteReference"/>
        </w:rPr>
        <w:footnoteReference w:id="205"/>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06"/>
      </w:r>
      <w:r>
        <w:rPr/>
        <w:t xml:space="preserve"> Described by the city building inspector as “shanty towns,” these unserved and informal suburbs were “more gritty and undeveloped than those in many other metropolitan areas.”</w:t>
      </w:r>
      <w:r>
        <w:rPr>
          <w:rStyle w:val="FootnoteReference"/>
        </w:rPr>
        <w:footnoteReference w:id="207"/>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 xml:space="preserve">General Motors’ project of Americanism was not a uni-directional imposition of norms: rather the makeup of the town and the makeup of the company were co-constituted. </w:t>
      </w:r>
      <w:r>
        <w:rPr/>
        <w:t xml:space="preserve">The Modern Housing project was a project of control over the conditions of capital's reproduction, both the reproduction of labor, and the realization of value in commodity consumption. </w:t>
      </w:r>
      <w:r>
        <w:rPr/>
        <w:t>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08"/>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2"/>
        </w:numPr>
        <w:ind w:hanging="0" w:start="0"/>
        <w:rPr/>
      </w:pPr>
      <w:bookmarkStart w:id="15" w:name="__RefHeading___Toc27221_2998453443"/>
      <w:bookmarkEnd w:id="15"/>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09"/>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10"/>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11"/>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 hegemonic ascent was outside the scope of this paper.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p>
    <w:sectPr>
      <w:footerReference w:type="default" r:id="rId2"/>
      <w:footnotePr>
        <w:numFmt w:val="decimal"/>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6" w:name="PageNumWizard_FOOTER_Default_Page_Style1"/>
    <w:r>
      <w:rPr/>
      <w:fldChar w:fldCharType="begin"/>
    </w:r>
    <w:r>
      <w:rPr/>
      <w:instrText xml:space="preserve"> PAGE </w:instrText>
    </w:r>
    <w:r>
      <w:rPr/>
      <w:fldChar w:fldCharType="separate"/>
    </w:r>
    <w:r>
      <w:rPr/>
      <w:t>93</w:t>
    </w:r>
    <w:r>
      <w:rPr/>
      <w:fldChar w:fldCharType="end"/>
    </w:r>
    <w:bookmarkEnd w:id="16"/>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4">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39">
    <w:p>
      <w:pPr>
        <w:pStyle w:val="FootnoteText"/>
        <w:rPr/>
      </w:pPr>
      <w:r>
        <w:rPr>
          <w:rStyle w:val="FootnoteCharacters"/>
        </w:rPr>
        <w:footnoteRef/>
      </w:r>
      <w:r>
        <w:rPr/>
        <w:tab/>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48">
    <w:p>
      <w:pPr>
        <w:pStyle w:val="FootnoteText"/>
        <w:suppressLineNumbers/>
        <w:bidi w:val="0"/>
        <w:ind w:hanging="340" w:start="340"/>
        <w:jc w:val="start"/>
        <w:rPr/>
      </w:pPr>
      <w:r>
        <w:rPr>
          <w:rStyle w:val="FootnoteCharacters"/>
        </w:rPr>
        <w:footnoteRef/>
      </w:r>
      <w:r>
        <w:rPr/>
        <w:tab/>
        <w:t>Klug, “Employers’ Strategies,” 54.</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55">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5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5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and Wallerstein, “Patterns of Development,”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87">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96">
    <w:p>
      <w:pPr>
        <w:pStyle w:val="FootnoteText"/>
        <w:bidi w:val="0"/>
        <w:jc w:val="start"/>
        <w:rPr>
          <w:rFonts w:ascii="Liberation Serif" w:hAnsi="Liberation Serif"/>
        </w:rPr>
      </w:pPr>
      <w:r>
        <w:rPr>
          <w:rStyle w:val="FootnoteCharacters"/>
        </w:rPr>
        <w:footnoteRef/>
      </w:r>
      <w:r>
        <w:rPr/>
        <w:tab/>
        <w:t>Drabble, “Plantation Rubber Industry,” 59.</w:t>
      </w:r>
    </w:p>
  </w:footnote>
  <w:footnote w:id="97">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 w:id="103">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04">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05">
    <w:p>
      <w:pPr>
        <w:pStyle w:val="FootnoteText"/>
        <w:rPr/>
      </w:pPr>
      <w:r>
        <w:rPr>
          <w:rStyle w:val="FootnoteCharacters"/>
        </w:rPr>
        <w:footnoteRef/>
      </w:r>
      <w:r>
        <w:rPr/>
        <w:tab/>
        <w:t>Clarke, “What in the F—’s Name Is Fordism,” 17.</w:t>
      </w:r>
    </w:p>
  </w:footnote>
  <w:footnote w:id="106">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07">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08">
    <w:p>
      <w:pPr>
        <w:pStyle w:val="FootnoteText"/>
        <w:rPr/>
      </w:pPr>
      <w:r>
        <w:rPr>
          <w:rStyle w:val="FootnoteCharacters"/>
        </w:rPr>
        <w:footnoteRef/>
      </w:r>
      <w:r>
        <w:rPr/>
        <w:tab/>
        <w:t xml:space="preserve">Arrighi, </w:t>
      </w:r>
      <w:r>
        <w:rPr>
          <w:i/>
        </w:rPr>
        <w:t>The Long Twentieth Century</w:t>
      </w:r>
      <w:r>
        <w:rPr>
          <w:i w:val="false"/>
          <w:iCs w:val="false"/>
        </w:rPr>
        <w:t>, 62.</w:t>
      </w:r>
    </w:p>
  </w:footnote>
  <w:footnote w:id="109">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10">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11">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12">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13">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14">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15">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16">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17">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18">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19">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20">
    <w:p>
      <w:pPr>
        <w:pStyle w:val="FootnoteText"/>
        <w:rPr/>
      </w:pPr>
      <w:r>
        <w:rPr>
          <w:rStyle w:val="FootnoteCharacters"/>
        </w:rPr>
        <w:footnoteRef/>
      </w:r>
      <w:r>
        <w:rPr/>
        <w:tab/>
        <w:t xml:space="preserve">Marx, </w:t>
      </w:r>
      <w:r>
        <w:rPr>
          <w:i/>
        </w:rPr>
        <w:t>Capital</w:t>
      </w:r>
      <w:r>
        <w:rPr/>
        <w:t>, vol. 1, 345.</w:t>
      </w:r>
    </w:p>
  </w:footnote>
  <w:footnote w:id="121">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22">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123">
    <w:p>
      <w:pPr>
        <w:pStyle w:val="FootnoteText"/>
        <w:rPr/>
      </w:pPr>
      <w:r>
        <w:rPr>
          <w:rStyle w:val="FootnoteCharacters"/>
        </w:rPr>
        <w:footnoteRef/>
      </w:r>
      <w:r>
        <w:rPr/>
        <w:tab/>
        <w:t xml:space="preserve">Wallerstein, </w:t>
      </w:r>
      <w:r>
        <w:rPr>
          <w:i/>
        </w:rPr>
        <w:t>Historical Capitalism</w:t>
      </w:r>
      <w:r>
        <w:rPr>
          <w:i w:val="false"/>
          <w:iCs w:val="false"/>
        </w:rPr>
        <w:t>, 24.</w:t>
      </w:r>
    </w:p>
  </w:footnote>
  <w:footnote w:id="124">
    <w:p>
      <w:pPr>
        <w:pStyle w:val="FootnoteText"/>
        <w:rPr/>
      </w:pPr>
      <w:r>
        <w:rPr>
          <w:rStyle w:val="FootnoteCharacters"/>
        </w:rPr>
        <w:footnoteRef/>
      </w:r>
      <w:r>
        <w:rPr/>
        <w:tab/>
        <w:t xml:space="preserve">Wallerstein, </w:t>
      </w:r>
      <w:r>
        <w:rPr>
          <w:i/>
        </w:rPr>
        <w:t>Historical Capitalism</w:t>
      </w:r>
      <w:r>
        <w:rPr>
          <w:i w:val="false"/>
          <w:iCs w:val="false"/>
        </w:rPr>
        <w:t>, 35.</w:t>
      </w:r>
    </w:p>
  </w:footnote>
  <w:footnote w:id="125">
    <w:p>
      <w:pPr>
        <w:pStyle w:val="FootnoteText"/>
        <w:rPr/>
      </w:pPr>
      <w:r>
        <w:rPr>
          <w:rStyle w:val="FootnoteCharacters"/>
        </w:rPr>
        <w:footnoteRef/>
      </w:r>
      <w:r>
        <w:rPr/>
        <w:tab/>
        <w:t xml:space="preserve">Wallerstein, </w:t>
      </w:r>
      <w:r>
        <w:rPr>
          <w:i/>
        </w:rPr>
        <w:t>Historical Capitalism</w:t>
      </w:r>
      <w:r>
        <w:rPr>
          <w:i w:val="false"/>
          <w:iCs w:val="false"/>
        </w:rPr>
        <w:t>, 35.</w:t>
      </w:r>
    </w:p>
  </w:footnote>
  <w:footnote w:id="126">
    <w:p>
      <w:pPr>
        <w:pStyle w:val="FootnoteText"/>
        <w:rPr/>
      </w:pPr>
      <w:r>
        <w:rPr>
          <w:rStyle w:val="FootnoteCharacters"/>
        </w:rPr>
        <w:footnoteRef/>
      </w:r>
      <w:r>
        <w:rPr/>
        <w:tab/>
        <w:t xml:space="preserve">Wallerstein, </w:t>
      </w:r>
      <w:r>
        <w:rPr>
          <w:i/>
        </w:rPr>
        <w:t>Historical Capitalism</w:t>
      </w:r>
      <w:r>
        <w:rPr>
          <w:i w:val="false"/>
          <w:iCs w:val="false"/>
        </w:rPr>
        <w:t>, 35.</w:t>
      </w:r>
    </w:p>
  </w:footnote>
  <w:footnote w:id="127">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28">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29">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0">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1">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2">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3">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4">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5">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136">
    <w:p>
      <w:pPr>
        <w:pStyle w:val="FootnoteText"/>
        <w:rPr>
          <w:highlight w:val="none"/>
          <w:shd w:fill="auto" w:val="clear"/>
        </w:rPr>
      </w:pPr>
      <w:r>
        <w:rPr>
          <w:rStyle w:val="FootnoteCharacters"/>
        </w:rPr>
        <w:footnoteRef/>
      </w:r>
      <w:r>
        <w:rPr>
          <w:shd w:fill="auto" w:val="clear"/>
        </w:rPr>
        <w:tab/>
        <w:t xml:space="preserve"> </w:t>
      </w:r>
      <w:r>
        <w:rPr>
          <w:shd w:fill="auto" w:val="clear"/>
        </w:rPr>
        <w:t>For a theoretical critique of Vogel’s transhistorical association of the category of woman with the process of childbearing, see chapter 7</w:t>
      </w:r>
      <w:r>
        <w:rPr>
          <w:shd w:fill="auto" w:val="clear"/>
        </w:rPr>
        <w:t>, "Capitalism and Difference,"</w:t>
      </w:r>
      <w:r>
        <w:rPr>
          <w:shd w:fill="auto" w:val="clear"/>
        </w:rPr>
        <w:t xml:space="preserve"> </w:t>
      </w:r>
      <w:r>
        <w:rPr>
          <w:shd w:fill="auto" w:val="clear"/>
        </w:rPr>
        <w:t xml:space="preserve">in Søren Mau, </w:t>
      </w:r>
      <w:r>
        <w:rPr>
          <w:i/>
          <w:shd w:fill="auto" w:val="clear"/>
        </w:rPr>
        <w:t>Mute Compulsion: A Marxist Theory of the Economic Power of Capital</w:t>
      </w:r>
      <w:r>
        <w:rPr>
          <w:shd w:fill="auto" w:val="clear"/>
        </w:rPr>
        <w:t xml:space="preserve"> (Verso, 2023). </w:t>
      </w:r>
      <w:r>
        <w:rPr>
          <w:shd w:fill="auto" w:val="clear"/>
        </w:rPr>
        <w:t xml:space="preserve">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w:t>
      </w:r>
      <w:r>
        <w:rPr>
          <w:shd w:fill="auto" w:val="clear"/>
        </w:rPr>
        <w:t>,</w:t>
      </w:r>
      <w:r>
        <w:rPr>
          <w:shd w:fill="auto" w:val="clear"/>
        </w:rPr>
        <w:t xml:space="preserve"> especially chapter 3, “Colonization and Housewifization</w:t>
      </w:r>
      <w:r>
        <w:rPr>
          <w:shd w:fill="auto" w:val="clear"/>
        </w:rPr>
        <w:t>.</w:t>
      </w:r>
      <w:r>
        <w:rPr>
          <w:shd w:fill="auto" w:val="clear"/>
        </w:rPr>
        <w:t>”</w:t>
      </w:r>
    </w:p>
  </w:footnote>
  <w:footnote w:id="137">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38">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39">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0">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1">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142">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143">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44">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145">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46">
    <w:p>
      <w:pPr>
        <w:pStyle w:val="FootnoteText"/>
        <w:rPr/>
      </w:pPr>
      <w:r>
        <w:rPr>
          <w:rStyle w:val="FootnoteCharacters"/>
        </w:rPr>
        <w:footnoteRef/>
      </w:r>
      <w:r>
        <w:rPr/>
        <w:tab/>
        <w:t>Fraser, “Crisis of Care? On the Social-Reproductive Contradictions of Contemporary Capitalism,” 24.</w:t>
      </w:r>
    </w:p>
  </w:footnote>
  <w:footnote w:id="147">
    <w:p>
      <w:pPr>
        <w:pStyle w:val="FootnoteText"/>
        <w:rPr/>
      </w:pPr>
      <w:r>
        <w:rPr>
          <w:rStyle w:val="FootnoteCharacters"/>
        </w:rPr>
        <w:footnoteRef/>
      </w:r>
      <w:r>
        <w:rPr/>
        <w:tab/>
        <w:t>Fraser, “Crisis of Care? On the Social-Reproductive Contradictions of Contemporary Capitalism,” 32.</w:t>
      </w:r>
    </w:p>
  </w:footnote>
  <w:footnote w:id="148">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149">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150">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51">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52">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3">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6">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57">
    <w:p>
      <w:pPr>
        <w:pStyle w:val="FootnoteText"/>
        <w:rPr/>
      </w:pPr>
      <w:r>
        <w:rPr>
          <w:rStyle w:val="FootnoteCharacters"/>
        </w:rPr>
        <w:footnoteRef/>
      </w:r>
      <w:r>
        <w:rPr/>
        <w:tab/>
        <w:t>Munro, “Unproductive Workers and State Repression,” 624.</w:t>
      </w:r>
    </w:p>
  </w:footnote>
  <w:footnote w:id="158">
    <w:p>
      <w:pPr>
        <w:pStyle w:val="FootnoteText"/>
        <w:rPr/>
      </w:pPr>
      <w:r>
        <w:rPr>
          <w:rStyle w:val="FootnoteCharacters"/>
        </w:rPr>
        <w:footnoteRef/>
      </w:r>
      <w:r>
        <w:rPr/>
        <w:tab/>
        <w:t>Munro, “Unproductive Workers and State Repression,” 625.</w:t>
      </w:r>
    </w:p>
  </w:footnote>
  <w:footnote w:id="159">
    <w:p>
      <w:pPr>
        <w:pStyle w:val="FootnoteText"/>
        <w:rPr/>
      </w:pPr>
      <w:r>
        <w:rPr>
          <w:rStyle w:val="FootnoteCharacters"/>
        </w:rPr>
        <w:footnoteRef/>
      </w:r>
      <w:r>
        <w:rPr/>
        <w:tab/>
        <w:t>Munro, “Unproductive Workers and State Repression,” 625.</w:t>
      </w:r>
    </w:p>
  </w:footnote>
  <w:footnote w:id="160">
    <w:p>
      <w:pPr>
        <w:pStyle w:val="FootnoteText"/>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1">
        <w:r>
          <w:rPr>
            <w:rStyle w:val="Hyperlink"/>
          </w:rPr>
          <w:t>https://doi.org/10.3102/0091732X16686949</w:t>
        </w:r>
      </w:hyperlink>
      <w:r>
        <w:rPr/>
        <w:t>.</w:t>
      </w:r>
    </w:p>
  </w:footnote>
  <w:footnote w:id="161">
    <w:p>
      <w:pPr>
        <w:pStyle w:val="FootnoteText"/>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2">
        <w:r>
          <w:rPr>
            <w:rStyle w:val="Hyperlink"/>
          </w:rPr>
          <w:t>https://doi.org/10.1001/jamanetworkopen.2024.7473</w:t>
        </w:r>
      </w:hyperlink>
      <w:r>
        <w:rPr/>
        <w:t>.</w:t>
      </w:r>
    </w:p>
  </w:footnote>
  <w:footnote w:id="162">
    <w:p>
      <w:pPr>
        <w:pStyle w:val="FootnoteText"/>
        <w:rPr/>
      </w:pPr>
      <w:r>
        <w:rPr>
          <w:rStyle w:val="FootnoteCharacters"/>
        </w:rPr>
        <w:footnoteRef/>
      </w:r>
      <w:r>
        <w:rPr/>
        <w:tab/>
        <w:t>Munro, “Unproductive Workers and State Repression,” 623.</w:t>
      </w:r>
    </w:p>
  </w:footnote>
  <w:footnote w:id="163">
    <w:p>
      <w:pPr>
        <w:pStyle w:val="FootnoteText"/>
        <w:rPr/>
      </w:pPr>
      <w:r>
        <w:rPr>
          <w:rStyle w:val="FootnoteCharacters"/>
        </w:rPr>
        <w:footnoteRef/>
      </w:r>
      <w:r>
        <w:rPr/>
        <w:tab/>
        <w:t>Munro, “Unproductive Workers and State Repression,” 624.</w:t>
      </w:r>
    </w:p>
  </w:footnote>
  <w:footnote w:id="164">
    <w:p>
      <w:pPr>
        <w:pStyle w:val="FootnoteText"/>
        <w:rPr/>
      </w:pPr>
      <w:r>
        <w:rPr>
          <w:rStyle w:val="FootnoteCharacters"/>
        </w:rPr>
        <w:footnoteRef/>
      </w:r>
      <w:r>
        <w:rPr/>
        <w:tab/>
        <w:t xml:space="preserve">Marx, </w:t>
      </w:r>
      <w:r>
        <w:rPr>
          <w:i/>
        </w:rPr>
        <w:t>Capital</w:t>
      </w:r>
      <w:r>
        <w:rPr/>
        <w:t>, vol. 1, 276.</w:t>
      </w:r>
    </w:p>
  </w:footnote>
  <w:footnote w:id="16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6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67">
    <w:p>
      <w:pPr>
        <w:pStyle w:val="FootnoteText"/>
        <w:rPr/>
      </w:pPr>
      <w:r>
        <w:rPr>
          <w:rStyle w:val="FootnoteCharacters"/>
        </w:rPr>
        <w:footnoteRef/>
      </w:r>
      <w:r>
        <w:rPr/>
        <w:tab/>
        <w:t>Munro, “‘Social Reproduction Theory,’ Social Reproduction, and Household Production,” 454-455.</w:t>
      </w:r>
    </w:p>
  </w:footnote>
  <w:footnote w:id="168">
    <w:p>
      <w:pPr>
        <w:pStyle w:val="FootnoteText"/>
        <w:rPr/>
      </w:pPr>
      <w:r>
        <w:rPr>
          <w:rStyle w:val="FootnoteCharacters"/>
        </w:rPr>
        <w:footnoteRef/>
      </w:r>
      <w:r>
        <w:rPr/>
        <w:tab/>
        <w:t>Munro, “‘Social Reproduction Theory,’ Social Reproduction, and Household Production,” 455.</w:t>
      </w:r>
    </w:p>
  </w:footnote>
  <w:footnote w:id="169">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70">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71">
    <w:p>
      <w:pPr>
        <w:pStyle w:val="FootnoteText"/>
        <w:rPr/>
      </w:pPr>
      <w:r>
        <w:rPr>
          <w:rStyle w:val="FootnoteCharacters"/>
        </w:rPr>
        <w:footnoteRef/>
      </w:r>
      <w:r>
        <w:rPr/>
        <w:tab/>
        <w:t xml:space="preserve">Jr. Trotter Joe William, “The Great Migration,” </w:t>
      </w:r>
      <w:r>
        <w:rPr>
          <w:i/>
        </w:rPr>
        <w:t>OAH Magazine of History</w:t>
      </w:r>
      <w:r>
        <w:rPr/>
        <w:t xml:space="preserve"> 17, no. 1 (2002): 31–33, </w:t>
      </w:r>
      <w:hyperlink r:id="rId3">
        <w:r>
          <w:rPr>
            <w:rStyle w:val="Hyperlink"/>
          </w:rPr>
          <w:t>https://doi.org/10.1093/maghis/17.1.31</w:t>
        </w:r>
      </w:hyperlink>
      <w:r>
        <w:rPr/>
        <w:t>.</w:t>
      </w:r>
    </w:p>
  </w:footnote>
  <w:footnote w:id="172">
    <w:p>
      <w:pPr>
        <w:pStyle w:val="FootnoteText"/>
        <w:rPr/>
      </w:pPr>
      <w:r>
        <w:rPr>
          <w:rStyle w:val="FootnoteCharacters"/>
        </w:rPr>
        <w:footnoteRef/>
      </w:r>
      <w:r>
        <w:rPr/>
        <w:tab/>
        <w:t xml:space="preserve">US Census Bureau, </w:t>
      </w:r>
      <w:r>
        <w:rPr>
          <w:i/>
        </w:rPr>
        <w:t>Characteristics of the Population</w:t>
      </w:r>
      <w:r>
        <w:rPr/>
        <w:t>, no. 2 (1940).</w:t>
      </w:r>
    </w:p>
  </w:footnote>
  <w:footnote w:id="173">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174">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175">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176">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177">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78">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79">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80">
    <w:p>
      <w:pPr>
        <w:pStyle w:val="FootnoteText"/>
        <w:rPr/>
      </w:pPr>
      <w:r>
        <w:rPr>
          <w:rStyle w:val="FootnoteCharacters"/>
        </w:rPr>
        <w:footnoteRef/>
      </w:r>
      <w:r>
        <w:rPr>
          <w:i/>
        </w:rPr>
        <w:tab/>
        <w:t>Meyer III, The Five Dollar Day</w:t>
      </w:r>
      <w:r>
        <w:rPr>
          <w:i w:val="false"/>
          <w:iCs w:val="false"/>
        </w:rPr>
        <w:t>, 6.</w:t>
      </w:r>
    </w:p>
  </w:footnote>
  <w:footnote w:id="181">
    <w:p>
      <w:pPr>
        <w:pStyle w:val="FootnoteText"/>
        <w:rPr/>
      </w:pPr>
      <w:r>
        <w:rPr>
          <w:rStyle w:val="FootnoteCharacters"/>
        </w:rPr>
        <w:footnoteRef/>
      </w:r>
      <w:r>
        <w:rPr>
          <w:i/>
        </w:rPr>
        <w:tab/>
        <w:t>Meyer III, The Five Dollar Day</w:t>
      </w:r>
      <w:r>
        <w:rPr>
          <w:i w:val="false"/>
          <w:iCs w:val="false"/>
        </w:rPr>
        <w:t>, 7.</w:t>
      </w:r>
    </w:p>
  </w:footnote>
  <w:footnote w:id="182">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83">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84">
    <w:p>
      <w:pPr>
        <w:pStyle w:val="FootnoteText"/>
        <w:rPr/>
      </w:pPr>
      <w:r>
        <w:rPr>
          <w:rStyle w:val="FootnoteCharacters"/>
        </w:rPr>
        <w:footnoteRef/>
      </w:r>
      <w:r>
        <w:rPr/>
        <w:tab/>
        <w:t>Stanley and Smith, “The Detroit Story,” 38.</w:t>
      </w:r>
    </w:p>
  </w:footnote>
  <w:footnote w:id="185">
    <w:p>
      <w:pPr>
        <w:pStyle w:val="FootnoteText"/>
        <w:rPr/>
      </w:pPr>
      <w:r>
        <w:rPr>
          <w:rStyle w:val="FootnoteCharacters"/>
        </w:rPr>
        <w:footnoteRef/>
      </w:r>
      <w:r>
        <w:rPr/>
        <w:tab/>
        <w:t>Stanley and Smith, “The Detroit Story,” 46.</w:t>
      </w:r>
    </w:p>
  </w:footnote>
  <w:footnote w:id="186">
    <w:p>
      <w:pPr>
        <w:pStyle w:val="FootnoteText"/>
        <w:rPr/>
      </w:pPr>
      <w:r>
        <w:rPr>
          <w:rStyle w:val="FootnoteCharacters"/>
        </w:rPr>
        <w:footnoteRef/>
      </w:r>
      <w:r>
        <w:rPr/>
        <w:tab/>
        <w:t>Stanley and Smith, “The Detroit Story,” 47.</w:t>
      </w:r>
    </w:p>
  </w:footnote>
  <w:footnote w:id="187">
    <w:p>
      <w:pPr>
        <w:pStyle w:val="FootnoteText"/>
        <w:rPr/>
      </w:pPr>
      <w:r>
        <w:rPr>
          <w:rStyle w:val="FootnoteCharacters"/>
        </w:rPr>
        <w:footnoteRef/>
      </w:r>
      <w:r>
        <w:rPr/>
        <w:tab/>
        <w:t>Stanley and Smith, “The Detroit Story,” 46.</w:t>
      </w:r>
    </w:p>
  </w:footnote>
  <w:footnote w:id="188">
    <w:p>
      <w:pPr>
        <w:pStyle w:val="FootnoteText"/>
        <w:rPr/>
      </w:pPr>
      <w:r>
        <w:rPr>
          <w:rStyle w:val="FootnoteCharacters"/>
        </w:rPr>
        <w:footnoteRef/>
      </w:r>
      <w:r>
        <w:rPr/>
        <w:tab/>
        <w:t xml:space="preserve">US Census Bureau, </w:t>
      </w:r>
      <w:r>
        <w:rPr>
          <w:i/>
        </w:rPr>
        <w:t>Occupations, by States</w:t>
      </w:r>
      <w:r>
        <w:rPr/>
        <w:t>, no. 4 (1930), 805.</w:t>
      </w:r>
    </w:p>
  </w:footnote>
  <w:footnote w:id="189">
    <w:p>
      <w:pPr>
        <w:pStyle w:val="FootnoteText"/>
        <w:rPr/>
      </w:pPr>
      <w:r>
        <w:rPr>
          <w:rStyle w:val="FootnoteCharacters"/>
        </w:rPr>
        <w:footnoteRef/>
      </w:r>
      <w:r>
        <w:rPr/>
        <w:tab/>
        <w:t xml:space="preserve">Meyer III, </w:t>
      </w:r>
      <w:r>
        <w:rPr>
          <w:i/>
        </w:rPr>
        <w:t>The Five Dollar Day</w:t>
      </w:r>
      <w:r>
        <w:rPr>
          <w:i w:val="false"/>
          <w:iCs w:val="false"/>
        </w:rPr>
        <w:t>, 130.</w:t>
      </w:r>
    </w:p>
  </w:footnote>
  <w:footnote w:id="190">
    <w:p>
      <w:pPr>
        <w:pStyle w:val="FootnoteText"/>
        <w:rPr/>
      </w:pPr>
      <w:r>
        <w:rPr>
          <w:rStyle w:val="FootnoteCharacters"/>
        </w:rPr>
        <w:footnoteRef/>
      </w:r>
      <w:r>
        <w:rPr/>
        <w:tab/>
        <w:t xml:space="preserve">Meyer III, </w:t>
      </w:r>
      <w:r>
        <w:rPr>
          <w:i/>
        </w:rPr>
        <w:t>The Five Dollar Day</w:t>
      </w:r>
      <w:r>
        <w:rPr>
          <w:i w:val="false"/>
          <w:iCs w:val="false"/>
        </w:rPr>
        <w:t>, 133.</w:t>
      </w:r>
    </w:p>
  </w:footnote>
  <w:footnote w:id="191">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192">
    <w:p>
      <w:pPr>
        <w:pStyle w:val="FootnoteText"/>
        <w:rPr/>
      </w:pPr>
      <w:r>
        <w:rPr>
          <w:rStyle w:val="FootnoteCharacters"/>
        </w:rPr>
        <w:footnoteRef/>
      </w:r>
      <w:r>
        <w:rPr/>
        <w:tab/>
        <w:t xml:space="preserve">Nightingale, </w:t>
      </w:r>
      <w:r>
        <w:rPr>
          <w:i/>
        </w:rPr>
        <w:t>Segregation</w:t>
      </w:r>
      <w:r>
        <w:rPr>
          <w:i w:val="false"/>
          <w:iCs w:val="false"/>
        </w:rPr>
        <w:t>, 296.</w:t>
      </w:r>
    </w:p>
  </w:footnote>
  <w:footnote w:id="193">
    <w:p>
      <w:pPr>
        <w:pStyle w:val="FootnoteText"/>
        <w:rPr/>
      </w:pPr>
      <w:r>
        <w:rPr>
          <w:rStyle w:val="FootnoteCharacters"/>
        </w:rPr>
        <w:footnoteRef/>
      </w:r>
      <w:r>
        <w:rPr/>
        <w:tab/>
        <w:t xml:space="preserve">Nightingale, </w:t>
      </w:r>
      <w:r>
        <w:rPr>
          <w:i/>
        </w:rPr>
        <w:t>Segregation</w:t>
      </w:r>
      <w:r>
        <w:rPr>
          <w:i w:val="false"/>
          <w:iCs w:val="false"/>
        </w:rPr>
        <w:t>, 296.</w:t>
      </w:r>
    </w:p>
  </w:footnote>
  <w:footnote w:id="194">
    <w:p>
      <w:pPr>
        <w:pStyle w:val="FootnoteText"/>
        <w:rPr/>
      </w:pPr>
      <w:r>
        <w:rPr>
          <w:rStyle w:val="FootnoteCharacters"/>
        </w:rPr>
        <w:footnoteRef/>
      </w:r>
      <w:r>
        <w:rPr/>
        <w:tab/>
        <w:t xml:space="preserve">Mark Jay and Philip Conklin, </w:t>
      </w:r>
      <w:r>
        <w:rPr>
          <w:i/>
        </w:rPr>
        <w:t>A People’s History of Detroit</w:t>
      </w:r>
      <w:r>
        <w:rPr/>
        <w:t xml:space="preserve"> (Duke University Press, 2020), 84.</w:t>
      </w:r>
    </w:p>
  </w:footnote>
  <w:footnote w:id="195">
    <w:p>
      <w:pPr>
        <w:pStyle w:val="FootnoteText"/>
        <w:rPr/>
      </w:pPr>
      <w:r>
        <w:rPr>
          <w:rStyle w:val="FootnoteCharacters"/>
        </w:rPr>
        <w:footnoteRef/>
      </w:r>
      <w:r>
        <w:rPr/>
        <w:tab/>
        <w:t xml:space="preserve">Jay and Conklin, </w:t>
      </w:r>
      <w:r>
        <w:rPr>
          <w:i/>
        </w:rPr>
        <w:t>A People’s History of Detroit,</w:t>
      </w:r>
      <w:r>
        <w:rPr>
          <w:i w:val="false"/>
          <w:iCs w:val="false"/>
        </w:rPr>
        <w:t xml:space="preserve"> 14.</w:t>
      </w:r>
    </w:p>
  </w:footnote>
  <w:footnote w:id="196">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197">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8">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9">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200">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1">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2">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3">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4">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5">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6">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07">
    <w:p>
      <w:pPr>
        <w:pStyle w:val="FootnoteText"/>
        <w:rPr/>
      </w:pPr>
      <w:r>
        <w:rPr>
          <w:rStyle w:val="FootnoteCharacters"/>
        </w:rPr>
        <w:footnoteRef/>
      </w:r>
      <w:r>
        <w:rPr/>
        <w:tab/>
        <w:t xml:space="preserve">Highsmith, </w:t>
      </w:r>
      <w:r>
        <w:rPr>
          <w:i/>
        </w:rPr>
        <w:t>Demolition Means Progress</w:t>
      </w:r>
      <w:r>
        <w:rPr>
          <w:i w:val="false"/>
          <w:iCs w:val="false"/>
        </w:rPr>
        <w:t>, 28.</w:t>
      </w:r>
    </w:p>
  </w:footnote>
  <w:footnote w:id="208">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9">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10">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211">
    <w:p>
      <w:pPr>
        <w:pStyle w:val="FootnoteText"/>
        <w:rPr/>
      </w:pPr>
      <w:r>
        <w:rPr>
          <w:rStyle w:val="FootnoteCharacters"/>
        </w:rPr>
        <w:footnoteRef/>
      </w:r>
      <w:r>
        <w:rPr/>
        <w:tab/>
        <w:t xml:space="preserve">Bhattacharya, </w:t>
      </w:r>
      <w:r>
        <w:rPr>
          <w:i/>
        </w:rPr>
        <w:t>Social Reproduction Theory</w:t>
      </w:r>
      <w:r>
        <w:rPr>
          <w:i w:val="false"/>
          <w:iCs w:val="false"/>
        </w:rPr>
        <w:t>, 1-2.</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76"/>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pPr>
    <w:rPr>
      <w:rFonts w:ascii="Liberation Serif" w:hAnsi="Liberation Serif"/>
      <w:b/>
      <w:i w:val="false"/>
      <w:sz w:val="24"/>
    </w:rPr>
  </w:style>
  <w:style w:type="paragraph" w:styleId="Heading2">
    <w:name w:val="Heading 2"/>
    <w:basedOn w:val="Heading"/>
    <w:next w:val="BodyText"/>
    <w:qFormat/>
    <w:pPr>
      <w:numPr>
        <w:ilvl w:val="1"/>
        <w:numId w:val="2"/>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1"/>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3102/0091732X16686949" TargetMode="External"/><Relationship Id="rId2" Type="http://schemas.openxmlformats.org/officeDocument/2006/relationships/hyperlink" Target="https://doi.org/10.1001/jamanetworkopen.2024.7473" TargetMode="External"/><Relationship Id="rId3" Type="http://schemas.openxmlformats.org/officeDocument/2006/relationships/hyperlink" Target="https://doi.org/10.1093/maghis/17.1.31"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439</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2026-05-28T11:51:45Z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