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Liberation Serif" w:hAnsi="Liberation Serif"/>
        </w:rPr>
      </w:pPr>
      <w:r>
        <w:rPr>
          <w:b/>
          <w:bCs/>
        </w:rPr>
        <w:t>Rubber Genocide in the Putumayo</w:t>
      </w:r>
    </w:p>
    <w:p>
      <w:pPr>
        <w:pStyle w:val="Normal"/>
        <w:spacing w:lineRule="auto" w:line="480"/>
        <w:jc w:val="center"/>
        <w:rPr>
          <w:rFonts w:ascii="Liberation Serif" w:hAnsi="Liberation Serif"/>
        </w:rPr>
      </w:pPr>
      <w:r>
        <w:rPr/>
        <w:t>Kenyon Cavender</w:t>
      </w:r>
    </w:p>
    <w:p>
      <w:pPr>
        <w:pStyle w:val="Normal"/>
        <w:spacing w:lineRule="auto" w:line="480"/>
        <w:rPr>
          <w:rFonts w:ascii="Liberation Serif" w:hAnsi="Liberation Serif"/>
        </w:rPr>
      </w:pPr>
      <w:r>
        <w:rPr/>
      </w:r>
    </w:p>
    <w:p>
      <w:pPr>
        <w:pStyle w:val="Normal"/>
        <w:spacing w:lineRule="auto" w:line="480"/>
        <w:rPr>
          <w:rFonts w:ascii="Liberation Serif" w:hAnsi="Liberation Serif"/>
        </w:rPr>
      </w:pPr>
      <w:r>
        <w:rPr>
          <w:b/>
          <w:bCs/>
        </w:rPr>
        <w:t>Introduction</w:t>
      </w:r>
    </w:p>
    <w:p>
      <w:pPr>
        <w:pStyle w:val="Normal"/>
        <w:spacing w:lineRule="auto" w:line="480"/>
        <w:rPr>
          <w:b w:val="false"/>
          <w:bCs w:val="false"/>
          <w:highlight w:val="none"/>
          <w:shd w:fill="FFFF00" w:val="clear"/>
        </w:rPr>
      </w:pPr>
      <w:r>
        <w:rPr>
          <w:b w:val="false"/>
          <w:bCs w:val="false"/>
          <w:shd w:fill="FFFF00" w:val="clear"/>
        </w:rPr>
        <w:t>[</w:t>
      </w:r>
      <w:r>
        <w:rPr>
          <w:b w:val="false"/>
          <w:bCs w:val="false"/>
          <w:shd w:fill="FFFF00" w:val="clear"/>
        </w:rPr>
        <w:t>the thesis of the chapter: Again, scholars push the rubber genocide in the Putumayo outside of capitalism. Serje says that in the Putumayo, "credit and debt, usually considered to be one of th engines of capitalism, were here at the core of a system that was not only opposed to the market logic, but also to the possiblity of developing a modern local economy."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refering to some ideal of a 'modern local economy'. The Putumayo genocide was not a pre-modern aberration in global capitalism, but a core element. And it was not merely modern, but constitutive of modernity.</w:t>
      </w:r>
    </w:p>
    <w:p>
      <w:pPr>
        <w:pStyle w:val="Normal"/>
        <w:spacing w:lineRule="auto" w:line="480"/>
        <w:rPr>
          <w:b w:val="false"/>
          <w:bCs w:val="false"/>
          <w:highlight w:val="none"/>
          <w:shd w:fill="FFFF00" w:val="clear"/>
        </w:rPr>
      </w:pPr>
      <w:r>
        <w:rPr>
          <w:b w:val="false"/>
          <w:bCs w:val="false"/>
          <w:shd w:fill="FFFF00" w:val="clear"/>
        </w:rPr>
        <w:tab/>
        <w:t xml:space="preserve">To make this case, I will </w:t>
      </w:r>
      <w:r>
        <w:rPr>
          <w:b w:val="false"/>
          <w:bCs w:val="false"/>
          <w:shd w:fill="FFFF00" w:val="clear"/>
        </w:rPr>
        <w:t>look at</w:t>
      </w:r>
      <w:r>
        <w:rPr>
          <w:b w:val="false"/>
          <w:bCs w:val="false"/>
          <w:shd w:fill="FFFF00" w:val="clear"/>
        </w:rPr>
        <w:t xml:space="preserve"> several aspects of the rubber industry in the Putumayo. I will </w:t>
      </w:r>
      <w:r>
        <w:rPr>
          <w:b w:val="false"/>
          <w:bCs w:val="false"/>
          <w:shd w:fill="FFFF00" w:val="clear"/>
        </w:rPr>
        <w:t>examine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Normal"/>
        <w:spacing w:lineRule="auto" w:line="480"/>
        <w:rPr>
          <w:rFonts w:ascii="Liberation Serif" w:hAnsi="Liberation Serif"/>
        </w:rPr>
      </w:pPr>
      <w:r>
        <w:rPr>
          <w:b w:val="false"/>
          <w:bCs w:val="false"/>
        </w:rPr>
        <w:tab/>
        <w:t>The production of automobiles requires raw materials in massive quantities. Henry Ford tried his best to vertically integrate the entirety of the automotive production process by purchasing operations that produced all of the necessary natural resources. He was mostly successful, owning iron mines and forests in Michigan and coal mines in Appalachia.</w:t>
      </w:r>
      <w:r>
        <w:rPr>
          <w:rStyle w:val="FootnoteReference"/>
          <w:b w:val="false"/>
          <w:bCs w:val="false"/>
        </w:rPr>
        <w:footnoteReference w:id="2"/>
      </w:r>
      <w:r>
        <w:rPr>
          <w:b w:val="false"/>
          <w:bCs w:val="false"/>
        </w:rPr>
        <w:t xml:space="preserve"> Rubber, however, could not be produced within the US, and his attempt to establish a rubber plantation in Brazil was a failure. Instead, rubber was imported into the US, primarily from the Amazon until 1913 when Amazonian production was eclipsed by Malayan rubber. Although the creation of a consuming class of workers, with nuclear families and owned homes, was a crucial part of Ford's production strategy, the rubber producers that fed his factories labored and lived under very different conditions. </w:t>
      </w:r>
    </w:p>
    <w:p>
      <w:pPr>
        <w:pStyle w:val="Normal"/>
        <w:spacing w:lineRule="auto" w:line="480"/>
        <w:rPr>
          <w:rFonts w:ascii="Liberation Serif" w:hAnsi="Liberation Serif"/>
        </w:rPr>
      </w:pPr>
      <w:r>
        <w:rPr>
          <w:b w:val="false"/>
          <w:bCs w:val="false"/>
        </w:rPr>
        <w:tab/>
        <w:t>Throughout the first half of the twentieth century, rubber production was dominated by severe forms of exploitation: wage labor was much less common than debt bondage, indentured servitude, and outright slavery. In the Putumayo region of Peru (now Colombia)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determined the living and laboring conditions of the rubber workers. This chapter will examine these conditions. We will look at how a rigid racial labor hierarchy was established and maintained with the importation of Black workers from Barbados, as well as the ways in which this hierarchy was resisted.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spacing w:lineRule="auto" w:line="480"/>
        <w:rPr>
          <w:rFonts w:ascii="Liberation Serif" w:hAnsi="Liberation Serif"/>
        </w:rPr>
      </w:pPr>
      <w:r>
        <w:rPr>
          <w:b w:val="false"/>
          <w:bCs w:val="false"/>
        </w:rPr>
        <w:tab/>
        <w:t>Finally, this article will consider the way in which the system of production in the Putumayo contributed to the reproduction of capitalism itself. Obviously the production of rubber was necessary for the growing industries in the Global North, but the undermining of the native patterns of production also contributed to the extension of the market for the finished goods produced by these industries. Despite the natural fertility of the Amazon Basin, workers and management alike were fed (if at all) with canned and preserved foods imported from abroad. The substitution of imported goods for domestic production was essential in the expansion of industrial production in the Global North.</w:t>
      </w:r>
    </w:p>
    <w:p>
      <w:pPr>
        <w:pStyle w:val="Normal"/>
        <w:spacing w:lineRule="auto" w:line="480"/>
        <w:rPr>
          <w:rFonts w:ascii="Liberation Serif" w:hAnsi="Liberation Serif"/>
          <w:b w:val="false"/>
          <w:bCs w:val="false"/>
        </w:rPr>
      </w:pPr>
      <w:r>
        <w:rPr>
          <w:b w:val="false"/>
          <w:bCs w:val="false"/>
        </w:rPr>
      </w:r>
    </w:p>
    <w:p>
      <w:pPr>
        <w:pStyle w:val="Normal"/>
        <w:bidi w:val="0"/>
        <w:spacing w:lineRule="auto" w:line="480" w:before="0" w:after="0"/>
        <w:ind w:hanging="0" w:start="0" w:end="0"/>
        <w:jc w:val="start"/>
        <w:rPr>
          <w:rFonts w:ascii="Liberation Serif" w:hAnsi="Liberation Serif"/>
        </w:rPr>
      </w:pPr>
      <w:r>
        <w:rPr>
          <w:b/>
          <w:bCs/>
        </w:rPr>
        <w:t>The Peruvian Amazon Company and the Putumayo Genocide</w:t>
      </w:r>
    </w:p>
    <w:p>
      <w:pPr>
        <w:pStyle w:val="Normal"/>
        <w:bidi w:val="0"/>
        <w:spacing w:lineRule="auto" w:line="480" w:before="0" w:after="0"/>
        <w:ind w:firstLine="720" w:start="0" w:end="0"/>
        <w:jc w:val="start"/>
        <w:rPr>
          <w:rFonts w:ascii="Liberation Serif" w:hAnsi="Liberation Serif"/>
        </w:rPr>
      </w:pPr>
      <w:r>
        <w:rPr/>
        <w:t>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Hevea Brasiliensis, which can be tapped, the region was also home to the lower quality Castilloa Elastica, which was cut down in the process of harvesting its natural latex. Evidently harvesting was so severe that a contemporary observer in 1907 noted that Colombian harvesters complained there was very little of this second type left.</w:t>
      </w:r>
      <w:r>
        <w:rPr>
          <w:rStyle w:val="FootnoteReference"/>
        </w:rPr>
        <w:footnoteReference w:id="3"/>
      </w:r>
      <w:r>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rFonts w:ascii="Liberation Serif" w:hAnsi="Liberation Serif"/>
        </w:rPr>
      </w:pPr>
      <w:r>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rPr>
        <w:footnoteReference w:id="4"/>
      </w:r>
      <w:r>
        <w:rPr/>
        <w:t xml:space="preserve"> Exact figures are disputed, but Roger Casement gives a conservative estimate of 30,000 total victims; the Putumayo region was depopulated by 90% during the rubber boom. The majority of the contemporary documentation of the genocide comes from three sources: the articles of Peruvian journalist Benjamin Saldaña Rocca, the memoir of engineer and adventurist W.E. Hardenburg who traveled to Putumayo in search of fortune in 1907 and published an account of his journey in 1912, and the report of Irishman Roger Casement who traveled to the Putumayo on behalf of the British Government in 1910, and who was first knighted for his advocacy of the victims of colonialism in Peru and the Congo, and later executed for running guns to Irish revolutionaries.</w:t>
      </w:r>
    </w:p>
    <w:p>
      <w:pPr>
        <w:pStyle w:val="Normal"/>
        <w:bidi w:val="0"/>
        <w:spacing w:lineRule="auto" w:line="480"/>
        <w:jc w:val="start"/>
        <w:rPr>
          <w:rFonts w:ascii="Liberation Serif" w:hAnsi="Liberation Serif"/>
        </w:rPr>
      </w:pPr>
      <w:r>
        <w:rPr>
          <w:b w:val="false"/>
          <w:bCs w:val="false"/>
        </w:rPr>
        <w:tab/>
        <w:t>The primary perpetrators of the Putumayo Genocide were the Peruvian agents of the J. C. Arana and Hermanos Company, which was, with an investment of British capital, renamed the Peruvian Amazon Company in 1907 (hereafter PAC). Originally a hat salesman, Julio César Arana began to work with small Colombian rubber interests in the late 1890s, and in 1903 started his own rubber company along with his brothers-in-law. He soon bought out his Colombian partners and attempted to push out the remainder of the Colombian competitors. Arana and his company were ruthless - when dealing with former partners, Arana "[took] advantage of their ignorance and stupidity to rob them scandalously," in the words of W.E. Hardenburg.</w:t>
      </w:r>
      <w:r>
        <w:rPr>
          <w:rStyle w:val="FootnoteReference"/>
          <w:b w:val="false"/>
          <w:bCs w:val="false"/>
        </w:rPr>
        <w:footnoteReference w:id="5"/>
      </w:r>
      <w:r>
        <w:rPr>
          <w:b w:val="false"/>
          <w:bCs w:val="false"/>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rPr>
        <w:footnoteReference w:id="6"/>
      </w:r>
      <w:r>
        <w:rPr>
          <w:b w:val="false"/>
          <w:bCs w:val="false"/>
        </w:rPr>
        <w:t xml:space="preserve"> </w:t>
      </w:r>
    </w:p>
    <w:p>
      <w:pPr>
        <w:pStyle w:val="Normal"/>
        <w:bidi w:val="0"/>
        <w:spacing w:lineRule="auto" w:line="480"/>
        <w:jc w:val="start"/>
        <w:rPr>
          <w:rFonts w:ascii="Liberation Serif" w:hAnsi="Liberation Serif"/>
        </w:rPr>
      </w:pPr>
      <w:r>
        <w:rPr>
          <w:b w:val="false"/>
          <w:bCs w:val="false"/>
        </w:rPr>
        <w:tab/>
        <w:t xml:space="preserve">There is something significant in Hardenburg using the phrase "taking away </w:t>
      </w:r>
      <w:r>
        <w:rPr>
          <w:b w:val="false"/>
          <w:bCs w:val="false"/>
          <w:i/>
          <w:iCs/>
        </w:rPr>
        <w:t>his</w:t>
      </w:r>
      <w:r>
        <w:rPr>
          <w:b w:val="false"/>
          <w:bCs w:val="false"/>
        </w:rPr>
        <w:t xml:space="preserve"> Indians" that we will return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jc w:val="start"/>
        <w:rPr>
          <w:rFonts w:ascii="Liberation Serif" w:hAnsi="Liberation Serif"/>
        </w:rPr>
      </w:pPr>
      <w:r>
        <w:rPr>
          <w:b w:val="false"/>
          <w:bCs w:val="false"/>
        </w:rPr>
        <w:tab/>
        <w:t>Hardenburg and his traveling companions were captured in one of these raids and held for some days at one of Arana's estates. It was here that he realized the extent of Arana's criminality. Their violence was not aimed only at competitors, but was directed against the local indigenous population as well. Whereas the Colombian rubber harvesters had paid the native workers - underpaid, to be sure, and often in commodities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rPr>
        <w:footnoteReference w:id="7"/>
      </w:r>
      <w:r>
        <w:rPr>
          <w:b w:val="false"/>
          <w:bCs w:val="false"/>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jc w:val="start"/>
        <w:rPr>
          <w:rFonts w:ascii="Liberation Serif" w:hAnsi="Liberation Serif"/>
        </w:rPr>
      </w:pPr>
      <w:r>
        <w:rPr>
          <w:b w:val="false"/>
          <w:bCs w:val="false"/>
        </w:rPr>
        <w:tab/>
        <w:t xml:space="preserve">In 1910, after Hardenburg's initial account had been published in the British newspaper </w:t>
      </w:r>
      <w:r>
        <w:rPr>
          <w:b w:val="false"/>
          <w:bCs w:val="false"/>
          <w:i/>
          <w:iCs/>
        </w:rPr>
        <w:t>Truth</w:t>
      </w:r>
      <w:r>
        <w:rPr>
          <w:b w:val="false"/>
          <w:bCs w:val="false"/>
          <w:i w:val="false"/>
          <w:iCs w:val="false"/>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rPr>
        <w:footnoteReference w:id="8"/>
      </w:r>
      <w:r>
        <w:rPr>
          <w:b w:val="false"/>
          <w:bCs w:val="false"/>
          <w:i w:val="false"/>
          <w:iCs w:val="false"/>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rPr>
        <w:footnoteReference w:id="9"/>
      </w:r>
      <w:r>
        <w:rPr>
          <w:b w:val="false"/>
          <w:bCs w:val="false"/>
          <w:i w:val="false"/>
          <w:iCs w:val="false"/>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rPr>
        <w:footnoteReference w:id="10"/>
      </w:r>
      <w:r>
        <w:rPr>
          <w:b w:val="false"/>
          <w:bCs w:val="false"/>
          <w:i w:val="false"/>
          <w:iCs w:val="false"/>
        </w:rPr>
        <w:t xml:space="preserve"> Their testimonies provided the greatest part of the evidence submitted by Casement to the Foreign Office.</w:t>
      </w:r>
    </w:p>
    <w:p>
      <w:pPr>
        <w:pStyle w:val="Normal"/>
        <w:bidi w:val="0"/>
        <w:spacing w:lineRule="auto" w:line="480"/>
        <w:jc w:val="start"/>
        <w:rPr>
          <w:rFonts w:ascii="Liberation Serif" w:hAnsi="Liberation Serif"/>
        </w:rPr>
      </w:pPr>
      <w:r>
        <w:rPr>
          <w:b w:val="false"/>
          <w:bCs w:val="false"/>
          <w:i w:val="false"/>
          <w:iCs w:val="false"/>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rPr>
        <w:footnoteReference w:id="11"/>
      </w:r>
      <w:r>
        <w:rPr>
          <w:b w:val="false"/>
          <w:bCs w:val="false"/>
          <w:i w:val="false"/>
          <w:iCs w:val="false"/>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jc w:val="start"/>
        <w:rPr>
          <w:rFonts w:ascii="Liberation Serif" w:hAnsi="Liberation Serif"/>
        </w:rPr>
      </w:pPr>
      <w:r>
        <w:rPr>
          <w:b w:val="false"/>
          <w:bCs w:val="false"/>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rPr>
        <w:footnoteReference w:id="12"/>
      </w:r>
      <w:r>
        <w:rPr>
          <w:b w:val="false"/>
          <w:bCs w:val="false"/>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rPr>
        <w:footnoteReference w:id="13"/>
      </w:r>
      <w:r>
        <w:rPr>
          <w:b w:val="false"/>
          <w:bCs w:val="false"/>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jc w:val="start"/>
        <w:rPr>
          <w:rFonts w:ascii="Liberation Serif" w:hAnsi="Liberation Serif"/>
        </w:rPr>
      </w:pPr>
      <w:r>
        <w:rPr>
          <w:b w:val="false"/>
          <w:bCs w:val="false"/>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rPr>
        <w:footnoteReference w:id="14"/>
      </w:r>
      <w:r>
        <w:rPr>
          <w:b w:val="false"/>
          <w:bCs w:val="false"/>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rPr>
        <w:footnoteReference w:id="15"/>
      </w:r>
    </w:p>
    <w:p>
      <w:pPr>
        <w:pStyle w:val="Normal"/>
        <w:bidi w:val="0"/>
        <w:spacing w:lineRule="auto" w:line="480"/>
        <w:jc w:val="start"/>
        <w:rPr>
          <w:rFonts w:ascii="Liberation Serif" w:hAnsi="Liberation Serif"/>
        </w:rPr>
      </w:pPr>
      <w:r>
        <w:rPr>
          <w:b w:val="false"/>
          <w:bCs w:val="false"/>
        </w:rPr>
        <w:tab/>
        <w:t>These men also took part in the spoils of slavery. Casement reports that "every so-called civilised employé receives from the agent of the company, on arrival, and Indian woman to be his temporary wife."</w:t>
      </w:r>
      <w:r>
        <w:rPr>
          <w:rStyle w:val="FootnoteReference"/>
          <w:b w:val="false"/>
          <w:bCs w:val="false"/>
        </w:rPr>
        <w:footnoteReference w:id="16"/>
      </w:r>
      <w:r>
        <w:rPr>
          <w:b w:val="false"/>
          <w:bCs w:val="false"/>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jc w:val="start"/>
        <w:rPr>
          <w:rFonts w:ascii="Liberation Serif" w:hAnsi="Liberation Serif"/>
        </w:rPr>
      </w:pPr>
      <w:r>
        <w:rPr>
          <w:b w:val="false"/>
          <w:bCs w:val="false"/>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rPr>
        <w:footnoteReference w:id="17"/>
      </w:r>
      <w:r>
        <w:rPr>
          <w:b w:val="false"/>
          <w:bCs w:val="false"/>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rPr>
        <w:footnoteReference w:id="18"/>
      </w:r>
      <w:r>
        <w:rPr>
          <w:b w:val="false"/>
          <w:bCs w:val="false"/>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jc w:val="start"/>
        <w:rPr>
          <w:rFonts w:ascii="Liberation Serif" w:hAnsi="Liberation Serif"/>
        </w:rPr>
      </w:pPr>
      <w:r>
        <w:rPr>
          <w:b w:val="false"/>
          <w:bCs w:val="false"/>
        </w:rPr>
        <w:tab/>
        <w:t>Food was a central question for workers in the Putumayo.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rPr>
        <w:footnoteReference w:id="19"/>
      </w:r>
      <w:r>
        <w:rPr>
          <w:b w:val="false"/>
          <w:bCs w:val="false"/>
        </w:rPr>
        <w:t xml:space="preserve"> In some cases they had to forage their own food and survive on "a wild herb called by the Indians 'airambo'."</w:t>
      </w:r>
      <w:r>
        <w:rPr>
          <w:rStyle w:val="FootnoteReference"/>
          <w:b w:val="false"/>
          <w:bCs w:val="false"/>
        </w:rPr>
        <w:footnoteReference w:id="20"/>
      </w:r>
      <w:r>
        <w:rPr>
          <w:b w:val="false"/>
          <w:bCs w:val="false"/>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rPr>
        <w:footnoteReference w:id="21"/>
      </w:r>
      <w:r>
        <w:rPr>
          <w:b w:val="false"/>
          <w:bCs w:val="false"/>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jc w:val="start"/>
        <w:rPr>
          <w:rFonts w:ascii="Liberation Serif" w:hAnsi="Liberation Serif"/>
        </w:rPr>
      </w:pPr>
      <w:r>
        <w:rPr>
          <w:b w:val="false"/>
          <w:bCs w:val="false"/>
        </w:rPr>
        <w:tab/>
        <w:t xml:space="preserve">As we can see,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Labour Discipline and Colonial Hegemony</w:t>
      </w:r>
    </w:p>
    <w:p>
      <w:pPr>
        <w:pStyle w:val="Normal"/>
        <w:bidi w:val="0"/>
        <w:spacing w:lineRule="auto" w:line="480"/>
        <w:jc w:val="start"/>
        <w:rPr>
          <w:rFonts w:ascii="Liberation Serif" w:hAnsi="Liberation Serif"/>
        </w:rPr>
      </w:pPr>
      <w:r>
        <w:rPr>
          <w:b w:val="false"/>
          <w:bCs w:val="false"/>
        </w:rPr>
        <w:tab/>
        <w:t>What was the purpose of this brutality? The contemporary accounts are shot through with attempts to make sense of something so offensive to sense and reason. Casement makes the argument in his report that the enslavement of the Huitoto people and their terrorization was a response by the Peruvian Amazon Company to the condition of labor scarcity in the region. The Barbadians were brought in to offset some of the dangers and difficulties of the slaving raids, and overseeing the native workers on their long marches through the forest. Due to the expense of transporting the rubber from the Putumayo to market, Casement says that the "company resorted to the use of forced labour under a debt-peonage system, and used torture to maintain labour discipline."</w:t>
      </w:r>
      <w:r>
        <w:rPr>
          <w:rStyle w:val="FootnoteReference"/>
          <w:b w:val="false"/>
          <w:bCs w:val="false"/>
        </w:rPr>
        <w:footnoteReference w:id="22"/>
      </w:r>
      <w:r>
        <w:rPr>
          <w:b w:val="false"/>
          <w:bCs w:val="false"/>
        </w:rPr>
        <w:t xml:space="preserve"> But as Michael Taussig claims, this,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rPr>
        <w:footnoteReference w:id="23"/>
      </w:r>
      <w:r>
        <w:rPr>
          <w:b w:val="false"/>
          <w:bCs w:val="false"/>
        </w:rPr>
        <w:t xml:space="preserve"> Indeed, the violence employed by the PAC was not only directed at the native workers, but at their entire communities and even the salaried Barbadian employees, and in fact it undermined the workforce by starving, maiming, and ultimately slaughtering thousands of would-be rubber tappers. </w:t>
      </w:r>
    </w:p>
    <w:p>
      <w:pPr>
        <w:pStyle w:val="Normal"/>
        <w:bidi w:val="0"/>
        <w:spacing w:lineRule="auto" w:line="480"/>
        <w:jc w:val="start"/>
        <w:rPr>
          <w:rFonts w:ascii="Liberation Serif" w:hAnsi="Liberation Serif"/>
        </w:rPr>
      </w:pPr>
      <w:r>
        <w:rPr>
          <w:b w:val="false"/>
          <w:bCs w:val="false"/>
        </w:rPr>
        <w:tab/>
        <w:t>So again: what was the purpose of this horror? Taussig's analysis of this question sheds light on our initial concern with the transformation of the lives of rubber workers. The brutality of the PAC's methods were crucial in the elaboration, not only of a new kind of man, but of new kinds of family and a new kind of society built on a rigid racial hierarchy. He places the terror of the Putumayo within the context of the "construction of colonial reality that occurred in the New World... where the Indian and the African became subject to an initially far smaller number of Christians."</w:t>
      </w:r>
      <w:r>
        <w:rPr>
          <w:rStyle w:val="FootnoteReference"/>
          <w:b w:val="false"/>
          <w:bCs w:val="false"/>
        </w:rPr>
        <w:footnoteReference w:id="24"/>
      </w:r>
      <w:r>
        <w:rPr>
          <w:b w:val="false"/>
          <w:bCs w:val="false"/>
        </w:rPr>
        <w:t xml:space="preserve"> Terror played a fundamental role in this construction: terror "which as well as being a physiological state is also a social fact and a cultural construction whose baroque dimensions allow it to serve as the mediator</w:t>
      </w:r>
      <w:r>
        <w:rPr>
          <w:b w:val="false"/>
          <w:bCs w:val="false"/>
          <w:i/>
          <w:iCs/>
        </w:rPr>
        <w:t xml:space="preserve"> par excellence</w:t>
      </w:r>
      <w:r>
        <w:rPr>
          <w:b w:val="false"/>
          <w:bCs w:val="false"/>
          <w:i w:val="false"/>
          <w:iCs w:val="false"/>
        </w:rPr>
        <w:t xml:space="preserve"> of colonial hegemony."</w:t>
      </w:r>
      <w:r>
        <w:rPr>
          <w:rStyle w:val="FootnoteReference"/>
          <w:b w:val="false"/>
          <w:bCs w:val="false"/>
          <w:i w:val="false"/>
          <w:iCs w:val="false"/>
        </w:rPr>
        <w:footnoteReference w:id="25"/>
      </w:r>
      <w:r>
        <w:rPr>
          <w:b w:val="false"/>
          <w:bCs w:val="false"/>
          <w:i/>
          <w:iCs/>
        </w:rPr>
        <w:t xml:space="preserve"> </w:t>
      </w:r>
    </w:p>
    <w:p>
      <w:pPr>
        <w:pStyle w:val="Normal"/>
        <w:bidi w:val="0"/>
        <w:spacing w:lineRule="auto" w:line="480"/>
        <w:jc w:val="start"/>
        <w:rPr>
          <w:rFonts w:ascii="Liberation Serif" w:hAnsi="Liberation Serif"/>
        </w:rPr>
      </w:pPr>
      <w:r>
        <w:rPr>
          <w:b w:val="false"/>
          <w:bCs w:val="false"/>
          <w:i w:val="false"/>
          <w:iCs w:val="false"/>
        </w:rPr>
        <w:tab/>
        <w:t>The construction of colonial hegemony goes back a long way, and the actions of the Peruvian Amazon Company, which Hardenburg ironically calls the 'civilising company', can be seen in a sense as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rPr>
        <w:footnoteReference w:id="26"/>
      </w:r>
      <w:r>
        <w:rPr>
          <w:b w:val="false"/>
          <w:bCs w:val="false"/>
          <w:i w:val="false"/>
          <w:iCs w:val="false"/>
        </w:rPr>
        <w:t xml:space="preserve"> This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jc w:val="start"/>
        <w:rPr>
          <w:rFonts w:ascii="Liberation Serif" w:hAnsi="Liberation Serif"/>
        </w:rPr>
      </w:pPr>
      <w:r>
        <w:rPr>
          <w:b w:val="false"/>
          <w:bCs w:val="false"/>
          <w:i w:val="false"/>
          <w:iCs w:val="false"/>
        </w:rPr>
        <w:tab/>
        <w:t xml:space="preserve">But the perpetrators of genocide were not the only participants in the construction of colonial hegemony, though they may have been its most grotesque face. Indeed, many of the liberal humanitarians who were instrumental in exposing and stopping the genocide were also invested in the same civilising project - their difference of opinion with the PAC lay in the means, not the ends. I would now like to make a closer reading of some of the early publications that exposed the genocide and called for intervention. For the moment we will bracket and set aside Roger Casement and focus on Hardenburg's account in The Devil's Paradise, as edited and introduced by C. Reginald Enock. </w:t>
      </w:r>
    </w:p>
    <w:p>
      <w:pPr>
        <w:pStyle w:val="Normal"/>
        <w:bidi w:val="0"/>
        <w:spacing w:lineRule="auto" w:line="480"/>
        <w:jc w:val="start"/>
        <w:rPr>
          <w:rFonts w:ascii="Liberation Serif" w:hAnsi="Liberation Serif"/>
        </w:rPr>
      </w:pPr>
      <w:r>
        <w:rPr>
          <w:b w:val="false"/>
          <w:bCs w:val="false"/>
        </w:rPr>
        <w:tab/>
        <w:t>Enock's introduction to Hardenburg's account is an interesting document. Enock was a mining engineer who wrote several books about his travels through South America, and who, according to his obituary, "spent much of his life expounding an economic system based on Christian principles."</w:t>
      </w:r>
      <w:r>
        <w:rPr>
          <w:rStyle w:val="FootnoteReference"/>
          <w:b w:val="false"/>
          <w:bCs w:val="false"/>
        </w:rPr>
        <w:footnoteReference w:id="27"/>
      </w:r>
      <w:r>
        <w:rPr>
          <w:b w:val="false"/>
          <w:bCs w:val="false"/>
        </w:rPr>
        <w:t xml:space="preserve"> Indeed, his introduction is full of righteous anger and denunciations of the anti-Christian conduct done "under a republican Government in a Christianised country, at the behest of the agents of a great joint-stock company with headquarters in London."</w:t>
      </w:r>
      <w:r>
        <w:rPr>
          <w:rStyle w:val="FootnoteReference"/>
          <w:b w:val="false"/>
          <w:bCs w:val="false"/>
        </w:rPr>
        <w:footnoteReference w:id="28"/>
      </w:r>
      <w:r>
        <w:rPr>
          <w:b w:val="false"/>
          <w:bCs w:val="false"/>
        </w:rPr>
        <w:t xml:space="preserve"> He condemns the system in which "[i]n order to obtain rubber so that the luxurious-tyred motor-cars of civilisation might multiply in the cities of Christendom, the dismal forests of the Amazon have echoed with the cries of despairing and tortured Indian aborigines."</w:t>
      </w:r>
      <w:r>
        <w:rPr>
          <w:rStyle w:val="FootnoteReference"/>
          <w:b w:val="false"/>
          <w:bCs w:val="false"/>
        </w:rPr>
        <w:footnoteReference w:id="29"/>
      </w:r>
      <w:r>
        <w:rPr>
          <w:b w:val="false"/>
          <w:bCs w:val="false"/>
        </w:rPr>
        <w:t xml:space="preserve"> For him there is a great irony in the poor conduct of the Christians towards a people that he says "[i]n general are docile and have good qualities; they are naturally free from immorality and disease; they have a strong affection for their women and children and a regard for the aged." In the next sentence, however, he lets slip his mask: The people of the Putumayo are "well worthy of preservation, and might have been a valuable asset to the region."</w:t>
      </w:r>
      <w:r>
        <w:rPr>
          <w:rStyle w:val="FootnoteReference"/>
          <w:b w:val="false"/>
          <w:bCs w:val="false"/>
        </w:rPr>
        <w:footnoteReference w:id="30"/>
      </w:r>
    </w:p>
    <w:p>
      <w:pPr>
        <w:pStyle w:val="Normal"/>
        <w:bidi w:val="0"/>
        <w:spacing w:lineRule="auto" w:line="480"/>
        <w:jc w:val="start"/>
        <w:rPr>
          <w:rFonts w:ascii="Liberation Serif" w:hAnsi="Liberation Serif"/>
        </w:rPr>
      </w:pPr>
      <w:r>
        <w:rPr>
          <w:b w:val="false"/>
          <w:bCs w:val="false"/>
        </w:rPr>
        <w:tab/>
        <w:t xml:space="preserve">Enock's christian brotherliness only goes so far. The peoples of the Putumayo are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rPr>
        <w:t>infieles</w:t>
      </w:r>
      <w:r>
        <w:rPr>
          <w:b w:val="false"/>
          <w:bCs w:val="false"/>
        </w:rPr>
        <w:t xml:space="preserve"> and </w:t>
      </w:r>
      <w:r>
        <w:rPr>
          <w:b w:val="false"/>
          <w:bCs w:val="false"/>
          <w:i/>
          <w:iCs/>
        </w:rPr>
        <w:t>salvages</w:t>
      </w:r>
      <w:r>
        <w:rPr>
          <w:b w:val="false"/>
          <w:bCs w:val="false"/>
        </w:rPr>
        <w:t xml:space="preserve"> - that is, 'un-faithed' and 'savage' - cannot be described as savages in the ordinary sense of the term. They have nothing in common with the bloody savages of Africa and other parts of the world." Even his praise is built on the devaluation of other races, but faint as it is he cannot hold onto it for long. A mere two pages later he attempts to describe the various peoples in Peru, saying "[t]</w:t>
      </w:r>
      <w:r>
        <w:rPr>
          <w:b w:val="false"/>
          <w:bCs w:val="false"/>
          <w:i w:val="false"/>
          <w:iCs w:val="false"/>
        </w:rPr>
        <w:t xml:space="preserve">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rPr>
        <w:t>curacas</w:t>
      </w:r>
      <w:r>
        <w:rPr>
          <w:b w:val="false"/>
          <w:bCs w:val="false"/>
          <w:i w:val="false"/>
          <w:iCs w:val="false"/>
        </w:rPr>
        <w:t>, or petty chiefs of families or tribe.</w:t>
      </w:r>
      <w:r>
        <w:rPr>
          <w:b w:val="false"/>
          <w:bCs w:val="false"/>
        </w:rPr>
        <w:t xml:space="preserve">" As evidence of the virtue of the people in the coastal region, Enock says they live under an intelligible structure, in which "every village contains its </w:t>
      </w:r>
      <w:r>
        <w:rPr>
          <w:b w:val="false"/>
          <w:bCs w:val="false"/>
          <w:i/>
          <w:iCs/>
        </w:rPr>
        <w:t>iglesia</w:t>
      </w:r>
      <w:r>
        <w:rPr>
          <w:b w:val="false"/>
          <w:bCs w:val="false"/>
          <w:i w:val="false"/>
          <w:iCs w:val="false"/>
        </w:rPr>
        <w:t xml:space="preserve"> and village priest."</w:t>
      </w:r>
      <w:r>
        <w:rPr>
          <w:rStyle w:val="FootnoteReference"/>
          <w:b w:val="false"/>
          <w:bCs w:val="false"/>
          <w:i w:val="false"/>
          <w:iCs w:val="false"/>
        </w:rPr>
        <w:footnoteReference w:id="31"/>
      </w:r>
      <w:r>
        <w:rPr>
          <w:b w:val="false"/>
          <w:bCs w:val="false"/>
          <w:i w:val="false"/>
          <w:iCs w:val="false"/>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ind w:hanging="0" w:start="1080"/>
        <w:jc w:val="start"/>
        <w:rPr>
          <w:rFonts w:ascii="Liberation Serif" w:hAnsi="Liberation Serif"/>
        </w:rPr>
      </w:pPr>
      <w:r>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rPr>
        <w:t>animals</w:t>
      </w:r>
      <w:r>
        <w:rPr>
          <w:i w:val="false"/>
          <w:iCs w:val="false"/>
        </w:rPr>
        <w:t>. Other European people may have abused the Indians of America, but none have that peculiar Spanish attitude towards them of frankly considering them as non-human.[ ... ]</w:t>
      </w:r>
      <w:r>
        <w:rPr/>
        <w:t xml:space="preserve">There is yet a further trait of the Latin American which to the Anglo-Saxon mind is almost inexplicable. This is the pleasure in the torture of the Indian as a </w:t>
      </w:r>
      <w:r>
        <w:rPr>
          <w:i/>
          <w:iCs/>
        </w:rPr>
        <w:t>diversion</w:t>
      </w:r>
      <w:r>
        <w:rPr>
          <w:i w:val="false"/>
          <w:iCs w:val="false"/>
        </w:rPr>
        <w:t>, not merely as a vengeance or 'punishment.'</w:t>
      </w:r>
      <w:r>
        <w:rPr/>
        <w:t>"</w:t>
      </w:r>
      <w:r>
        <w:rPr>
          <w:rStyle w:val="FootnoteReference"/>
        </w:rPr>
        <w:footnoteReference w:id="32"/>
      </w:r>
    </w:p>
    <w:p>
      <w:pPr>
        <w:pStyle w:val="Normal"/>
        <w:bidi w:val="0"/>
        <w:spacing w:lineRule="auto" w:line="480"/>
        <w:jc w:val="start"/>
        <w:rPr>
          <w:rFonts w:ascii="Liberation Serif" w:hAnsi="Liberation Serif"/>
        </w:rPr>
      </w:pPr>
      <w:r>
        <w:rPr/>
        <w:t xml:space="preserve">The explanation? That the Peruvians carry bad Iberian blood, blood of a lower class. Enock's analysis exists within a rigid racial hierarchy - even his criticism of ethnic cleansing reinforces colonial hierarchy. This is a criticism not </w:t>
      </w:r>
      <w:r>
        <w:rPr>
          <w:i/>
          <w:iCs/>
        </w:rPr>
        <w:t>of</w:t>
      </w:r>
      <w:r>
        <w:rPr/>
        <w:t xml:space="preserve">, but </w:t>
      </w:r>
      <w:r>
        <w:rPr>
          <w:i/>
          <w:iCs/>
        </w:rPr>
        <w:t>internal to</w:t>
      </w:r>
      <w:r>
        <w:rPr/>
        <w:t xml:space="preserve"> the Civilising Project.</w:t>
      </w:r>
    </w:p>
    <w:p>
      <w:pPr>
        <w:pStyle w:val="Normal"/>
        <w:bidi w:val="0"/>
        <w:spacing w:lineRule="auto" w:line="480"/>
        <w:jc w:val="start"/>
        <w:rPr>
          <w:rFonts w:ascii="Liberation Serif" w:hAnsi="Liberation Serif"/>
        </w:rPr>
      </w:pPr>
      <w:r>
        <w:rPr/>
        <w:tab/>
        <w:t>It is not surprising that, as an engineer, Enock would be chosen to introduce Hardenburg's narrative. Although Hardenburg is less explicit about his racial prejudices - he has them, but they don't shine through so vividly - he shares another interest with Enock. As they describe the natural space of the Putumayo basin and its inhabitants, they do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 And a page later: "The whole Amazon Valley, when it shall have been opened up, will prove to be one of the most valuable parts of the earth's surface." What's odd about these quotes is that they are sandwiched between the diatribes against the "savages" of North and South America and the extended musings on the racial mixing of Spanish and Latin American races. It's written in a scattered way, as if Enock can't decide between the relative importance of accumulation and expounding his racial theories.</w:t>
      </w:r>
    </w:p>
    <w:p>
      <w:pPr>
        <w:pStyle w:val="Normal"/>
        <w:bidi w:val="0"/>
        <w:spacing w:lineRule="auto" w:line="480"/>
        <w:jc w:val="start"/>
        <w:rPr>
          <w:rFonts w:ascii="Liberation Serif" w:hAnsi="Liberation Serif"/>
        </w:rPr>
      </w:pPr>
      <w:r>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discusses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rPr>
        <w:footnoteReference w:id="33"/>
      </w:r>
      <w:r>
        <w:rPr/>
        <w:t xml:space="preserve"> As he travels down the river, he takes samples of rocks that might indicate the presence of valuable minerals.</w:t>
      </w:r>
    </w:p>
    <w:p>
      <w:pPr>
        <w:pStyle w:val="Normal"/>
        <w:bidi w:val="0"/>
        <w:spacing w:lineRule="auto" w:line="480"/>
        <w:jc w:val="start"/>
        <w:rPr>
          <w:rFonts w:ascii="Liberation Serif" w:hAnsi="Liberation Serif"/>
        </w:rPr>
      </w:pPr>
      <w:r>
        <w:rPr/>
        <w:tab/>
        <w:t xml:space="preserve">Once Hardenburg reaches the rubber producing regions, he quickly hits it off with the Colombian rubber agents. Talking to an agent named Duarte, Hardenburg learns that "all this rubber was collected by the Indians in the Company's service, who came periodically with what they had collected and exchanged it for merchandise, &amp;c., sold to them at rather exorbitant prices." This description hardly seems like a positive assessment of the Colombian Duarte, but it is explicitly presented as the positive complement to the maltreatment of the local inhabitants of the region by the Peruvians: "... the greatest portion of [the Huitotos] were in the service of the Peruvian Amazon Company, which, Duarte informed me, treated them very harshly, obliging them to work night and day without the slightest remuneration." </w:t>
      </w:r>
    </w:p>
    <w:p>
      <w:pPr>
        <w:pStyle w:val="Normal"/>
        <w:bidi w:val="0"/>
        <w:spacing w:lineRule="auto" w:line="480"/>
        <w:jc w:val="start"/>
        <w:rPr>
          <w:rFonts w:ascii="Liberation Serif" w:hAnsi="Liberation Serif"/>
        </w:rPr>
      </w:pPr>
      <w:r>
        <w:rPr/>
        <w:tab/>
        <w:t xml:space="preserve">Further anecdotes are meant to reflect well on the treatment of the Huitoto by the Colombian settlers, such as the observation that the native employees of the Colombian firms wear European clothes, but this purported concern for the welfare of the local inhabitants of the Putumayo is undermined by a description of the Christmas celebration that Hardenburg passes with the Colombian rubber men: </w:t>
      </w:r>
      <w:r>
        <w:rPr>
          <w:b w:val="false"/>
          <w:bCs w:val="false"/>
          <w:i w:val="false"/>
          <w:iCs w:val="false"/>
        </w:rPr>
        <w:t xml:space="preserve">"Then López brought out a small barrel of the indispensable </w:t>
      </w:r>
      <w:r>
        <w:rPr>
          <w:b w:val="false"/>
          <w:bCs w:val="false"/>
          <w:i/>
          <w:iCs/>
        </w:rPr>
        <w:t>aguardiente</w:t>
      </w:r>
      <w:r>
        <w:rPr>
          <w:b w:val="false"/>
          <w:bCs w:val="false"/>
          <w:i w:val="false"/>
          <w:iCs w:val="false"/>
        </w:rPr>
        <w:t>, and everybody, including the sick policemen, their Cioni boatmen, and Perkins and myself, got on more or less of a jag, which lasted all day, and was not interrupted even by the death of one of López' Indians, who, it seems, had been ailing for some time."</w:t>
      </w:r>
      <w:r>
        <w:rPr>
          <w:rStyle w:val="FootnoteReference"/>
          <w:b w:val="false"/>
          <w:bCs w:val="false"/>
          <w:i w:val="false"/>
          <w:iCs w:val="false"/>
        </w:rPr>
        <w:footnoteReference w:id="34"/>
      </w:r>
    </w:p>
    <w:p>
      <w:pPr>
        <w:pStyle w:val="Normal"/>
        <w:bidi w:val="0"/>
        <w:spacing w:lineRule="auto" w:line="480"/>
        <w:jc w:val="start"/>
        <w:rPr>
          <w:rFonts w:ascii="Liberation Serif" w:hAnsi="Liberation Serif"/>
        </w:rPr>
      </w:pPr>
      <w:r>
        <w:rPr/>
        <w:tab/>
        <w:t xml:space="preserve">A few days after the Christmas celebration, Hardenburg entered into negotiations to purchase stock in one of the Colombian rubber companies. Unfortunately for him, the negotiations were cut short when the Peruvian Amazon Company, accompanied by Peruvian soldiers, launched a raid on the Colombian rubber settlements, massacred the workers and agents, and took Hardenburg and his traveling mate captive. It is in captivity that Hardenburg witnessed the bulk of the atrocities that would inform his report which broke the news of the Putumayo Genocide to the English speaking world. It is clear, however, that what he witnessed before he saw the atrocities, what he witnessed while meeting and dealing with the Colombian rubber agents still formed part of the erasure of indigenous life and community in the service of rubber production. The colonial hegemony imposed on the Putumayo region was upheld not only by the atrocities committed by Arana and his agents, but by the cheating of native rubber workers, the enforcing of European customs, the undermining of indigenous production, and the callous disregard for native life expressed by Hardenburg and Enock in their accounts. </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Resistance</w:t>
      </w:r>
    </w:p>
    <w:p>
      <w:pPr>
        <w:pStyle w:val="Normal"/>
        <w:bidi w:val="0"/>
        <w:spacing w:lineRule="auto" w:line="480"/>
        <w:jc w:val="start"/>
        <w:rPr>
          <w:rFonts w:ascii="Liberation Serif" w:hAnsi="Liberation Serif"/>
        </w:rPr>
      </w:pPr>
      <w:r>
        <w:rPr>
          <w:b w:val="false"/>
          <w:bCs w:val="false"/>
        </w:rPr>
        <w:tab/>
        <w:t>Despite Casement's lament that "the Amazon Indian is by nature docile and obedient," and that his "weakness of character and docility of temperament are no match for the dominating ability of those with European blood in their veins,"</w:t>
      </w:r>
      <w:r>
        <w:rPr>
          <w:rStyle w:val="FootnoteReference"/>
          <w:b w:val="false"/>
          <w:bCs w:val="false"/>
        </w:rPr>
        <w:footnoteReference w:id="35"/>
      </w:r>
      <w:r>
        <w:rPr>
          <w:b w:val="false"/>
          <w:bCs w:val="false"/>
        </w:rPr>
        <w:t xml:space="preserve"> it would be wrong to characterize the indigenous peoples of the Amazon as mere passive recipients of civilizational violence. In his introductory remarks to the republication of Peruvian Judge Valcarcel's </w:t>
      </w:r>
      <w:r>
        <w:rPr>
          <w:b w:val="false"/>
          <w:bCs w:val="false"/>
          <w:i/>
          <w:iCs/>
        </w:rPr>
        <w:t>El Proceso del Putumayo</w:t>
      </w:r>
      <w:r>
        <w:rPr>
          <w:b w:val="false"/>
          <w:bCs w:val="false"/>
          <w:i w:val="false"/>
          <w:iCs w:val="false"/>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rPr>
        <w:footnoteReference w:id="36"/>
      </w:r>
      <w:r>
        <w:rPr>
          <w:b w:val="false"/>
          <w:bCs w:val="false"/>
          <w:i w:val="false"/>
          <w:iCs w:val="false"/>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rPr>
        <w:footnoteReference w:id="37"/>
      </w:r>
      <w:r>
        <w:rPr>
          <w:b w:val="false"/>
          <w:bCs w:val="false"/>
          <w:i w:val="false"/>
          <w:iCs w:val="false"/>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jc w:val="start"/>
        <w:rPr>
          <w:rFonts w:ascii="Liberation Serif" w:hAnsi="Liberation Serif"/>
        </w:rPr>
      </w:pPr>
      <w:r>
        <w:rPr>
          <w:b w:val="false"/>
          <w:bCs w:val="false"/>
          <w:i w:val="false"/>
          <w:iCs w:val="false"/>
        </w:rPr>
        <w:tab/>
        <w:t>In the case of Peru, the state was interested in incorporating the resource-rich Amazon into the national economy, as it was being under-utilized by its inhabitants.</w:t>
      </w:r>
      <w:r>
        <w:rPr>
          <w:rStyle w:val="FootnoteReference"/>
          <w:b w:val="false"/>
          <w:bCs w:val="false"/>
          <w:i w:val="false"/>
          <w:iCs w:val="false"/>
        </w:rPr>
        <w:footnoteReference w:id="38"/>
      </w:r>
      <w:r>
        <w:rPr>
          <w:b w:val="false"/>
          <w:bCs w:val="false"/>
          <w:i w:val="false"/>
          <w:iCs w:val="false"/>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rPr>
        <w:footnoteReference w:id="39"/>
      </w:r>
      <w:r>
        <w:rPr>
          <w:b w:val="false"/>
          <w:bCs w:val="false"/>
          <w:i w:val="false"/>
          <w:iCs w:val="false"/>
        </w:rPr>
        <w:t xml:space="preserve"> </w:t>
      </w:r>
    </w:p>
    <w:p>
      <w:pPr>
        <w:pStyle w:val="Normal"/>
        <w:bidi w:val="0"/>
        <w:spacing w:lineRule="auto" w:line="480"/>
        <w:jc w:val="start"/>
        <w:rPr>
          <w:rFonts w:ascii="Liberation Serif" w:hAnsi="Liberation Serif"/>
        </w:rPr>
      </w:pPr>
      <w:r>
        <w:rPr>
          <w:b w:val="false"/>
          <w:bCs w:val="false"/>
          <w:i w:val="false"/>
          <w:iCs w:val="false"/>
        </w:rPr>
        <w:tab/>
        <w:t>This pattern of indigenous resistance to Peruvian incursion being met with overwhelming violence was continued in the Putumayo. As we have seen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rPr>
        <w:footnoteReference w:id="40"/>
      </w:r>
      <w:r>
        <w:rPr>
          <w:b w:val="false"/>
          <w:bCs w:val="false"/>
          <w:i w:val="false"/>
          <w:iCs w:val="false"/>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rPr>
        <w:footnoteReference w:id="41"/>
      </w:r>
      <w:r>
        <w:rPr>
          <w:b w:val="false"/>
          <w:bCs w:val="false"/>
          <w:i w:val="false"/>
          <w:iCs w:val="false"/>
        </w:rPr>
        <w:t xml:space="preserve"> The primary norm of civilized society, trade, was synonymous with the enslavement of the uncivilized. </w:t>
      </w:r>
    </w:p>
    <w:p>
      <w:pPr>
        <w:pStyle w:val="Normal"/>
        <w:bidi w:val="0"/>
        <w:spacing w:lineRule="auto" w:line="480"/>
        <w:jc w:val="start"/>
        <w:rPr>
          <w:rFonts w:ascii="Liberation Serif" w:hAnsi="Liberation Serif"/>
        </w:rPr>
      </w:pPr>
      <w:r>
        <w:rPr>
          <w:b w:val="false"/>
          <w:bCs w:val="false"/>
          <w:i w:val="false"/>
          <w:iCs w:val="false"/>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rPr>
        <w:footnoteReference w:id="42"/>
      </w:r>
      <w:r>
        <w:rPr>
          <w:b w:val="false"/>
          <w:bCs w:val="false"/>
          <w:i w:val="false"/>
          <w:iCs w:val="false"/>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jc w:val="start"/>
        <w:rPr>
          <w:rFonts w:ascii="Liberation Serif" w:hAnsi="Liberation Serif"/>
        </w:rPr>
      </w:pPr>
      <w:r>
        <w:rPr>
          <w:b w:val="false"/>
          <w:bCs w:val="false"/>
          <w:i w:val="false"/>
          <w:iCs w:val="false"/>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rPr>
        <w:footnoteReference w:id="43"/>
      </w:r>
      <w:r>
        <w:rPr>
          <w:b w:val="false"/>
          <w:bCs w:val="false"/>
          <w:i w:val="false"/>
          <w:iCs w:val="false"/>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jc w:val="start"/>
        <w:rPr>
          <w:rFonts w:ascii="Liberation Serif" w:hAnsi="Liberation Serif"/>
        </w:rPr>
      </w:pPr>
      <w:r>
        <w:rPr>
          <w:b w:val="false"/>
          <w:bCs w:val="false"/>
          <w:i w:val="false"/>
          <w:iCs w:val="false"/>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rPr>
        <w:footnoteReference w:id="44"/>
      </w:r>
      <w:r>
        <w:rPr>
          <w:b w:val="false"/>
          <w:bCs w:val="false"/>
          <w:i w:val="false"/>
          <w:iCs w:val="false"/>
        </w:rPr>
        <w:t xml:space="preserve"> Even the lack of cannibalism in this instance was somehow twisted into evidence of savagery.</w:t>
      </w:r>
    </w:p>
    <w:p>
      <w:pPr>
        <w:pStyle w:val="Normal"/>
        <w:bidi w:val="0"/>
        <w:spacing w:lineRule="auto" w:line="480"/>
        <w:jc w:val="start"/>
        <w:rPr>
          <w:rFonts w:ascii="Liberation Serif" w:hAnsi="Liberation Serif"/>
        </w:rPr>
      </w:pPr>
      <w:r>
        <w:rPr>
          <w:b w:val="false"/>
          <w:bCs w:val="false"/>
          <w:i w:val="false"/>
          <w:iCs w:val="false"/>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rPr>
        <w:footnoteReference w:id="45"/>
      </w:r>
      <w:r>
        <w:rPr>
          <w:b w:val="false"/>
          <w:bCs w:val="false"/>
          <w:i w:val="false"/>
          <w:iCs w:val="false"/>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rPr>
        <w:footnoteReference w:id="46"/>
      </w:r>
      <w:r>
        <w:rPr>
          <w:b w:val="false"/>
          <w:bCs w:val="false"/>
          <w:i w:val="false"/>
          <w:iCs w:val="false"/>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jc w:val="start"/>
        <w:rPr>
          <w:rFonts w:ascii="Liberation Serif" w:hAnsi="Liberation Serif"/>
        </w:rPr>
      </w:pPr>
      <w:r>
        <w:rPr>
          <w:b w:val="false"/>
          <w:bCs w:val="false"/>
          <w:i w:val="false"/>
          <w:iCs w:val="false"/>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jc w:val="start"/>
        <w:rPr>
          <w:rFonts w:ascii="Liberation Serif" w:hAnsi="Liberation Serif"/>
        </w:rPr>
      </w:pPr>
      <w:r>
        <w:rPr>
          <w:b w:val="false"/>
          <w:bCs w:val="false"/>
          <w:i w:val="false"/>
          <w:iCs w:val="false"/>
        </w:rPr>
        <w:tab/>
        <w:t xml:space="preserve">The intertwined projects of pacification and rubber production are not reducible to either end. Although the violence of the genocide cannot be reduced to an attempt at labor discipline, neither can the genocide be reduced to bloodlust. The interests of the rubber industry were seized on by the capricious monsters of the Arana company who preferred the taste of blood to mammon. At the same time, the extermination of the Putumayo peoples was instrumentalized by the forces of capital. The next section will look at the Putumayo genocide in the context of the reproduction of capital on both a local and a global scale. </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Atrocious Reproduction</w:t>
      </w:r>
    </w:p>
    <w:p>
      <w:pPr>
        <w:pStyle w:val="Normal"/>
        <w:bidi w:val="0"/>
        <w:spacing w:lineRule="auto" w:line="480"/>
        <w:jc w:val="start"/>
        <w:rPr>
          <w:rFonts w:ascii="Liberation Serif" w:hAnsi="Liberation Serif"/>
        </w:rPr>
      </w:pPr>
      <w:r>
        <w:rPr>
          <w:b w:val="false"/>
          <w:bCs w:val="false"/>
        </w:rPr>
        <w:tab/>
        <w:t xml:space="preserve">As a social system, the Putumayo genocide was relatively short lived. It might seem odd to speak of the reproduction of a system that cannibalized itself in just a few short years, but the concept of social reproduction includes not only the generation,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most clear in the way that the destruction of local food production opened up the Putumayo as a market for non-perishable goods, especially tinned meats from abroad. There are several key aspects of social reproduction to be examined here: the reproduction of labor, both short- and long-term; the extension of company control over labor, including the reproductive labor of employee's families; the reproduction of the rubber commodity; and the development of a market where sundry goods were bought and sold. </w:t>
      </w:r>
    </w:p>
    <w:p>
      <w:pPr>
        <w:pStyle w:val="Normal"/>
        <w:bidi w:val="0"/>
        <w:spacing w:lineRule="auto" w:line="480"/>
        <w:jc w:val="start"/>
        <w:rPr>
          <w:rFonts w:ascii="Liberation Serif" w:hAnsi="Liberation Serif"/>
        </w:rPr>
      </w:pPr>
      <w:r>
        <w:rPr>
          <w:b w:val="false"/>
          <w:bCs w:val="false"/>
        </w:rPr>
        <w:tab/>
        <w:t xml:space="preserve">It is a primary concern of every society how it will reproduce itself. The production of the necessary means of subsistence and their distribution and consumption are central to the structure of every social order. A defining feature of capitalism is the extent to which the production and consumption of the ordinary means of subsistence are divorced and mediated through exchange. Capitalist workers do not generally consume the direct products of their labor, but must exchange what they produce for a wage which will then allow them to purchase their daily needs - which are products of someone else's labor. Production and consumption become mediated through exchange, and therefore the worker's means of reproducing him- or her-self is likewise mediated through exchange. </w:t>
      </w:r>
    </w:p>
    <w:p>
      <w:pPr>
        <w:pStyle w:val="Normal"/>
        <w:bidi w:val="0"/>
        <w:spacing w:lineRule="auto" w:line="480"/>
        <w:jc w:val="start"/>
        <w:rPr>
          <w:rFonts w:ascii="Liberation Serif" w:hAnsi="Liberation Serif"/>
        </w:rPr>
      </w:pPr>
      <w:r>
        <w:rPr>
          <w:b w:val="false"/>
          <w:bCs w:val="false"/>
        </w:rPr>
        <w:tab/>
        <w:t xml:space="preserve">The act of purchasing what one needs to survive contributes to the reproduction of capitalism in two distinct ways. First, and most obviously, it allows workers to renew their labor power. They can eat the calories they expended and rest in rented rooms, and cloth themselves from the elements so that they may be able to show up to work again at full power. If their wage is high enough, they can purchase also what is necessary to raise children, and to ensure a steady stream of labor even after their death. It is a very common situation, however, that wages are not sufficient for generational reproduction. In a scenario where labor is relatively more abundant than jobs, competition can drive wages below the point of the renewal of labor, and so the workers must either die out or be subsidized by some other entity such as the state, the family, or the church. In cases where no such subsidy exists, a steady stream of labor is often supplied by immigration or by force. </w:t>
      </w:r>
    </w:p>
    <w:p>
      <w:pPr>
        <w:pStyle w:val="Normal"/>
        <w:bidi w:val="0"/>
        <w:spacing w:lineRule="auto" w:line="480"/>
        <w:jc w:val="start"/>
        <w:rPr>
          <w:rFonts w:ascii="Liberation Serif" w:hAnsi="Liberation Serif"/>
        </w:rPr>
      </w:pPr>
      <w:r>
        <w:rPr>
          <w:b w:val="false"/>
          <w:bCs w:val="false"/>
        </w:rPr>
        <w:tab/>
        <w:t xml:space="preserve">The second contribution of the act of purchase to the reproduction of capitalism is in a sense more fundamental, at least from the standpoint of capital. When the worker purchases some commodity for consumption, this represents the endpoint of the production process: the moment of purchase is also the moment of profit for the capitalist. In this exchange the worker receives what they need to live as a worker, and the capitalist also receives what they need to live </w:t>
      </w:r>
      <w:r>
        <w:rPr>
          <w:b w:val="false"/>
          <w:bCs w:val="false"/>
          <w:i/>
          <w:iCs/>
        </w:rPr>
        <w:t>as a capitalist</w:t>
      </w:r>
      <w:r>
        <w:rPr>
          <w:b w:val="false"/>
          <w:bCs w:val="false"/>
          <w:i w:val="false"/>
          <w:iCs w:val="false"/>
        </w:rPr>
        <w:t xml:space="preserve">, for this is the moment that their profit is realized, their entire </w:t>
      </w:r>
      <w:r>
        <w:rPr>
          <w:b w:val="false"/>
          <w:bCs w:val="false"/>
          <w:i/>
          <w:iCs/>
        </w:rPr>
        <w:t>raison d'etre</w:t>
      </w:r>
      <w:r>
        <w:rPr>
          <w:b w:val="false"/>
          <w:bCs w:val="false"/>
          <w:i w:val="false"/>
          <w:iCs w:val="false"/>
        </w:rPr>
        <w:t>. It is precisely this dual significance of the purchases of the worker that motivated the creation of a class of consuming workers under Fordism. But things were otherwise in Putumayo.</w:t>
      </w:r>
    </w:p>
    <w:p>
      <w:pPr>
        <w:pStyle w:val="Normal"/>
        <w:bidi w:val="0"/>
        <w:spacing w:lineRule="auto" w:line="480"/>
        <w:jc w:val="start"/>
        <w:rPr>
          <w:rFonts w:ascii="Liberation Serif" w:hAnsi="Liberation Serif"/>
        </w:rPr>
      </w:pPr>
      <w:r>
        <w:rPr>
          <w:b w:val="false"/>
          <w:bCs w:val="false"/>
          <w:i w:val="false"/>
          <w:iCs w:val="false"/>
        </w:rPr>
        <w:tab/>
        <w:t xml:space="preserve">We have seen in previous chapters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native slaves. </w:t>
      </w:r>
    </w:p>
    <w:p>
      <w:pPr>
        <w:pStyle w:val="Normal"/>
        <w:bidi w:val="0"/>
        <w:spacing w:lineRule="auto" w:line="480"/>
        <w:jc w:val="start"/>
        <w:rPr>
          <w:rFonts w:ascii="Liberation Serif" w:hAnsi="Liberation Serif"/>
        </w:rPr>
      </w:pPr>
      <w:r>
        <w:rPr>
          <w:b w:val="false"/>
          <w:bCs w:val="false"/>
          <w:i w:val="false"/>
          <w:iCs w:val="false"/>
        </w:rPr>
        <w:tab/>
        <w:t>As slaves, the native Putumayans were almost entirely left out of the wage-relation and thus excluded from purchasing commodities.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jc w:val="start"/>
        <w:rPr>
          <w:rFonts w:ascii="Liberation Serif" w:hAnsi="Liberation Serif"/>
        </w:rPr>
      </w:pPr>
      <w:r>
        <w:rPr>
          <w:b w:val="false"/>
          <w:bCs w:val="false"/>
          <w:i w:val="false"/>
          <w:iCs w:val="false"/>
        </w:rPr>
        <w:tab/>
        <w:t xml:space="preserve">The system of slavery on the Putumayo destroyed the generational reproduction of native labor, and pushed the daily reproduction to a minimum. Families were separated, with men forced to collect rubber and women and children being taken by company men as sex slaves. For the working men, Hardenburg states that their food was "given to them once a day, at noon; it consisted of a handful of </w:t>
      </w:r>
      <w:r>
        <w:rPr>
          <w:b w:val="false"/>
          <w:bCs w:val="false"/>
          <w:i/>
          <w:iCs/>
        </w:rPr>
        <w:t>fariña</w:t>
      </w:r>
      <w:r>
        <w:rPr>
          <w:b w:val="false"/>
          <w:bCs w:val="false"/>
          <w:i w:val="false"/>
          <w:iCs w:val="false"/>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rPr>
        <w:footnoteReference w:id="47"/>
      </w:r>
      <w:r>
        <w:rPr>
          <w:b w:val="false"/>
          <w:bCs w:val="false"/>
          <w:i w:val="false"/>
          <w:iCs w:val="false"/>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rPr>
        <w:footnoteReference w:id="48"/>
      </w:r>
      <w:r>
        <w:rPr>
          <w:b w:val="false"/>
          <w:bCs w:val="false"/>
          <w:i w:val="false"/>
          <w:iCs w:val="false"/>
        </w:rPr>
        <w:t xml:space="preserve"> The renewal of the labor force depended entirely on a steady stream of newly enslaved workers from a population that was, like the rubber trees, fast dwindling.</w:t>
      </w:r>
    </w:p>
    <w:p>
      <w:pPr>
        <w:pStyle w:val="Normal"/>
        <w:bidi w:val="0"/>
        <w:spacing w:lineRule="auto" w:line="480"/>
        <w:jc w:val="start"/>
        <w:rPr>
          <w:rFonts w:ascii="Liberation Serif" w:hAnsi="Liberation Serif"/>
        </w:rPr>
      </w:pPr>
      <w:r>
        <w:rPr>
          <w:b w:val="false"/>
          <w:bCs w:val="false"/>
          <w:i w:val="false"/>
          <w:iCs w:val="false"/>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rPr>
        <w:footnoteReference w:id="49"/>
      </w:r>
      <w:r>
        <w:rPr>
          <w:b w:val="false"/>
          <w:bCs w:val="false"/>
          <w:i w:val="false"/>
          <w:iCs w:val="false"/>
        </w:rPr>
        <w:t xml:space="preserve"> Indeed all of the houses at the rubber stations were built by the natives: </w:t>
      </w:r>
    </w:p>
    <w:p>
      <w:pPr>
        <w:pStyle w:val="Normal"/>
        <w:bidi w:val="0"/>
        <w:spacing w:lineRule="auto" w:line="480"/>
        <w:ind w:start="720"/>
        <w:jc w:val="start"/>
        <w:rPr>
          <w:rFonts w:ascii="Liberation Serif" w:hAnsi="Liberation Serif"/>
        </w:rPr>
      </w:pPr>
      <w:r>
        <w:rPr>
          <w:b w:val="false"/>
          <w:bCs w:val="false"/>
          <w:i w:val="false"/>
          <w:iCs w:val="false"/>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rPr>
        <w:footnoteReference w:id="50"/>
      </w:r>
    </w:p>
    <w:p>
      <w:pPr>
        <w:pStyle w:val="Normal"/>
        <w:bidi w:val="0"/>
        <w:spacing w:lineRule="auto" w:line="480"/>
        <w:ind w:start="0"/>
        <w:jc w:val="start"/>
        <w:rPr>
          <w:rFonts w:ascii="Liberation Serif" w:hAnsi="Liberation Serif"/>
        </w:rPr>
      </w:pPr>
      <w:r>
        <w:rPr>
          <w:b w:val="false"/>
          <w:bCs w:val="false"/>
          <w:i w:val="false"/>
          <w:iCs w:val="false"/>
        </w:rPr>
        <w:t xml:space="preserve">These houses were built on huge clearings of up to 200 acres, the clearing and planting of which also fell to the natives. </w:t>
      </w:r>
    </w:p>
    <w:p>
      <w:pPr>
        <w:pStyle w:val="Normal"/>
        <w:bidi w:val="0"/>
        <w:spacing w:lineRule="auto" w:line="480"/>
        <w:ind w:start="0"/>
        <w:jc w:val="start"/>
        <w:rPr>
          <w:rFonts w:ascii="Liberation Serif" w:hAnsi="Liberation Serif"/>
        </w:rPr>
      </w:pPr>
      <w:r>
        <w:rPr>
          <w:b w:val="false"/>
          <w:bCs w:val="false"/>
          <w:i w:val="false"/>
          <w:iCs w:val="false"/>
        </w:rPr>
        <w:tab/>
        <w:t>The Barbadians also contributed reproductive work to the maintenance of the company. A portion of the workers from Barbados were employed at an estate near Iquitos, and were there "engaged mainly in agricultural work."</w:t>
      </w:r>
      <w:r>
        <w:rPr>
          <w:rStyle w:val="FootnoteReference"/>
          <w:b w:val="false"/>
          <w:bCs w:val="false"/>
          <w:i w:val="false"/>
          <w:iCs w:val="false"/>
        </w:rPr>
        <w:footnoteReference w:id="51"/>
      </w:r>
      <w:r>
        <w:rPr>
          <w:b w:val="false"/>
          <w:bCs w:val="false"/>
          <w:i w:val="false"/>
          <w:iCs w:val="false"/>
        </w:rPr>
        <w:t xml:space="preserve"> However, only a minority of the Barbadians were so employed, and most were sent up the Putumayo to work at the rubber stations. In addition to their main jobs terrorizing the native workers, they also contributed extensively to the maintenance of the stations. Casement mentions that at one of the stations he visited, "most of the furniture in the houses had been made by various Barbados men who from time to time had served there."</w:t>
      </w:r>
      <w:r>
        <w:rPr>
          <w:rStyle w:val="FootnoteReference"/>
          <w:b w:val="false"/>
          <w:bCs w:val="false"/>
          <w:i w:val="false"/>
          <w:iCs w:val="false"/>
        </w:rPr>
        <w:footnoteReference w:id="52"/>
      </w:r>
      <w:r>
        <w:rPr>
          <w:b w:val="false"/>
          <w:bCs w:val="false"/>
          <w:i w:val="false"/>
          <w:iCs w:val="false"/>
        </w:rPr>
        <w:t xml:space="preserve"> Although they were sometimes paid for their carpentry, they often were not. In one case a particularly talented carpenter from Barbados, Edward Crichlow, was imprisoned in stocks that he himself had made. This same man was at one point sent to Iquitos to be tried for petty theft, and while in prison there he was able to work as a carpenter. He apparently made significantly more than while working in Putumayo and was able to pay his legal fees with the money he made in jail.</w:t>
      </w:r>
    </w:p>
    <w:p>
      <w:pPr>
        <w:pStyle w:val="Normal"/>
        <w:bidi w:val="0"/>
        <w:spacing w:lineRule="auto" w:line="480"/>
        <w:jc w:val="start"/>
        <w:rPr>
          <w:rFonts w:ascii="Liberation Serif" w:hAnsi="Liberation Serif"/>
        </w:rPr>
      </w:pPr>
      <w:r>
        <w:rPr>
          <w:b w:val="false"/>
          <w:bCs w:val="false"/>
          <w:i w:val="false"/>
          <w:iCs w:val="false"/>
        </w:rPr>
        <w:tab/>
        <w:t>As mentioned previously,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rPr>
        <w:footnoteReference w:id="53"/>
      </w:r>
      <w:r>
        <w:rPr>
          <w:b w:val="false"/>
          <w:bCs w:val="false"/>
          <w:i w:val="false"/>
          <w:iCs w:val="false"/>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rPr>
        <w:footnoteReference w:id="54"/>
      </w:r>
      <w:r>
        <w:rPr>
          <w:b w:val="false"/>
          <w:bCs w:val="false"/>
          <w:i w:val="false"/>
          <w:iCs w:val="false"/>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rPr>
        <w:footnoteReference w:id="55"/>
      </w:r>
      <w:r>
        <w:rPr>
          <w:b w:val="false"/>
          <w:bCs w:val="false"/>
          <w:i w:val="false"/>
          <w:iCs w:val="false"/>
        </w:rPr>
        <w:t xml:space="preserve"> </w:t>
      </w:r>
    </w:p>
    <w:p>
      <w:pPr>
        <w:pStyle w:val="Normal"/>
        <w:bidi w:val="0"/>
        <w:spacing w:lineRule="auto" w:line="480"/>
        <w:jc w:val="start"/>
        <w:rPr>
          <w:rFonts w:ascii="Liberation Serif" w:hAnsi="Liberation Serif"/>
        </w:rPr>
      </w:pPr>
      <w:r>
        <w:rPr>
          <w:b w:val="false"/>
          <w:bCs w:val="false"/>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jc w:val="start"/>
        <w:rPr>
          <w:rFonts w:ascii="Liberation Serif" w:hAnsi="Liberation Serif"/>
        </w:rPr>
      </w:pPr>
      <w:r>
        <w:rPr>
          <w:b w:val="false"/>
          <w:bCs w:val="false"/>
        </w:rPr>
        <w:tab/>
        <w:t>Whatever its immediate cause, the erosion of subsistence labor served a vital role in the reproduction of capitalism as a global system. The purchase and consumption of imported goods served the extension of the valorization of production in the Global North.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rPr>
        <w:footnoteReference w:id="56"/>
      </w:r>
      <w:r>
        <w:rPr>
          <w:b w:val="false"/>
          <w:bCs w:val="false"/>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rPr>
        <w:footnoteReference w:id="57"/>
      </w:r>
      <w:r>
        <w:rPr>
          <w:b w:val="false"/>
          <w:bCs w:val="false"/>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jc w:val="start"/>
        <w:rPr>
          <w:rFonts w:ascii="Liberation Serif" w:hAnsi="Liberation Serif"/>
        </w:rPr>
      </w:pPr>
      <w:r>
        <w:rPr>
          <w:b w:val="false"/>
          <w:bCs w:val="false"/>
        </w:rPr>
        <w:tab/>
        <w:t>The importation of tinned foodstuffs and other commodities into the Putumayo was a moment in the global reconfiguration of the dynamics of capital's reproduction.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rPr>
        <w:footnoteReference w:id="58"/>
      </w:r>
      <w:r>
        <w:rPr>
          <w:b w:val="false"/>
          <w:bCs w:val="false"/>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jc w:val="start"/>
        <w:rPr>
          <w:rFonts w:ascii="Liberation Serif" w:hAnsi="Liberation Serif"/>
        </w:rPr>
      </w:pPr>
      <w:r>
        <w:rPr>
          <w:b w:val="false"/>
          <w:bCs w:val="false"/>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rPr>
        <w:footnoteReference w:id="59"/>
      </w:r>
      <w:r>
        <w:rPr>
          <w:b w:val="false"/>
          <w:bCs w:val="false"/>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jc w:val="start"/>
        <w:rPr>
          <w:rFonts w:ascii="Liberation Serif" w:hAnsi="Liberation Serif"/>
        </w:rPr>
      </w:pPr>
      <w:r>
        <w:rPr>
          <w:b w:val="false"/>
          <w:bCs w:val="false"/>
        </w:rPr>
        <w:tab/>
        <w:t>Exemplary of this dynamic of Peru importing US consumer goods was the meat packing industry. Centered in Chicago, the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rPr>
        <w:footnoteReference w:id="60"/>
      </w:r>
      <w:r>
        <w:rPr>
          <w:b w:val="false"/>
          <w:bCs w:val="false"/>
        </w:rPr>
        <w:t xml:space="preserve"> This massive operation fed the meatpacking business, and in 1910 exports were in excess of $130 million.</w:t>
      </w:r>
      <w:r>
        <w:rPr>
          <w:rStyle w:val="FootnoteReference"/>
          <w:b w:val="false"/>
          <w:bCs w:val="false"/>
        </w:rPr>
        <w:footnoteReference w:id="61"/>
      </w:r>
      <w:r>
        <w:rPr>
          <w:b w:val="false"/>
          <w:bCs w:val="false"/>
        </w:rPr>
        <w:t xml:space="preserve"> Much of this was canned, salted, pickled or otherwise cured meat - precisely the goods sold at exorbitant prices to the Barbadian workers in the Putumayo.</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Conclusion</w:t>
      </w:r>
    </w:p>
    <w:p>
      <w:pPr>
        <w:pStyle w:val="Normal"/>
        <w:bidi w:val="0"/>
        <w:spacing w:lineRule="auto" w:line="480"/>
        <w:jc w:val="start"/>
        <w:rPr>
          <w:rFonts w:ascii="Liberation Serif" w:hAnsi="Liberation Serif"/>
        </w:rPr>
      </w:pPr>
      <w:r>
        <w:rPr>
          <w:b w:val="false"/>
          <w:bCs w:val="false"/>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rPr>
        <w:footnoteReference w:id="62"/>
      </w:r>
      <w:r>
        <w:rPr>
          <w:b w:val="false"/>
          <w:bCs w:val="false"/>
        </w:rPr>
        <w:t xml:space="preserve"> </w:t>
      </w:r>
    </w:p>
    <w:p>
      <w:pPr>
        <w:pStyle w:val="Normal"/>
        <w:bidi w:val="0"/>
        <w:spacing w:lineRule="auto" w:line="480"/>
        <w:jc w:val="start"/>
        <w:rPr>
          <w:rFonts w:ascii="Liberation Serif" w:hAnsi="Liberation Serif"/>
        </w:rPr>
      </w:pPr>
      <w:r>
        <w:rPr>
          <w:b w:val="false"/>
          <w:bCs w:val="false"/>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rPr>
        <w:footnoteReference w:id="63"/>
      </w:r>
      <w:r>
        <w:rPr>
          <w:b w:val="false"/>
          <w:bCs w:val="false"/>
        </w:rPr>
        <w:t xml:space="preserve"> Many of the warrants were voided by Peruvian courts or tied up in bureaucratic technicalities in an attempt to bury the matter.</w:t>
      </w:r>
      <w:r>
        <w:rPr>
          <w:rStyle w:val="FootnoteReference"/>
          <w:b w:val="false"/>
          <w:bCs w:val="false"/>
        </w:rPr>
        <w:footnoteReference w:id="64"/>
      </w:r>
      <w:r>
        <w:rPr>
          <w:b w:val="false"/>
          <w:bCs w:val="false"/>
        </w:rPr>
        <w:t xml:space="preserve"> In 1913 the Peruvian Amazon Company was dissolved, but Arana maintained his estates and continued exploiting their rubber and residents.</w:t>
      </w:r>
      <w:r>
        <w:rPr>
          <w:rStyle w:val="FootnoteReference"/>
          <w:b w:val="false"/>
          <w:bCs w:val="false"/>
        </w:rPr>
        <w:footnoteReference w:id="65"/>
      </w:r>
      <w:r>
        <w:rPr>
          <w:b w:val="false"/>
          <w:bCs w:val="false"/>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rPr>
        <w:footnoteReference w:id="66"/>
      </w:r>
      <w:r>
        <w:rPr>
          <w:b w:val="false"/>
          <w:bCs w:val="false"/>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rPr>
        <w:footnoteReference w:id="67"/>
      </w:r>
      <w:r>
        <w:rPr>
          <w:b w:val="false"/>
          <w:bCs w:val="false"/>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jc w:val="start"/>
        <w:rPr>
          <w:rFonts w:ascii="Liberation Serif" w:hAnsi="Liberation Serif"/>
        </w:rPr>
      </w:pPr>
      <w:r>
        <w:rPr>
          <w:b w:val="false"/>
          <w:bCs w:val="false"/>
        </w:rPr>
        <w:tab/>
        <w:t xml:space="preserve">The genocide cannot be reduced to its economic dimension. Taussig refers to market pressure as a 'trigger' - not the sole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sectPr>
      <w:headerReference w:type="even" r:id="rId2"/>
      <w:headerReference w:type="default" r:id="rId3"/>
      <w:headerReference w:type="first" r:id="rId4"/>
      <w:footerReference w:type="even" r:id="rId5"/>
      <w:footerReference w:type="default" r:id="rId6"/>
      <w:footerReference w:type="first" r:id="rId7"/>
      <w:footnotePr>
        <w:numFmt w:val="decimal"/>
      </w:footnotePr>
      <w:type w:val="nextPage"/>
      <w:pgSz w:w="12240" w:h="15840"/>
      <w:pgMar w:left="1440" w:right="1440" w:gutter="0" w:header="1440" w:top="1999" w:footer="1440" w:bottom="1999"/>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 w:name="PageNumWizard_FOOTER_Default_Page_Style1"/>
    <w:r>
      <w:rPr/>
      <w:fldChar w:fldCharType="begin"/>
    </w:r>
    <w:r>
      <w:rPr/>
      <w:instrText xml:space="preserve"> PAGE </w:instrText>
    </w:r>
    <w:r>
      <w:rPr/>
      <w:fldChar w:fldCharType="separate"/>
    </w:r>
    <w:r>
      <w:rPr/>
      <w:t>34</w:t>
    </w:r>
    <w:r>
      <w:rPr/>
      <w:fldChar w:fldCharType="end"/>
    </w:r>
    <w:bookmarkEnd w:id="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 w:name="PageNumWizard_FOOTER_Default_Page_Style1"/>
    <w:r>
      <w:rPr/>
      <w:fldChar w:fldCharType="begin"/>
    </w:r>
    <w:r>
      <w:rPr/>
      <w:instrText xml:space="preserve"> PAGE </w:instrText>
    </w:r>
    <w:r>
      <w:rPr/>
      <w:fldChar w:fldCharType="separate"/>
    </w:r>
    <w:r>
      <w:rPr/>
      <w:t>34</w:t>
    </w:r>
    <w:r>
      <w:rPr/>
      <w:fldChar w:fldCharType="end"/>
    </w:r>
    <w:bookmarkEnd w:id="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https://www.thehenryford.org/visit/ford-rouge-factory-tour/history-and-timeline/fords-rouge/</w:t>
      </w:r>
    </w:p>
  </w:footnote>
  <w:footnote w:id="3">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4">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7">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8">
    <w:p>
      <w:pPr>
        <w:pStyle w:val="FootnoteText"/>
        <w:rPr>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1.</w:t>
      </w:r>
    </w:p>
  </w:footnote>
  <w:footnote w:id="9">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10">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11">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12">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13">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14">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15">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16">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7">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8">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19">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20">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21">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22">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23">
    <w:p>
      <w:pPr>
        <w:pStyle w:val="FootnoteText"/>
        <w:bidi w:val="0"/>
        <w:jc w:val="start"/>
        <w:rPr/>
      </w:pPr>
      <w:r>
        <w:rPr>
          <w:rStyle w:val="FootnoteCharacters"/>
        </w:rPr>
        <w:footnoteRef/>
      </w:r>
      <w:r>
        <w:rPr/>
        <w:tab/>
        <w:t>Taussig, “Culture of Terror,” 479.</w:t>
      </w:r>
    </w:p>
  </w:footnote>
  <w:footnote w:id="24">
    <w:p>
      <w:pPr>
        <w:pStyle w:val="FootnoteText"/>
        <w:bidi w:val="0"/>
        <w:jc w:val="start"/>
        <w:rPr/>
      </w:pPr>
      <w:r>
        <w:rPr>
          <w:rStyle w:val="FootnoteCharacters"/>
        </w:rPr>
        <w:footnoteRef/>
      </w:r>
      <w:r>
        <w:rPr/>
        <w:tab/>
        <w:t>Taussig, “Culture of Terror,” 468.</w:t>
      </w:r>
    </w:p>
  </w:footnote>
  <w:footnote w:id="25">
    <w:p>
      <w:pPr>
        <w:pStyle w:val="FootnoteText"/>
        <w:bidi w:val="0"/>
        <w:jc w:val="start"/>
        <w:rPr/>
      </w:pPr>
      <w:r>
        <w:rPr>
          <w:rStyle w:val="FootnoteCharacters"/>
        </w:rPr>
        <w:footnoteRef/>
      </w:r>
      <w:r>
        <w:rPr/>
        <w:tab/>
        <w:t>Taussig, “Culture of Terror,” 468.</w:t>
      </w:r>
    </w:p>
  </w:footnote>
  <w:footnote w:id="26">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27">
    <w:p>
      <w:pPr>
        <w:pStyle w:val="FootnoteText"/>
        <w:suppressLineNumbers/>
        <w:bidi w:val="0"/>
        <w:ind w:hanging="340" w:start="340"/>
        <w:jc w:val="start"/>
        <w:rPr/>
      </w:pPr>
      <w:r>
        <w:rPr>
          <w:rStyle w:val="FootnoteCharacters"/>
        </w:rPr>
        <w:footnoteRef/>
      </w:r>
      <w:r>
        <w:rPr>
          <w:i/>
        </w:rPr>
        <w:tab/>
        <w:t>West Sussex Gazette,</w:t>
      </w:r>
      <w:r>
        <w:rPr/>
        <w:t xml:space="preserve"> 9th June 1949, accessed at http://www.enockfamilyhistory.co.uk/Charles_Reginald_Enock_-_1869-1970.htm</w:t>
      </w:r>
    </w:p>
  </w:footnote>
  <w:footnote w:id="28">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12.</w:t>
      </w:r>
    </w:p>
  </w:footnote>
  <w:footnote w:id="29">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12.</w:t>
      </w:r>
    </w:p>
  </w:footnote>
  <w:footnote w:id="30">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16.</w:t>
      </w:r>
    </w:p>
  </w:footnote>
  <w:footnote w:id="31">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32">
    <w:p>
      <w:pPr>
        <w:pStyle w:val="FootnoteText"/>
        <w:rPr/>
      </w:pPr>
      <w:r>
        <w:rPr>
          <w:rStyle w:val="FootnoteCharacters"/>
        </w:rPr>
        <w:footnoteRef/>
      </w:r>
      <w:r>
        <w:rPr/>
        <w:tab/>
        <w:t xml:space="preserve">Hardenburg, </w:t>
      </w:r>
      <w:r>
        <w:rPr>
          <w:i/>
          <w:iCs/>
        </w:rPr>
        <w:t>The Devil's Paradise</w:t>
      </w:r>
      <w:r>
        <w:rPr>
          <w:i w:val="false"/>
          <w:iCs w:val="false"/>
        </w:rPr>
        <w:t>, 37.</w:t>
      </w:r>
    </w:p>
  </w:footnote>
  <w:footnote w:id="33">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34">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134.</w:t>
      </w:r>
    </w:p>
  </w:footnote>
  <w:footnote w:id="35">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10-11.</w:t>
      </w:r>
    </w:p>
  </w:footnote>
  <w:footnote w:id="36">
    <w:p>
      <w:pPr>
        <w:pStyle w:val="FootnoteTex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37">
    <w:p>
      <w:pPr>
        <w:pStyle w:val="FootnoteTex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38">
    <w:p>
      <w:pPr>
        <w:pStyle w:val="FootnoteText"/>
        <w:rPr/>
      </w:pPr>
      <w:r>
        <w:rPr>
          <w:rStyle w:val="FootnoteCharacters"/>
        </w:rPr>
        <w:footnoteRef/>
      </w:r>
      <w:r>
        <w:rPr/>
        <w:tab/>
        <w:t xml:space="preserve">Valcárcel, </w:t>
      </w:r>
      <w:r>
        <w:rPr>
          <w:i/>
        </w:rPr>
        <w:t>El Proceso Del Putumayo y Sus Secretos Inauditos</w:t>
      </w:r>
      <w:r>
        <w:rPr/>
        <w:t>, 23.</w:t>
      </w:r>
    </w:p>
  </w:footnote>
  <w:footnote w:id="39">
    <w:p>
      <w:pPr>
        <w:pStyle w:val="FootnoteTex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40">
    <w:p>
      <w:pPr>
        <w:pStyle w:val="FootnoteText"/>
        <w:rPr/>
      </w:pPr>
      <w:r>
        <w:rPr>
          <w:rStyle w:val="FootnoteCharacters"/>
        </w:rPr>
        <w:footnoteRef/>
      </w:r>
      <w:r>
        <w:rPr>
          <w:shd w:fill="auto" w:val="clear"/>
        </w:rPr>
        <w:tab/>
        <w:t xml:space="preserve">Casement, </w:t>
      </w:r>
      <w:r>
        <w:rPr>
          <w:i/>
          <w:shd w:fill="auto" w:val="clear"/>
        </w:rPr>
        <w:t xml:space="preserve">Correspondence, </w:t>
      </w:r>
      <w:r>
        <w:rPr/>
        <w:t>11.</w:t>
      </w:r>
    </w:p>
  </w:footnote>
  <w:footnote w:id="41">
    <w:p>
      <w:pPr>
        <w:pStyle w:val="FootnoteText"/>
        <w:rPr/>
      </w:pPr>
      <w:r>
        <w:rPr>
          <w:rStyle w:val="FootnoteCharacters"/>
        </w:rPr>
        <w:footnoteRef/>
      </w:r>
      <w:r>
        <w:rPr>
          <w:shd w:fill="auto" w:val="clear"/>
        </w:rPr>
        <w:tab/>
        <w:t xml:space="preserve">Casement, </w:t>
      </w:r>
      <w:r>
        <w:rPr>
          <w:i/>
          <w:shd w:fill="auto" w:val="clear"/>
        </w:rPr>
        <w:t xml:space="preserve">Correspondence, </w:t>
      </w:r>
      <w:r>
        <w:rPr/>
        <w:t>11.</w:t>
      </w:r>
    </w:p>
  </w:footnote>
  <w:footnote w:id="42">
    <w:p>
      <w:pPr>
        <w:pStyle w:val="FootnoteText"/>
        <w:rPr/>
      </w:pPr>
      <w:r>
        <w:rPr>
          <w:rStyle w:val="FootnoteCharacters"/>
        </w:rPr>
        <w:footnoteRef/>
      </w:r>
      <w:r>
        <w:rPr>
          <w:shd w:fill="auto" w:val="clear"/>
        </w:rPr>
        <w:tab/>
        <w:t xml:space="preserve">Casement, </w:t>
      </w:r>
      <w:r>
        <w:rPr>
          <w:i/>
          <w:shd w:fill="auto" w:val="clear"/>
        </w:rPr>
        <w:t xml:space="preserve">Correspondence, </w:t>
      </w:r>
      <w:r>
        <w:rPr/>
        <w:t>14.</w:t>
      </w:r>
    </w:p>
  </w:footnote>
  <w:footnote w:id="43">
    <w:p>
      <w:pPr>
        <w:pStyle w:val="FootnoteText"/>
        <w:rPr/>
      </w:pPr>
      <w:r>
        <w:rPr>
          <w:rStyle w:val="FootnoteCharacters"/>
        </w:rPr>
        <w:footnoteRef/>
      </w:r>
      <w:r>
        <w:rPr>
          <w:shd w:fill="auto" w:val="clear"/>
        </w:rPr>
        <w:tab/>
        <w:t xml:space="preserve">Casement, </w:t>
      </w:r>
      <w:r>
        <w:rPr>
          <w:i/>
          <w:shd w:fill="auto" w:val="clear"/>
        </w:rPr>
        <w:t xml:space="preserve">Correspondence, </w:t>
      </w:r>
      <w:r>
        <w:rPr/>
        <w:t>13.</w:t>
      </w:r>
    </w:p>
  </w:footnote>
  <w:footnote w:id="44">
    <w:p>
      <w:pPr>
        <w:pStyle w:val="FootnoteTex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45">
    <w:p>
      <w:pPr>
        <w:pStyle w:val="FootnoteText"/>
        <w:rPr>
          <w:shd w:fill="auto" w:val="clear"/>
        </w:rPr>
      </w:pPr>
      <w:r>
        <w:rPr>
          <w:rStyle w:val="FootnoteCharacters"/>
        </w:rPr>
        <w:footnoteRef/>
      </w:r>
      <w:r>
        <w:rPr>
          <w:shd w:fill="auto" w:val="clear"/>
        </w:rPr>
        <w:tab/>
        <w:t>Taussig, “Culture of Terror,” 482.</w:t>
      </w:r>
    </w:p>
  </w:footnote>
  <w:footnote w:id="46">
    <w:p>
      <w:pPr>
        <w:pStyle w:val="FootnoteText"/>
        <w:rPr>
          <w:shd w:fill="auto" w:val="clear"/>
        </w:rPr>
      </w:pPr>
      <w:r>
        <w:rPr>
          <w:rStyle w:val="FootnoteCharacters"/>
        </w:rPr>
        <w:footnoteRef/>
      </w:r>
      <w:r>
        <w:rPr>
          <w:shd w:fill="auto" w:val="clear"/>
        </w:rPr>
        <w:tab/>
        <w:t>Taussig, “Culture of Terror,” 483-4.</w:t>
      </w:r>
    </w:p>
  </w:footnote>
  <w:footnote w:id="47">
    <w:p>
      <w:pPr>
        <w:pStyle w:val="FootnoteTex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48">
    <w:p>
      <w:pPr>
        <w:pStyle w:val="FootnoteTex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49">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50">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51">
    <w:p>
      <w:pPr>
        <w:pStyle w:val="FootnoteText"/>
        <w:rPr/>
      </w:pPr>
      <w:r>
        <w:rPr>
          <w:rStyle w:val="FootnoteCharacters"/>
        </w:rPr>
        <w:footnoteRef/>
      </w:r>
      <w:r>
        <w:rPr>
          <w:shd w:fill="auto" w:val="clear"/>
        </w:rPr>
        <w:tab/>
        <w:t xml:space="preserve">Casement, </w:t>
      </w:r>
      <w:r>
        <w:rPr>
          <w:i/>
          <w:shd w:fill="auto" w:val="clear"/>
        </w:rPr>
        <w:t xml:space="preserve">Correspondence, </w:t>
      </w:r>
      <w:r>
        <w:rPr/>
        <w:t>8.</w:t>
      </w:r>
    </w:p>
  </w:footnote>
  <w:footnote w:id="52">
    <w:p>
      <w:pPr>
        <w:pStyle w:val="FootnoteText"/>
        <w:rPr>
          <w:shd w:fill="FFFF00" w:val="clear"/>
        </w:rPr>
      </w:pPr>
      <w:r>
        <w:rPr>
          <w:rStyle w:val="FootnoteCharacters"/>
        </w:rPr>
        <w:footnoteRef/>
      </w:r>
      <w:r>
        <w:rPr>
          <w:shd w:fill="auto" w:val="clear"/>
        </w:rPr>
        <w:tab/>
        <w:t xml:space="preserve">Casement, </w:t>
      </w:r>
      <w:r>
        <w:rPr>
          <w:i/>
          <w:shd w:fill="auto" w:val="clear"/>
        </w:rPr>
        <w:t xml:space="preserve">Correspondence, </w:t>
      </w:r>
      <w:r>
        <w:rPr>
          <w:shd w:fill="FFFF00" w:val="clear"/>
        </w:rPr>
        <w:t>18.</w:t>
      </w:r>
    </w:p>
  </w:footnote>
  <w:footnote w:id="53">
    <w:p>
      <w:pPr>
        <w:pStyle w:val="FootnoteTex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FFFF00" w:val="clear"/>
        </w:rPr>
        <w:t>8.</w:t>
      </w:r>
    </w:p>
  </w:footnote>
  <w:footnote w:id="54">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55">
    <w:p>
      <w:pPr>
        <w:pStyle w:val="FootnoteText"/>
        <w:rPr/>
      </w:pPr>
      <w:r>
        <w:rPr>
          <w:rStyle w:val="FootnoteCharacters"/>
        </w:rPr>
        <w:footnoteRef/>
      </w:r>
      <w:r>
        <w:rPr>
          <w:shd w:fill="auto" w:val="clear"/>
        </w:rPr>
        <w:tab/>
        <w:t xml:space="preserve">Casement, </w:t>
      </w:r>
      <w:r>
        <w:rPr>
          <w:i/>
          <w:shd w:fill="auto" w:val="clear"/>
        </w:rPr>
        <w:t xml:space="preserve">Correspondence, </w:t>
      </w:r>
      <w:r>
        <w:rPr/>
        <w:t>22.</w:t>
      </w:r>
    </w:p>
  </w:footnote>
  <w:footnote w:id="56">
    <w:p>
      <w:pPr>
        <w:pStyle w:val="FootnoteTex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57">
    <w:p>
      <w:pPr>
        <w:pStyle w:val="FootnoteText"/>
        <w:rPr/>
      </w:pPr>
      <w:r>
        <w:rPr>
          <w:rStyle w:val="FootnoteCharacters"/>
        </w:rPr>
        <w:footnoteRef/>
      </w:r>
      <w:r>
        <w:rPr/>
        <w:tab/>
        <w:t xml:space="preserve">Marx, </w:t>
      </w:r>
      <w:r>
        <w:rPr>
          <w:i/>
        </w:rPr>
        <w:t>Capital</w:t>
      </w:r>
      <w:r>
        <w:rPr/>
        <w:t>, vol. 1, 911.</w:t>
      </w:r>
    </w:p>
  </w:footnote>
  <w:footnote w:id="58">
    <w:p>
      <w:pPr>
        <w:pStyle w:val="FootnoteText"/>
        <w:rPr/>
      </w:pPr>
      <w:r>
        <w:rPr>
          <w:rStyle w:val="FootnoteCharacters"/>
        </w:rPr>
        <w:footnoteRef/>
      </w:r>
      <w:r>
        <w:rPr/>
        <w:tab/>
        <w:t>Geoff Bertram, “End-Use Classification of Peruvian Imports, 1891-1972,” St Antonys College Oxford, 1977.</w:t>
      </w:r>
    </w:p>
  </w:footnote>
  <w:footnote w:id="59">
    <w:p>
      <w:pPr>
        <w:pStyle w:val="FootnoteTex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60">
    <w:p>
      <w:pPr>
        <w:pStyle w:val="FootnoteTex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61">
    <w:p>
      <w:pPr>
        <w:pStyle w:val="FootnoteTex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62">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63">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64">
    <w:p>
      <w:pPr>
        <w:pStyle w:val="FootnoteTex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65">
    <w:p>
      <w:pPr>
        <w:pStyle w:val="FootnoteTex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66">
    <w:p>
      <w:pPr>
        <w:pStyle w:val="FootnoteTex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67">
    <w:p>
      <w:pPr>
        <w:pStyle w:val="FootnoteText"/>
        <w:rPr/>
      </w:pPr>
      <w:r>
        <w:rPr>
          <w:rStyle w:val="FootnoteCharacters"/>
        </w:rPr>
        <w:footnoteRef/>
      </w:r>
      <w:r>
        <w:rPr/>
        <w:tab/>
        <w:t>Echeverri, “The Putumayo Indians and the Rubber Boom,” 17.</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bookmarkStart w:id="0" w:name="PageNumWizard_HEADER_Default_Page_Style5"/>
    <w:bookmarkStart w:id="1" w:name="PageNumWizard_HEADER_Default_Page_Style5"/>
    <w:bookmarkEnd w:id="1"/>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bookmarkStart w:id="2" w:name="PageNumWizard_HEADER_Default_Page_Style5"/>
    <w:bookmarkStart w:id="3" w:name="PageNumWizard_HEADER_Default_Page_Style5"/>
    <w:bookmarkEnd w:id="3"/>
  </w:p>
</w:hdr>
</file>

<file path=word/settings.xml><?xml version="1.0" encoding="utf-8"?>
<w:settings xmlns:w="http://schemas.openxmlformats.org/wordprocessingml/2006/main">
  <w:zoom w:percent="65"/>
  <w:defaultTabStop w:val="709"/>
  <w:autoHyphenation w:val="true"/>
  <w:footnotePr>
    <w:numFmt w:val="decimal"/>
    <w:footnote w:id="0"/>
    <w:footnote w:id="1"/>
  </w:footnotePr>
  <w:compat>
    <w:doNotBreakWrappedTables/>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986"/>
        <w:tab w:val="clear" w:pos="9972"/>
        <w:tab w:val="center" w:pos="4680" w:leader="none"/>
        <w:tab w:val="right" w:pos="9360"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1218</TotalTime>
  <Application>LibreOffice/24.2.7.2$Linux_X86_64 LibreOffice_project/420$Build-2</Application>
  <AppVersion>15.0000</AppVersion>
  <Pages>32</Pages>
  <Words>10027</Words>
  <Characters>51860</Characters>
  <CharactersWithSpaces>61837</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2025-10-10T13:35:02Z</dcterms:created>
  <dc:creator/>
  <dc:description/>
  <dc:language>en-US</dc:language>
  <cp:lastModifiedBy/>
  <cp:lastPrinted>2026-05-27T11:14:31Z</cp:lastPrinted>
  <dcterms:modified xsi:type="dcterms:W3CDTF">2026-06-03T10:28:04Z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