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settings.xml" ContentType="application/vnd.openxmlformats-officedocument.wordprocessingml.settings+xml"/>
  <Override PartName="/word/footer1.xml" ContentType="application/vnd.openxmlformats-officedocument.wordprocessingml.footer+xml"/>
  <Override PartName="/word/comments.xml" ContentType="application/vnd.openxmlformats-officedocument.wordprocessingml.comments+xml"/>
  <Override PartName="/word/footnotes.xml" ContentType="application/vnd.openxmlformats-officedocument.wordprocessingml.footnotes+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lineRule="auto" w:line="480" w:before="0" w:after="0"/>
        <w:ind w:firstLine="720" w:start="0" w:end="0"/>
        <w:jc w:val="center"/>
        <w:rPr>
          <w:rFonts w:ascii="Liberation Serif" w:hAnsi="Liberation Serif"/>
          <w:b/>
          <w:i w:val="false"/>
          <w:i w:val="false"/>
          <w:sz w:val="24"/>
          <w:szCs w:val="24"/>
        </w:rPr>
      </w:pPr>
      <w:bookmarkStart w:id="0" w:name="_d1mvoqxbkobt"/>
      <w:bookmarkEnd w:id="0"/>
      <w:r>
        <w:rPr>
          <w:rFonts w:ascii="Liberation Serif" w:hAnsi="Liberation Serif"/>
          <w:b/>
          <w:i w:val="false"/>
          <w:sz w:val="24"/>
          <w:szCs w:val="24"/>
        </w:rPr>
        <w:t xml:space="preserve"> </w:t>
      </w:r>
      <w:r>
        <w:rPr>
          <w:rFonts w:ascii="Liberation Serif" w:hAnsi="Liberation Serif"/>
          <w:b/>
          <w:i w:val="false"/>
          <w:sz w:val="24"/>
          <w:szCs w:val="24"/>
        </w:rPr>
        <w:t>The Fordist Revolution: Social Reproduction, Commodity Chains, and the Global Division of Labor</w:t>
      </w:r>
    </w:p>
    <w:p>
      <w:pPr>
        <w:pStyle w:val="Heading1"/>
        <w:spacing w:lineRule="auto" w:line="480" w:before="0" w:after="0"/>
        <w:ind w:firstLine="720" w:start="0" w:end="0"/>
        <w:rPr>
          <w:rFonts w:ascii="Liberation Serif" w:hAnsi="Liberation Serif"/>
          <w:sz w:val="24"/>
          <w:szCs w:val="24"/>
        </w:rPr>
      </w:pPr>
      <w:r>
        <w:rPr>
          <w:rFonts w:ascii="Liberation Serif" w:hAnsi="Liberation Serif"/>
          <w:sz w:val="24"/>
          <w:szCs w:val="24"/>
        </w:rPr>
      </w:r>
      <w:bookmarkStart w:id="1" w:name="_6f2shsuos59"/>
      <w:bookmarkStart w:id="2" w:name="_6f2shsuos59"/>
      <w:bookmarkEnd w:id="2"/>
    </w:p>
    <w:p>
      <w:pPr>
        <w:pStyle w:val="Heading1"/>
        <w:spacing w:lineRule="auto" w:line="480" w:before="0" w:after="0"/>
        <w:ind w:hanging="0" w:start="0" w:end="0"/>
        <w:rPr>
          <w:b/>
          <w:bCs/>
          <w:i w:val="false"/>
          <w:i w:val="false"/>
          <w:iCs w:val="false"/>
        </w:rPr>
      </w:pPr>
      <w:bookmarkStart w:id="3" w:name="_lp6lxj2p1g3s"/>
      <w:bookmarkEnd w:id="3"/>
      <w:r>
        <w:rPr>
          <w:rFonts w:ascii="Liberation Serif" w:hAnsi="Liberation Serif"/>
          <w:b/>
          <w:bCs/>
          <w:i w:val="false"/>
          <w:iCs w:val="false"/>
          <w:sz w:val="24"/>
          <w:szCs w:val="24"/>
        </w:rPr>
        <w:t>Introduction</w:t>
      </w:r>
    </w:p>
    <w:p>
      <w:pPr>
        <w:pStyle w:val="Normal"/>
        <w:spacing w:lineRule="auto" w:line="480" w:before="0" w:after="0"/>
        <w:ind w:firstLine="720" w:start="0" w:end="0"/>
        <w:rPr>
          <w:rFonts w:ascii="Liberation Serif" w:hAnsi="Liberation Serif"/>
          <w:sz w:val="24"/>
          <w:szCs w:val="24"/>
        </w:rPr>
      </w:pPr>
      <w:r>
        <w:rPr>
          <w:rFonts w:ascii="Liberation Serif" w:hAnsi="Liberation Serif"/>
          <w:sz w:val="24"/>
          <w:szCs w:val="24"/>
        </w:rPr>
        <w:t xml:space="preserve">Fordism has been a slippery concept within historical writing over the last 100 years. Although labor historians and economists agree that it is a central moment in both American and global economic history, there is little agreement on what Fordism actually </w:t>
      </w:r>
      <w:r>
        <w:rPr>
          <w:rFonts w:ascii="Liberation Serif" w:hAnsi="Liberation Serif"/>
          <w:i/>
          <w:sz w:val="24"/>
          <w:szCs w:val="24"/>
        </w:rPr>
        <w:t>is</w:t>
      </w:r>
      <w:r>
        <w:rPr>
          <w:rFonts w:ascii="Liberation Serif" w:hAnsi="Liberation Serif"/>
          <w:sz w:val="24"/>
          <w:szCs w:val="24"/>
        </w:rPr>
        <w:t>. In 1990, in a talk humorously titled “What in the F—’s name is Fordism”, British sociologist Simon Clarke noted the imprecision in discussions of Fordism and whatever non-Fordist capitalist epoch is supposed to be its successor: “Much energy has been expended in debating the diffuse characterizations of ‘Not-Fordism’. However, much less attention has been paid to the characterisation of Fordism.”</w:t>
      </w:r>
      <w:r>
        <w:rPr>
          <w:rStyle w:val="FootnoteReference"/>
          <w:rFonts w:ascii="Liberation Serif" w:hAnsi="Liberation Serif"/>
          <w:sz w:val="24"/>
          <w:szCs w:val="24"/>
          <w:vertAlign w:val="superscript"/>
        </w:rPr>
        <w:footnoteReference w:id="2"/>
      </w:r>
      <w:r>
        <w:rPr>
          <w:rFonts w:ascii="Liberation Serif" w:hAnsi="Liberation Serif"/>
          <w:sz w:val="24"/>
          <w:szCs w:val="24"/>
        </w:rPr>
        <w:t xml:space="preserve"> Even the popular legacy of Henry Ford himself is deeply ambivalent. He was a benefactor who improved the lives of his workers and a tyrant whose Sociological Department spied on their personal lives; he created the modern middle class but also initiated </w:t>
      </w:r>
      <w:r>
        <w:rPr>
          <w:rFonts w:ascii="Liberation Serif" w:hAnsi="Liberation Serif"/>
          <w:sz w:val="24"/>
          <w:szCs w:val="24"/>
        </w:rPr>
        <w:t>the</w:t>
      </w:r>
      <w:r>
        <w:rPr>
          <w:rFonts w:ascii="Liberation Serif" w:hAnsi="Liberation Serif"/>
          <w:sz w:val="24"/>
          <w:szCs w:val="24"/>
        </w:rPr>
        <w:t xml:space="preserve"> culture of consumption that is currently eating the planet; he was a humanitarian who founded schools for the his mostly immigrant employees and he was a vociferous anti-semite. Only one thing is uniformly agreed upon: Fordism represented a genuine break with existing patterns of production in capitalist society; it was a revolution. </w:t>
      </w:r>
    </w:p>
    <w:p>
      <w:pPr>
        <w:pStyle w:val="Normal"/>
        <w:spacing w:lineRule="auto" w:line="480" w:before="0" w:after="0"/>
        <w:ind w:firstLine="720" w:start="0" w:end="0"/>
        <w:rPr>
          <w:rFonts w:ascii="Liberation Serif" w:hAnsi="Liberation Serif"/>
          <w:sz w:val="24"/>
          <w:szCs w:val="24"/>
        </w:rPr>
      </w:pPr>
      <w:r>
        <w:rPr>
          <w:rFonts w:ascii="Liberation Serif" w:hAnsi="Liberation Serif"/>
          <w:sz w:val="24"/>
          <w:szCs w:val="24"/>
        </w:rPr>
        <w:t>The boundaries of this revolution are blurred. Daniel Watson identifies two main approaches to Fordism: a narrow view of Fordism as a system of mass production centered around Henry Ford’s innovative assembly line, and a broader view of Fordism as a “phase of capitalist development taking place several decades after the heyday of the Ford Motor Company” that is characterized by a “careful balance in the american economy between mass production and mass consumption and an increase in the wage rate and social provisions for workers”.</w:t>
      </w:r>
      <w:r>
        <w:rPr>
          <w:rStyle w:val="FootnoteReference"/>
          <w:rFonts w:ascii="Liberation Serif" w:hAnsi="Liberation Serif"/>
          <w:sz w:val="24"/>
          <w:szCs w:val="24"/>
          <w:vertAlign w:val="superscript"/>
        </w:rPr>
        <w:footnoteReference w:id="3"/>
      </w:r>
      <w:r>
        <w:rPr>
          <w:rFonts w:ascii="Liberation Serif" w:hAnsi="Liberation Serif"/>
          <w:sz w:val="24"/>
          <w:szCs w:val="24"/>
        </w:rPr>
        <w:t xml:space="preserve"> In this broader view, the Fordist era was initiated by Henry Ford’s productive innovations, but was not fully realized until decades later. I am partial to this latter interpretation of Fordism, and I see Fordism as a global phenomenon, but I also appreciate the specificity of narrowly grounding the Fordist break in the early automotive industry in Michigan. It is not true that mass consumption, rationalization of labor, and </w:t>
      </w:r>
      <w:commentRangeStart w:id="0"/>
      <w:r>
        <w:rPr>
          <w:rFonts w:ascii="Liberation Serif" w:hAnsi="Liberation Serif"/>
          <w:sz w:val="24"/>
          <w:szCs w:val="24"/>
        </w:rPr>
        <w:t>social provision</w:t>
      </w:r>
      <w:r>
        <w:rPr>
          <w:rFonts w:ascii="Liberation Serif" w:hAnsi="Liberation Serif"/>
          <w:sz w:val="24"/>
          <w:szCs w:val="24"/>
        </w:rPr>
      </w:r>
      <w:commentRangeEnd w:id="0"/>
      <w:r>
        <w:commentReference w:id="0"/>
      </w:r>
      <w:r>
        <w:rPr>
          <w:rFonts w:ascii="Liberation Serif" w:hAnsi="Liberation Serif"/>
          <w:sz w:val="24"/>
          <w:szCs w:val="24"/>
        </w:rPr>
        <w:t xml:space="preserve"> for workers were truly exported around the world. Rather, the social gains granted to (some) workers were propped up by a deepening of labor stratification both locally and globally.</w:t>
      </w:r>
    </w:p>
    <w:p>
      <w:pPr>
        <w:pStyle w:val="Normal"/>
        <w:spacing w:lineRule="auto" w:line="480" w:before="0" w:after="0"/>
        <w:ind w:firstLine="720" w:start="0" w:end="0"/>
        <w:rPr>
          <w:rFonts w:ascii="Liberation Serif" w:hAnsi="Liberation Serif"/>
          <w:sz w:val="24"/>
          <w:szCs w:val="24"/>
        </w:rPr>
      </w:pPr>
      <w:r>
        <w:rPr>
          <w:rFonts w:ascii="Liberation Serif" w:hAnsi="Liberation Serif"/>
          <w:sz w:val="24"/>
          <w:szCs w:val="24"/>
        </w:rPr>
        <w:t xml:space="preserve">Writing in 1982 Alain Lipietz, characterizes the rise of Fordism as an object of economic history, noting that </w:t>
      </w:r>
    </w:p>
    <w:p>
      <w:pPr>
        <w:pStyle w:val="Normal"/>
        <w:spacing w:lineRule="auto" w:line="240" w:before="0" w:after="200"/>
        <w:ind w:hanging="0" w:start="720" w:end="0"/>
        <w:rPr>
          <w:rFonts w:ascii="Liberation Serif" w:hAnsi="Liberation Serif"/>
          <w:sz w:val="24"/>
          <w:szCs w:val="24"/>
        </w:rPr>
      </w:pPr>
      <w:r>
        <w:rPr>
          <w:rFonts w:ascii="Liberation Serif" w:hAnsi="Liberation Serif"/>
          <w:sz w:val="24"/>
          <w:szCs w:val="24"/>
        </w:rPr>
        <w:t>in three ‘glorious’ post-war decades, a crucial change was introduced by the system of capitalist accumulation that various French economists, following Gramsci, have baptized ‘Fordism.’ A ‘centre’, displaying a cohesive internal logic at the level of blocs (North America, the EEC) if not individual countries, came to stand against a ‘periphery’ which, whatever the internal dynamic of its component parts, was ever more disconnected from this ‘autocentred’ logic.</w:t>
      </w:r>
      <w:r>
        <w:rPr>
          <w:rStyle w:val="FootnoteReference"/>
          <w:rFonts w:ascii="Liberation Serif" w:hAnsi="Liberation Serif"/>
          <w:sz w:val="24"/>
          <w:szCs w:val="24"/>
          <w:vertAlign w:val="superscript"/>
        </w:rPr>
        <w:footnoteReference w:id="4"/>
      </w:r>
    </w:p>
    <w:p>
      <w:pPr>
        <w:pStyle w:val="Normal"/>
        <w:spacing w:lineRule="auto" w:line="480" w:before="0" w:after="0"/>
        <w:rPr>
          <w:rFonts w:ascii="Liberation Serif" w:hAnsi="Liberation Serif"/>
          <w:sz w:val="24"/>
          <w:szCs w:val="24"/>
        </w:rPr>
      </w:pPr>
      <w:r>
        <w:rPr>
          <w:rFonts w:ascii="Liberation Serif" w:hAnsi="Liberation Serif"/>
          <w:sz w:val="24"/>
          <w:szCs w:val="24"/>
        </w:rPr>
        <w:t xml:space="preserve">However Lipietz immediately questions whether we can even “speak of a world-wide extension of Fordism,” noting that during the late 1960s and early 1970s, the economic periphery experienced uninterrupted growth while the economic core went into a production crisis. Indeed, the industrialization of the periphery was not a slow march </w:t>
      </w:r>
      <w:r>
        <w:rPr>
          <w:rFonts w:ascii="Liberation Serif" w:hAnsi="Liberation Serif"/>
          <w:sz w:val="24"/>
          <w:szCs w:val="24"/>
        </w:rPr>
        <w:t>following in</w:t>
      </w:r>
      <w:r>
        <w:rPr>
          <w:rFonts w:ascii="Liberation Serif" w:hAnsi="Liberation Serif"/>
          <w:sz w:val="24"/>
          <w:szCs w:val="24"/>
        </w:rPr>
        <w:t xml:space="preserve"> the footsteps of the core, but was its own specific development, conditioned by and conditioning the dynamics of accumulation in the United States and Europe. Although Lipietz was writing about the mid-twentieth century, his questioning of neat divisions between the core and periphery, and of stagist narratives of Fordism are relevant to the global dynamics which were already present in the early automotive industry, decades before anybody considered Fordism to be a global phenomenon.</w:t>
      </w:r>
    </w:p>
    <w:p>
      <w:pPr>
        <w:pStyle w:val="Normal"/>
        <w:spacing w:lineRule="auto" w:line="480" w:before="0" w:after="0"/>
        <w:ind w:firstLine="720" w:start="0" w:end="0"/>
        <w:rPr>
          <w:rFonts w:ascii="Liberation Serif" w:hAnsi="Liberation Serif"/>
          <w:sz w:val="24"/>
          <w:szCs w:val="24"/>
        </w:rPr>
      </w:pPr>
      <w:r>
        <w:rPr>
          <w:rFonts w:ascii="Liberation Serif" w:hAnsi="Liberation Serif"/>
          <w:sz w:val="24"/>
          <w:szCs w:val="24"/>
        </w:rPr>
        <w:t>Simple</w:t>
      </w:r>
      <w:r>
        <w:rPr>
          <w:rFonts w:ascii="Liberation Serif" w:hAnsi="Liberation Serif"/>
          <w:sz w:val="24"/>
          <w:szCs w:val="24"/>
        </w:rPr>
        <w:t xml:space="preserve"> narratives about the Fordist worker and the family wage do not hold up to scrutiny. In Michigan’s auto factories in the first decades of the twentieth century, local workers were increasingly divided into two camps. On the one hand, manufacturing tasks were decomposed into minimal parts, rationalized to the extreme and voided of intellectual stimulation. On the other hand, a great class of managers and engineers was cultivated to design the machines and processes that would combine the decomposed labor of others into finished products - following a managerial revolution that Alfred D. Chandler called the ‘visible hand’ of the market.</w:t>
      </w:r>
      <w:r>
        <w:rPr>
          <w:rStyle w:val="FootnoteReference"/>
          <w:rFonts w:ascii="Liberation Serif" w:hAnsi="Liberation Serif"/>
          <w:sz w:val="24"/>
          <w:szCs w:val="24"/>
          <w:vertAlign w:val="superscript"/>
        </w:rPr>
        <w:footnoteReference w:id="5"/>
      </w:r>
      <w:r>
        <w:rPr>
          <w:rFonts w:ascii="Liberation Serif" w:hAnsi="Liberation Serif"/>
          <w:sz w:val="24"/>
          <w:szCs w:val="24"/>
        </w:rPr>
        <w:t xml:space="preserve"> Outside the factories, the living conditions of workers were similarly divided. Skilled and semi-skilled workers, mostly white, </w:t>
      </w:r>
      <w:commentRangeStart w:id="1"/>
      <w:r>
        <w:rPr>
          <w:rFonts w:ascii="Liberation Serif" w:hAnsi="Liberation Serif"/>
          <w:sz w:val="24"/>
          <w:szCs w:val="24"/>
        </w:rPr>
        <w:t>were inducted into a class of homeowners</w:t>
      </w:r>
      <w:r>
        <w:rPr>
          <w:rFonts w:ascii="Liberation Serif" w:hAnsi="Liberation Serif"/>
          <w:sz w:val="24"/>
          <w:szCs w:val="24"/>
        </w:rPr>
      </w:r>
      <w:commentRangeEnd w:id="1"/>
      <w:r>
        <w:commentReference w:id="1"/>
      </w:r>
      <w:r>
        <w:rPr>
          <w:rFonts w:ascii="Liberation Serif" w:hAnsi="Liberation Serif"/>
          <w:sz w:val="24"/>
          <w:szCs w:val="24"/>
        </w:rPr>
        <w:t xml:space="preserve">, while racialized and menial laborers often lived in crowded slums. </w:t>
      </w:r>
    </w:p>
    <w:p>
      <w:pPr>
        <w:pStyle w:val="Normal"/>
        <w:spacing w:lineRule="auto" w:line="480" w:before="0" w:after="0"/>
        <w:ind w:firstLine="720" w:start="0" w:end="0"/>
        <w:rPr>
          <w:rFonts w:ascii="Liberation Serif" w:hAnsi="Liberation Serif"/>
          <w:sz w:val="24"/>
          <w:szCs w:val="24"/>
        </w:rPr>
      </w:pPr>
      <w:r>
        <w:rPr>
          <w:rFonts w:ascii="Liberation Serif" w:hAnsi="Liberation Serif"/>
          <w:sz w:val="24"/>
          <w:szCs w:val="24"/>
        </w:rPr>
        <w:t xml:space="preserve">Of course, the labor that contributed to the manufacturing of automobiles was not confined to factory work. Raw materials had to be imported - especially rubber which needed to be sourced from the global south. The stratified labor market in industrial Michigan was mirrored by a global division of labor, in which wild rubber harvesters in the Amazon and the Congo, and to a lesser extent the later rubber plantation workers in southeast Asia, occupied an intensely degraded position. The labor conditions were harsh, and so were the living conditions. </w:t>
      </w:r>
    </w:p>
    <w:p>
      <w:pPr>
        <w:pStyle w:val="Normal"/>
        <w:spacing w:lineRule="auto" w:line="480" w:before="0" w:after="0"/>
        <w:ind w:firstLine="720" w:start="0" w:end="0"/>
        <w:rPr>
          <w:rFonts w:ascii="Liberation Serif" w:hAnsi="Liberation Serif"/>
          <w:sz w:val="24"/>
          <w:szCs w:val="24"/>
        </w:rPr>
      </w:pPr>
      <w:r>
        <w:rPr>
          <w:rFonts w:ascii="Liberation Serif" w:hAnsi="Liberation Serif"/>
          <w:sz w:val="24"/>
          <w:szCs w:val="24"/>
        </w:rPr>
        <w:t xml:space="preserve">This </w:t>
      </w:r>
      <w:r>
        <w:rPr>
          <w:rFonts w:ascii="Liberation Serif" w:hAnsi="Liberation Serif"/>
          <w:sz w:val="24"/>
          <w:szCs w:val="24"/>
        </w:rPr>
        <w:t>chapter</w:t>
      </w:r>
      <w:r>
        <w:rPr>
          <w:rFonts w:ascii="Liberation Serif" w:hAnsi="Liberation Serif"/>
          <w:sz w:val="24"/>
          <w:szCs w:val="24"/>
        </w:rPr>
        <w:t xml:space="preserve"> takes up early labor stratification in the automotive industry and the methods used to create and discipline it. Keeping the complications listed above in mind, I hope to situate early Fordist production within the birth of what Giovanni Arrighi called the “US systemic cycle of accumulation” - the period of historical capitalism covering much of the twentieth century when the United States dominated global capitalist accumulation. According to Arrighi, this cycle of accumulation was distinguished by “an internalization of transaction costs,”</w:t>
      </w:r>
      <w:r>
        <w:rPr>
          <w:rStyle w:val="FootnoteReference"/>
          <w:rFonts w:ascii="Liberation Serif" w:hAnsi="Liberation Serif"/>
          <w:sz w:val="24"/>
          <w:szCs w:val="24"/>
          <w:vertAlign w:val="superscript"/>
        </w:rPr>
        <w:footnoteReference w:id="6"/>
      </w:r>
      <w:r>
        <w:rPr>
          <w:rFonts w:ascii="Liberation Serif" w:hAnsi="Liberation Serif"/>
          <w:sz w:val="24"/>
          <w:szCs w:val="24"/>
        </w:rPr>
        <w:t xml:space="preserve"> in which firms vertically integrated in order to retain the surplus value otherwise lost through the purchase of inputs. The scope of this integration was explicitly global, as accumulation in the core has historically been dependent on the exploitation of peripheral regions, and as the working conditions in the periphery responded to demands of accumulation in the core.  However, the methods of production and labor control closely related to Fordism, such as assembly lines, the decomposition of tasks, and a family wage, were </w:t>
      </w:r>
      <w:r>
        <w:rPr>
          <w:rFonts w:ascii="Liberation Serif" w:hAnsi="Liberation Serif"/>
          <w:i/>
          <w:sz w:val="24"/>
          <w:szCs w:val="24"/>
        </w:rPr>
        <w:t>not</w:t>
      </w:r>
      <w:r>
        <w:rPr>
          <w:rFonts w:ascii="Liberation Serif" w:hAnsi="Liberation Serif"/>
          <w:sz w:val="24"/>
          <w:szCs w:val="24"/>
        </w:rPr>
        <w:t xml:space="preserve"> generalized globally. This raises the question of how vertical integration was effected across national lines, or perhaps more accurately, what were the effects of Fordist production practices in the core on labor conditions in the periphery?</w:t>
      </w:r>
    </w:p>
    <w:p>
      <w:pPr>
        <w:pStyle w:val="Normal"/>
        <w:spacing w:lineRule="auto" w:line="480" w:before="0" w:after="0"/>
        <w:ind w:firstLine="720" w:start="0" w:end="0"/>
        <w:rPr>
          <w:rFonts w:ascii="Liberation Serif" w:hAnsi="Liberation Serif"/>
          <w:sz w:val="24"/>
          <w:szCs w:val="24"/>
        </w:rPr>
      </w:pPr>
      <w:r>
        <w:rPr>
          <w:rFonts w:ascii="Liberation Serif" w:hAnsi="Liberation Serif"/>
          <w:sz w:val="24"/>
          <w:szCs w:val="24"/>
        </w:rPr>
        <w:t>The second purpose of this chapter is to look at social reproduction within this global context - and especially to highlight the centrality of housing to Fordist social policy. Linking these two concepts - the global scope of early Fordism and its regime of social reproduction - is the commodity chain. Wallerstein and Hopkins used the term commodity chain to conceptualize the interconnectedness of global capitalism: “take an ultimate consumable item and trace back the set of inputs that culminated in this item - the prior transformations, the raw materials, the transportation mechanisms, the labor input into each of the material processes, the food inputs into the labor.”</w:t>
      </w:r>
      <w:r>
        <w:rPr>
          <w:rStyle w:val="FootnoteReference"/>
          <w:rFonts w:ascii="Liberation Serif" w:hAnsi="Liberation Serif"/>
          <w:sz w:val="24"/>
          <w:szCs w:val="24"/>
          <w:vertAlign w:val="superscript"/>
        </w:rPr>
        <w:footnoteReference w:id="7"/>
      </w:r>
      <w:r>
        <w:rPr>
          <w:rFonts w:ascii="Liberation Serif" w:hAnsi="Liberation Serif"/>
          <w:sz w:val="24"/>
          <w:szCs w:val="24"/>
        </w:rPr>
        <w:t xml:space="preserve"> The commodity chain is the axis along which Fordist firms tried to integrate, but this chain includes more than just raw materials and the labor that works them: it is imbricated with “the reproduction of the labor forces involved in these productive activities.”</w:t>
      </w:r>
      <w:r>
        <w:rPr>
          <w:rStyle w:val="FootnoteReference"/>
          <w:rFonts w:ascii="Liberation Serif" w:hAnsi="Liberation Serif"/>
          <w:sz w:val="24"/>
          <w:szCs w:val="24"/>
          <w:vertAlign w:val="superscript"/>
        </w:rPr>
        <w:footnoteReference w:id="8"/>
      </w:r>
      <w:r>
        <w:rPr>
          <w:rFonts w:ascii="Liberation Serif" w:hAnsi="Liberation Serif"/>
          <w:sz w:val="24"/>
          <w:szCs w:val="24"/>
        </w:rPr>
        <w:t xml:space="preserve"> This paper aims to look at the configuration of working class housing as a component of social reproduction along the global Fordist commodity chains. The scope of this chapter will focus primarily on the origins of Fordism: the production of automobiles in the first decades of the twentieth century. By clarifying the stakes of early Fordism as a global project, and housing as one of its crucial tools, I hope to prepare the ground for a broader investigation of the manipulation of working-class housing as constituent of the capitalist world-system. </w:t>
      </w:r>
    </w:p>
    <w:p>
      <w:pPr>
        <w:pStyle w:val="Normal"/>
        <w:spacing w:lineRule="auto" w:line="480" w:before="0" w:after="0"/>
        <w:ind w:firstLine="720" w:start="0" w:end="0"/>
        <w:rPr>
          <w:rFonts w:ascii="Liberation Serif" w:hAnsi="Liberation Serif"/>
          <w:sz w:val="24"/>
          <w:szCs w:val="24"/>
        </w:rPr>
      </w:pPr>
      <w:r>
        <w:rPr>
          <w:rFonts w:ascii="Liberation Serif" w:hAnsi="Liberation Serif"/>
          <w:sz w:val="24"/>
          <w:szCs w:val="24"/>
        </w:rPr>
      </w:r>
    </w:p>
    <w:p>
      <w:pPr>
        <w:pStyle w:val="Heading1"/>
        <w:spacing w:lineRule="auto" w:line="480" w:before="0" w:after="0"/>
        <w:ind w:hanging="0" w:start="0" w:end="0"/>
        <w:rPr>
          <w:b/>
          <w:bCs/>
          <w:i w:val="false"/>
          <w:i w:val="false"/>
          <w:iCs w:val="false"/>
        </w:rPr>
      </w:pPr>
      <w:bookmarkStart w:id="4" w:name="_wn5wa6q13dn"/>
      <w:bookmarkEnd w:id="4"/>
      <w:r>
        <w:rPr>
          <w:rFonts w:ascii="Liberation Serif" w:hAnsi="Liberation Serif"/>
          <w:b/>
          <w:bCs/>
          <w:i w:val="false"/>
          <w:iCs w:val="false"/>
          <w:sz w:val="24"/>
          <w:szCs w:val="24"/>
        </w:rPr>
        <w:t>Fordism</w:t>
      </w:r>
    </w:p>
    <w:p>
      <w:pPr>
        <w:pStyle w:val="Normal"/>
        <w:spacing w:lineRule="auto" w:line="480" w:before="0" w:after="0"/>
        <w:ind w:firstLine="720" w:start="0" w:end="0"/>
        <w:rPr>
          <w:rFonts w:ascii="Liberation Serif" w:hAnsi="Liberation Serif"/>
          <w:sz w:val="24"/>
          <w:szCs w:val="24"/>
        </w:rPr>
      </w:pPr>
      <w:r>
        <w:rPr>
          <w:rFonts w:ascii="Liberation Serif" w:hAnsi="Liberation Serif"/>
          <w:sz w:val="24"/>
          <w:szCs w:val="24"/>
        </w:rPr>
        <w:t>It would be controversial to identify ‘Fordism’ as such solely with the practices of the Ford Motor Company and its competitors in the auto industry. Certainly there is a relationship between Ford and Fordism, but they are not identical. And if we take the ‘world of production’ to mean all production practices across the globe, then characterizing it as ‘Fordist’ is certainly untenable - although it may be dominated by Fordism in a certain sense. For the time being, let us set aside the question of the ‘world of production’ and try to clarify just what is meant by the word ‘Fordism’.</w:t>
      </w:r>
    </w:p>
    <w:p>
      <w:pPr>
        <w:pStyle w:val="Normal"/>
        <w:spacing w:lineRule="auto" w:line="480" w:before="0" w:after="0"/>
        <w:ind w:firstLine="720" w:start="0" w:end="0"/>
        <w:rPr>
          <w:rFonts w:ascii="Liberation Serif" w:hAnsi="Liberation Serif"/>
          <w:sz w:val="24"/>
          <w:szCs w:val="24"/>
        </w:rPr>
      </w:pPr>
      <w:r>
        <w:rPr>
          <w:rFonts w:ascii="Liberation Serif" w:hAnsi="Liberation Serif"/>
          <w:sz w:val="24"/>
          <w:szCs w:val="24"/>
        </w:rPr>
        <w:t xml:space="preserve">In the popular imagination, Fordism comprises two moments of personal genius: Henry Ford’s implementation of the automated assembly line and his institution of a family wage with the Five Dollar Day. Ford notoriously combined these principles in his River Rouge factory, a single complex that took raw inputs and used well-paid, middle class laborers to turn them into cars. His win-win solution to the antagonism of labor and capital transformed American life, and facilitated the dominance of US industry on the world stage. He combined innovation on the shop floor with a reconfiguration of family life, ushering in the modern middle class and an era of mass consumerism. </w:t>
      </w:r>
    </w:p>
    <w:p>
      <w:pPr>
        <w:pStyle w:val="Normal"/>
        <w:spacing w:lineRule="auto" w:line="480" w:before="0" w:after="0"/>
        <w:ind w:firstLine="720" w:start="0" w:end="0"/>
        <w:rPr>
          <w:rFonts w:ascii="Liberation Serif" w:hAnsi="Liberation Serif"/>
          <w:sz w:val="24"/>
          <w:szCs w:val="24"/>
        </w:rPr>
      </w:pPr>
      <w:r>
        <w:rPr>
          <w:rFonts w:ascii="Liberation Serif" w:hAnsi="Liberation Serif"/>
          <w:sz w:val="24"/>
          <w:szCs w:val="24"/>
        </w:rPr>
        <w:t xml:space="preserve">This popular conception is problematic on several counts. Ford’s production practices were genuinely innovative, but they were often adopted and improved upon by his competitors - notably General Motors. Ford’s most famous social policy, the Five Dollar Day, was not a universal wage increase, but a profit share given only to employees whose private lives were approved by agents of the Ford Sociological Association. Further, although both of these practices were implemented by the Ford Motor Company before the first world war, they were not generalized on a national scale until the 1940s. </w:t>
      </w:r>
    </w:p>
    <w:p>
      <w:pPr>
        <w:pStyle w:val="Normal"/>
        <w:spacing w:lineRule="auto" w:line="480" w:before="0" w:after="0"/>
        <w:ind w:firstLine="720" w:start="0" w:end="0"/>
        <w:rPr>
          <w:rFonts w:ascii="Liberation Serif" w:hAnsi="Liberation Serif"/>
          <w:sz w:val="24"/>
          <w:szCs w:val="24"/>
        </w:rPr>
      </w:pPr>
      <w:r>
        <w:rPr>
          <w:rFonts w:ascii="Liberation Serif" w:hAnsi="Liberation Serif"/>
          <w:sz w:val="24"/>
          <w:szCs w:val="24"/>
        </w:rPr>
        <w:t xml:space="preserve">Michel Aglietta provides us with a classic structuralist account of Fordism as a generalized set of production principles, historicizing it within the long cycles of historical capitalism. For Aglietta, although Fordist practices may have originated in the auto industry, Fordism represents a societal-level shift in the relations of production and the reproduction of capital. </w:t>
      </w:r>
      <w:commentRangeStart w:id="2"/>
      <w:r>
        <w:rPr>
          <w:rFonts w:ascii="Liberation Serif" w:hAnsi="Liberation Serif"/>
          <w:sz w:val="24"/>
          <w:szCs w:val="24"/>
        </w:rPr>
        <w:t xml:space="preserve">In </w:t>
      </w:r>
      <w:r>
        <w:rPr>
          <w:rFonts w:ascii="Liberation Serif" w:hAnsi="Liberation Serif"/>
          <w:i/>
          <w:sz w:val="24"/>
          <w:szCs w:val="24"/>
        </w:rPr>
        <w:t>A Theory of Capitalist Regulation</w:t>
      </w:r>
      <w:r>
        <w:rPr>
          <w:rFonts w:ascii="Liberation Serif" w:hAnsi="Liberation Serif"/>
          <w:sz w:val="24"/>
          <w:szCs w:val="24"/>
        </w:rPr>
        <w:t>,</w:t>
      </w:r>
      <w:r>
        <w:rPr>
          <w:rStyle w:val="FootnoteReference"/>
          <w:rFonts w:ascii="Liberation Serif" w:hAnsi="Liberation Serif"/>
          <w:sz w:val="24"/>
          <w:szCs w:val="24"/>
          <w:vertAlign w:val="superscript"/>
        </w:rPr>
        <w:footnoteReference w:id="9"/>
      </w:r>
      <w:r>
        <w:rPr>
          <w:rFonts w:ascii="Liberation Serif" w:hAnsi="Liberation Serif"/>
          <w:sz w:val="24"/>
          <w:szCs w:val="24"/>
        </w:rPr>
        <w:t xml:space="preserve"> he criticizes the dominant economic theories of capitalist equilibrium for being, among other things, ahistorical and abstract.</w:t>
      </w:r>
      <w:r>
        <w:rPr>
          <w:rFonts w:ascii="Liberation Serif" w:hAnsi="Liberation Serif"/>
          <w:sz w:val="24"/>
          <w:szCs w:val="24"/>
        </w:rPr>
      </w:r>
      <w:commentRangeEnd w:id="2"/>
      <w:r>
        <w:commentReference w:id="2"/>
      </w:r>
      <w:r>
        <w:rPr>
          <w:rFonts w:ascii="Liberation Serif" w:hAnsi="Liberation Serif"/>
          <w:sz w:val="24"/>
          <w:szCs w:val="24"/>
        </w:rPr>
        <w:t xml:space="preserve"> Against this, Aglietta denies “that what exists does so automatically”, necessitating a theory of social reproduction, and he claims that </w:t>
      </w:r>
      <w:commentRangeStart w:id="3"/>
      <w:r>
        <w:rPr>
          <w:rFonts w:ascii="Liberation Serif" w:hAnsi="Liberation Serif"/>
          <w:sz w:val="24"/>
          <w:szCs w:val="24"/>
        </w:rPr>
        <w:t xml:space="preserve">“when actual social systems are studied, historical experience confirms that </w:t>
      </w:r>
      <w:r>
        <w:rPr>
          <w:rFonts w:ascii="Liberation Serif" w:hAnsi="Liberation Serif"/>
          <w:i/>
          <w:sz w:val="24"/>
          <w:szCs w:val="24"/>
        </w:rPr>
        <w:t>transformation means rupture, qualitative change</w:t>
      </w:r>
      <w:r>
        <w:rPr>
          <w:rFonts w:ascii="Liberation Serif" w:hAnsi="Liberation Serif"/>
          <w:i/>
          <w:sz w:val="24"/>
          <w:szCs w:val="24"/>
        </w:rPr>
      </w:r>
      <w:commentRangeEnd w:id="3"/>
      <w:r>
        <w:commentReference w:id="3"/>
      </w:r>
      <w:r>
        <w:rPr>
          <w:rFonts w:ascii="Liberation Serif" w:hAnsi="Liberation Serif"/>
          <w:i/>
          <w:sz w:val="24"/>
          <w:szCs w:val="24"/>
        </w:rPr>
        <w:t>.</w:t>
      </w:r>
      <w:r>
        <w:rPr>
          <w:rFonts w:ascii="Liberation Serif" w:hAnsi="Liberation Serif"/>
          <w:sz w:val="24"/>
          <w:szCs w:val="24"/>
        </w:rPr>
        <w:t>”</w:t>
      </w:r>
      <w:r>
        <w:rPr>
          <w:rStyle w:val="FootnoteReference"/>
          <w:rFonts w:ascii="Liberation Serif" w:hAnsi="Liberation Serif"/>
          <w:sz w:val="24"/>
          <w:szCs w:val="24"/>
          <w:vertAlign w:val="superscript"/>
        </w:rPr>
        <w:footnoteReference w:id="10"/>
      </w:r>
      <w:r>
        <w:rPr>
          <w:rFonts w:ascii="Liberation Serif" w:hAnsi="Liberation Serif"/>
          <w:sz w:val="24"/>
          <w:szCs w:val="24"/>
        </w:rPr>
        <w:t xml:space="preserve"> He attempts to situate the Fordist moment within the turbulent history of capitalist production.</w:t>
      </w:r>
    </w:p>
    <w:p>
      <w:pPr>
        <w:pStyle w:val="Normal"/>
        <w:spacing w:lineRule="auto" w:line="480" w:before="0" w:after="0"/>
        <w:ind w:firstLine="720" w:start="0" w:end="0"/>
        <w:rPr>
          <w:rFonts w:ascii="Liberation Serif" w:hAnsi="Liberation Serif"/>
          <w:sz w:val="24"/>
          <w:szCs w:val="24"/>
        </w:rPr>
      </w:pPr>
      <w:r>
        <w:rPr>
          <w:rFonts w:ascii="Liberation Serif" w:hAnsi="Liberation Serif"/>
          <w:sz w:val="24"/>
          <w:szCs w:val="24"/>
        </w:rPr>
        <w:t>Taking the US since 1870 as his spatial-temporal object, Aglietta elaborates a theory of capitalist regulation as an attempt to “formulate the general laws the way in which the determinant structure of a society is reproduced.”</w:t>
      </w:r>
      <w:r>
        <w:rPr>
          <w:rStyle w:val="FootnoteReference"/>
          <w:rFonts w:ascii="Liberation Serif" w:hAnsi="Liberation Serif"/>
          <w:sz w:val="24"/>
          <w:szCs w:val="24"/>
          <w:vertAlign w:val="superscript"/>
        </w:rPr>
        <w:footnoteReference w:id="11"/>
      </w:r>
      <w:r>
        <w:rPr>
          <w:rFonts w:ascii="Liberation Serif" w:hAnsi="Liberation Serif"/>
          <w:sz w:val="24"/>
          <w:szCs w:val="24"/>
        </w:rPr>
        <w:t xml:space="preserve"> In the decades after the American civil war, these laws were oriented towards the development of heavy industry. Claiming that “the fundamental economic condition for industrial capitalism to develop is the formation of a growing agricultural surplus product and its realization in commodity form,” Aglietta highlights 19th century America’s privileged situation. The incorporation of vast frontiers precipitated the development of rail infrastructure, irrigation, farming and mining. This ‘regime of extensive accumulation’ was funded and aided by the development of western urban centers and their growing financial powers.</w:t>
      </w:r>
    </w:p>
    <w:p>
      <w:pPr>
        <w:pStyle w:val="Normal"/>
        <w:spacing w:lineRule="auto" w:line="480" w:before="0" w:after="0"/>
        <w:ind w:firstLine="720" w:start="0" w:end="0"/>
        <w:rPr>
          <w:rFonts w:ascii="Liberation Serif" w:hAnsi="Liberation Serif"/>
          <w:sz w:val="24"/>
          <w:szCs w:val="24"/>
        </w:rPr>
      </w:pPr>
      <w:r>
        <w:rPr>
          <w:rFonts w:ascii="Liberation Serif" w:hAnsi="Liberation Serif"/>
          <w:sz w:val="24"/>
          <w:szCs w:val="24"/>
        </w:rPr>
        <w:t>In the first decades of the twentieth century, this regime fell into crisis. Aglietta positions the economic collapse of the 1930s as a result of overaccumulation and underconsumption. Specifically, the average worker was paid so little that they could not contribute to the valorization cycle by purchasing and consuming commodities. As capital entered a crisis in the 1930s, producers sought out new ways to maintain profitability. Fordism, as the model set out by the Michigan automotive industry, was their answer to changing economic conditions.</w:t>
      </w:r>
    </w:p>
    <w:p>
      <w:pPr>
        <w:pStyle w:val="Normal"/>
        <w:spacing w:lineRule="auto" w:line="480" w:before="0" w:after="0"/>
        <w:ind w:firstLine="720" w:start="0" w:end="0"/>
        <w:rPr>
          <w:rFonts w:ascii="Liberation Serif" w:hAnsi="Liberation Serif"/>
          <w:sz w:val="24"/>
          <w:szCs w:val="24"/>
        </w:rPr>
      </w:pPr>
      <w:commentRangeStart w:id="4"/>
      <w:r>
        <w:rPr>
          <w:rFonts w:ascii="Liberation Serif" w:hAnsi="Liberation Serif"/>
          <w:sz w:val="24"/>
          <w:szCs w:val="24"/>
        </w:rPr>
        <w:t>Fordism figures into Aglietta’s account as an ‘intensive regime’ which “creates a new mode of life for the wage-earning class by establishing a logic that operates on the totality of time and space occupied or traversed by its individuals in daily life.”</w:t>
      </w:r>
      <w:r>
        <w:rPr>
          <w:rStyle w:val="FootnoteReference"/>
          <w:rFonts w:ascii="Liberation Serif" w:hAnsi="Liberation Serif"/>
          <w:sz w:val="24"/>
          <w:szCs w:val="24"/>
          <w:vertAlign w:val="superscript"/>
        </w:rPr>
        <w:footnoteReference w:id="12"/>
      </w:r>
      <w:r>
        <w:rPr>
          <w:rFonts w:ascii="Liberation Serif" w:hAnsi="Liberation Serif"/>
          <w:sz w:val="24"/>
          <w:szCs w:val="24"/>
        </w:rPr>
        <w:t xml:space="preserve"> </w:t>
      </w:r>
      <w:r>
        <w:rPr>
          <w:rFonts w:ascii="Liberation Serif" w:hAnsi="Liberation Serif"/>
          <w:sz w:val="24"/>
          <w:szCs w:val="24"/>
        </w:rPr>
      </w:r>
      <w:commentRangeEnd w:id="4"/>
      <w:r>
        <w:commentReference w:id="4"/>
      </w:r>
      <w:r>
        <w:rPr>
          <w:rFonts w:ascii="Liberation Serif" w:hAnsi="Liberation Serif"/>
          <w:sz w:val="24"/>
          <w:szCs w:val="24"/>
        </w:rPr>
        <w:t>In other words, Fordism is characterized by an unprecedented expansion of capitalist interest and control over the lives of its waged workers beyond the shop floor. Aglietta terms this reorganization of social life a ‘mode of consumption’ which is oriented towards the renewal of the energy expended in labor processes and the maintenance of a continual supply of labor power.</w:t>
      </w:r>
    </w:p>
    <w:p>
      <w:pPr>
        <w:pStyle w:val="Normal"/>
        <w:spacing w:lineRule="auto" w:line="480" w:before="0" w:after="0"/>
        <w:ind w:firstLine="720" w:start="0" w:end="0"/>
        <w:rPr>
          <w:rFonts w:ascii="Liberation Serif" w:hAnsi="Liberation Serif"/>
          <w:sz w:val="24"/>
          <w:szCs w:val="24"/>
        </w:rPr>
      </w:pPr>
      <w:r>
        <w:rPr>
          <w:rFonts w:ascii="Liberation Serif" w:hAnsi="Liberation Serif"/>
          <w:sz w:val="24"/>
          <w:szCs w:val="24"/>
        </w:rPr>
        <w:t>As an articulation between production and consumption, Fordism comprised several specific innovations linked to more general social reconfigurations. On the production side, Aglietta identifies the automated assembly line as Fordism’s “characteristic labour process.”</w:t>
      </w:r>
      <w:r>
        <w:rPr>
          <w:rStyle w:val="FootnoteReference"/>
          <w:rFonts w:ascii="Liberation Serif" w:hAnsi="Liberation Serif"/>
          <w:sz w:val="24"/>
          <w:szCs w:val="24"/>
          <w:vertAlign w:val="superscript"/>
        </w:rPr>
        <w:footnoteReference w:id="13"/>
      </w:r>
      <w:r>
        <w:rPr>
          <w:rFonts w:ascii="Liberation Serif" w:hAnsi="Liberation Serif"/>
          <w:sz w:val="24"/>
          <w:szCs w:val="24"/>
        </w:rPr>
        <w:t xml:space="preserve">  The assembly line separated mental and manual labor to a previously unseen degree. Instead of managing the relationship between several related tasks, workers performed simplified rote tasks over and over: “the labour process [was] converted from a dense network of relationships between jobs, with intermediate products passing back and forth … into a straightforward linear flow of the material under transformation.”</w:t>
      </w:r>
      <w:r>
        <w:rPr>
          <w:rStyle w:val="FootnoteReference"/>
          <w:rFonts w:ascii="Liberation Serif" w:hAnsi="Liberation Serif"/>
          <w:sz w:val="24"/>
          <w:szCs w:val="24"/>
          <w:vertAlign w:val="superscript"/>
        </w:rPr>
        <w:footnoteReference w:id="14"/>
      </w:r>
      <w:r>
        <w:rPr>
          <w:rFonts w:ascii="Liberation Serif" w:hAnsi="Liberation Serif"/>
          <w:sz w:val="24"/>
          <w:szCs w:val="24"/>
        </w:rPr>
        <w:t xml:space="preserve"> </w:t>
      </w:r>
    </w:p>
    <w:p>
      <w:pPr>
        <w:pStyle w:val="Normal"/>
        <w:spacing w:lineRule="auto" w:line="480" w:before="0" w:after="0"/>
        <w:ind w:firstLine="720" w:start="0" w:end="0"/>
        <w:rPr>
          <w:rFonts w:ascii="Liberation Serif" w:hAnsi="Liberation Serif"/>
          <w:sz w:val="24"/>
          <w:szCs w:val="24"/>
        </w:rPr>
      </w:pPr>
      <w:r>
        <w:rPr>
          <w:rFonts w:ascii="Liberation Serif" w:hAnsi="Liberation Serif"/>
          <w:sz w:val="24"/>
          <w:szCs w:val="24"/>
        </w:rPr>
        <w:t>The mental component of labor was excised from the ambit of the general laborer and given to a growing class of managers and process engineers. Workers became fixed to clearly and rigidly defined roles that were “determined by the configuration of the machine system”</w:t>
      </w:r>
      <w:r>
        <w:rPr>
          <w:rStyle w:val="FootnoteReference"/>
          <w:rFonts w:ascii="Liberation Serif" w:hAnsi="Liberation Serif"/>
          <w:sz w:val="24"/>
          <w:szCs w:val="24"/>
          <w:vertAlign w:val="superscript"/>
        </w:rPr>
        <w:footnoteReference w:id="15"/>
      </w:r>
      <w:r>
        <w:rPr>
          <w:rFonts w:ascii="Liberation Serif" w:hAnsi="Liberation Serif"/>
          <w:sz w:val="24"/>
          <w:szCs w:val="24"/>
        </w:rPr>
        <w:t xml:space="preserve"> which was “planned in engineering departments which were themselves subject to the division of labor.”</w:t>
      </w:r>
      <w:r>
        <w:rPr>
          <w:rStyle w:val="FootnoteReference"/>
          <w:rFonts w:ascii="Liberation Serif" w:hAnsi="Liberation Serif"/>
          <w:sz w:val="24"/>
          <w:szCs w:val="24"/>
          <w:vertAlign w:val="superscript"/>
        </w:rPr>
        <w:footnoteReference w:id="16"/>
      </w:r>
      <w:r>
        <w:rPr>
          <w:rFonts w:ascii="Liberation Serif" w:hAnsi="Liberation Serif"/>
          <w:sz w:val="24"/>
          <w:szCs w:val="24"/>
        </w:rPr>
        <w:t xml:space="preserve"> The Fordist workplace began to look more and more like that described by Marx: living labor ruled by the dead labor that was embodied in the planning and manufacturing of the machine system.</w:t>
      </w:r>
    </w:p>
    <w:p>
      <w:pPr>
        <w:pStyle w:val="Normal"/>
        <w:spacing w:lineRule="auto" w:line="480" w:before="0" w:after="0"/>
        <w:ind w:firstLine="720" w:start="0" w:end="0"/>
        <w:rPr>
          <w:rFonts w:ascii="Liberation Serif" w:hAnsi="Liberation Serif"/>
          <w:sz w:val="24"/>
          <w:szCs w:val="24"/>
        </w:rPr>
      </w:pPr>
      <w:r>
        <w:rPr>
          <w:rFonts w:ascii="Liberation Serif" w:hAnsi="Liberation Serif"/>
          <w:sz w:val="24"/>
          <w:szCs w:val="24"/>
        </w:rPr>
        <w:t xml:space="preserve">This process of rationalization </w:t>
      </w:r>
      <w:commentRangeStart w:id="5"/>
      <w:r>
        <w:rPr>
          <w:rFonts w:ascii="Liberation Serif" w:hAnsi="Liberation Serif"/>
          <w:sz w:val="24"/>
          <w:szCs w:val="24"/>
        </w:rPr>
        <w:t>extended far beyond the shop floor</w:t>
      </w:r>
      <w:r>
        <w:rPr>
          <w:rFonts w:ascii="Liberation Serif" w:hAnsi="Liberation Serif"/>
          <w:sz w:val="24"/>
          <w:szCs w:val="24"/>
        </w:rPr>
      </w:r>
      <w:commentRangeEnd w:id="5"/>
      <w:r>
        <w:commentReference w:id="5"/>
      </w:r>
      <w:r>
        <w:rPr>
          <w:rFonts w:ascii="Liberation Serif" w:hAnsi="Liberation Serif"/>
          <w:sz w:val="24"/>
          <w:szCs w:val="24"/>
        </w:rPr>
        <w:t>. Along with the revolution in production, Fordism reconfigured the social and private lives of the workforce. Aglietta notes that “for the first time in history, Fordism created a norm of working-class consumption in which the general ownership of commodities governed the concrete practices of consumption.” Two commodities stand out as governing this norm: the automobile as a means of private transportation, and standardized housing. Both of these commodities transformed the urban spaces in which the working classes were renewed, and their relatively high cost “presupposed a vast socialization of finance, and correlatively a very strict control over workers’ resources and expenditures.”</w:t>
      </w:r>
      <w:r>
        <w:rPr>
          <w:rStyle w:val="FootnoteReference"/>
          <w:rFonts w:ascii="Liberation Serif" w:hAnsi="Liberation Serif"/>
          <w:sz w:val="24"/>
          <w:szCs w:val="24"/>
          <w:vertAlign w:val="superscript"/>
        </w:rPr>
        <w:footnoteReference w:id="17"/>
      </w:r>
      <w:r>
        <w:rPr>
          <w:rFonts w:ascii="Liberation Serif" w:hAnsi="Liberation Serif"/>
          <w:sz w:val="24"/>
          <w:szCs w:val="24"/>
        </w:rPr>
        <w:t xml:space="preserve"> However, Aglietta notes that the rise of certain family norms within a consuming class of workers was never quite general: Fordism also deepened the stratification of the working classes, which “forms part of the concrete conditions of reproducing the wage relation.”</w:t>
      </w:r>
      <w:r>
        <w:rPr>
          <w:rStyle w:val="FootnoteReference"/>
          <w:rFonts w:ascii="Liberation Serif" w:hAnsi="Liberation Serif"/>
          <w:sz w:val="24"/>
          <w:szCs w:val="24"/>
          <w:vertAlign w:val="superscript"/>
        </w:rPr>
        <w:footnoteReference w:id="18"/>
      </w:r>
    </w:p>
    <w:p>
      <w:pPr>
        <w:pStyle w:val="Normal"/>
        <w:spacing w:lineRule="auto" w:line="480" w:before="0" w:after="0"/>
        <w:ind w:firstLine="720" w:start="0" w:end="0"/>
        <w:rPr>
          <w:rFonts w:ascii="Liberation Serif" w:hAnsi="Liberation Serif"/>
          <w:sz w:val="24"/>
          <w:szCs w:val="24"/>
        </w:rPr>
      </w:pPr>
      <w:r>
        <w:rPr>
          <w:rFonts w:ascii="Liberation Serif" w:hAnsi="Liberation Serif"/>
          <w:sz w:val="24"/>
          <w:szCs w:val="24"/>
        </w:rPr>
        <w:t>Aglietta’s account of Fordism as an historical articulation of means of production and consumption responding to the global needs of capital accumulation is a compelling one, but it is not without its critics. In 1988, Simon Clarke published a critique of Aglietta and the Regulationist school, whose approach he deems overly structuralist. Clarke claims that for the Regulationists, “in the relation between structure and struggle, it is the class struggle which takes the subordinate role, its significance constrained by the structural imperatives of the regime of accumulation.”</w:t>
      </w:r>
      <w:r>
        <w:rPr>
          <w:rStyle w:val="FootnoteReference"/>
          <w:rFonts w:ascii="Liberation Serif" w:hAnsi="Liberation Serif"/>
          <w:sz w:val="24"/>
          <w:szCs w:val="24"/>
          <w:vertAlign w:val="superscript"/>
        </w:rPr>
        <w:footnoteReference w:id="19"/>
      </w:r>
      <w:r>
        <w:rPr>
          <w:rFonts w:ascii="Liberation Serif" w:hAnsi="Liberation Serif"/>
          <w:sz w:val="24"/>
          <w:szCs w:val="24"/>
        </w:rPr>
        <w:t xml:space="preserve"> On the question of working-class struggle this charge is perhaps more applicable to Aglietta’s followers than to his own work, which deals at length with working class organization. But class struggle is not one-sided, and Aglietta fails to adequately theorize the role of the state in constituting regimes of capitalist regulation.</w:t>
      </w:r>
    </w:p>
    <w:p>
      <w:pPr>
        <w:pStyle w:val="Normal"/>
        <w:spacing w:lineRule="auto" w:line="480" w:before="0" w:after="0"/>
        <w:ind w:firstLine="720" w:start="0" w:end="0"/>
        <w:rPr>
          <w:rFonts w:ascii="Liberation Serif" w:hAnsi="Liberation Serif"/>
          <w:sz w:val="24"/>
          <w:szCs w:val="24"/>
        </w:rPr>
      </w:pPr>
      <w:r>
        <w:rPr>
          <w:rFonts w:ascii="Liberation Serif" w:hAnsi="Liberation Serif"/>
          <w:sz w:val="24"/>
          <w:szCs w:val="24"/>
        </w:rPr>
        <w:t>This calls into question the framework of extensive vs intensive regimes of accumulation, or at least Aglietta’s expression of it. Clarke claims that “the post-war boom was not initiated by Fordist modes of regulation … but by austerity, by sharp industrial and political class struggles, and by direct state intervention to establish both a high rate of profit and the proportionality of the various branches of production at the national and international levels.”</w:t>
      </w:r>
      <w:r>
        <w:rPr>
          <w:rStyle w:val="FootnoteReference"/>
          <w:rFonts w:ascii="Liberation Serif" w:hAnsi="Liberation Serif"/>
          <w:sz w:val="24"/>
          <w:szCs w:val="24"/>
          <w:vertAlign w:val="superscript"/>
        </w:rPr>
        <w:footnoteReference w:id="20"/>
      </w:r>
      <w:r>
        <w:rPr>
          <w:rFonts w:ascii="Liberation Serif" w:hAnsi="Liberation Serif"/>
          <w:sz w:val="24"/>
          <w:szCs w:val="24"/>
        </w:rPr>
        <w:t xml:space="preserve"> The economic policy of Keynesianism was not an immanent development of the structure of capitalist regulation, but was dictated by “the balance of class forces, institutionalised in the systems of industrial relations, electoral politics and the welfare state.”</w:t>
      </w:r>
      <w:r>
        <w:rPr>
          <w:rStyle w:val="FootnoteReference"/>
          <w:rFonts w:ascii="Liberation Serif" w:hAnsi="Liberation Serif"/>
          <w:sz w:val="24"/>
          <w:szCs w:val="24"/>
          <w:vertAlign w:val="superscript"/>
        </w:rPr>
        <w:footnoteReference w:id="21"/>
      </w:r>
      <w:r>
        <w:rPr>
          <w:rFonts w:ascii="Liberation Serif" w:hAnsi="Liberation Serif"/>
          <w:sz w:val="24"/>
          <w:szCs w:val="24"/>
        </w:rPr>
        <w:t xml:space="preserve"> In short, the regulation approach </w:t>
      </w:r>
      <w:commentRangeStart w:id="6"/>
      <w:commentRangeStart w:id="7"/>
      <w:r>
        <w:rPr>
          <w:rFonts w:ascii="Liberation Serif" w:hAnsi="Liberation Serif"/>
          <w:sz w:val="24"/>
          <w:szCs w:val="24"/>
        </w:rPr>
        <w:t>“overestimates the stability and duration of ‘Fordist’ modes of regulation” and “the extent to which Fordism can be considered a systematic ‘regime of accumulation’”</w:t>
      </w:r>
      <w:r>
        <w:rPr>
          <w:rStyle w:val="FootnoteReference"/>
          <w:rFonts w:ascii="Liberation Serif" w:hAnsi="Liberation Serif"/>
          <w:sz w:val="24"/>
          <w:szCs w:val="24"/>
          <w:vertAlign w:val="superscript"/>
        </w:rPr>
        <w:footnoteReference w:id="22"/>
      </w:r>
      <w:r>
        <w:rPr>
          <w:rFonts w:ascii="Liberation Serif" w:hAnsi="Liberation Serif"/>
          <w:sz w:val="24"/>
          <w:szCs w:val="24"/>
          <w:vertAlign w:val="superscript"/>
        </w:rPr>
      </w:r>
      <w:commentRangeEnd w:id="7"/>
      <w:r>
        <w:commentReference w:id="7"/>
      </w:r>
      <w:r>
        <w:rPr>
          <w:rFonts w:ascii="Liberation Serif" w:hAnsi="Liberation Serif"/>
          <w:sz w:val="24"/>
          <w:szCs w:val="24"/>
          <w:vertAlign w:val="superscript"/>
        </w:rPr>
      </w:r>
      <w:commentRangeEnd w:id="6"/>
      <w:r>
        <w:commentReference w:id="6"/>
      </w:r>
      <w:r>
        <w:rPr/>
        <w:commentReference w:id="8"/>
      </w:r>
    </w:p>
    <w:p>
      <w:pPr>
        <w:pStyle w:val="Normal"/>
        <w:spacing w:lineRule="auto" w:line="480" w:before="0" w:after="0"/>
        <w:ind w:firstLine="720" w:start="0" w:end="0"/>
        <w:rPr>
          <w:rFonts w:ascii="Liberation Serif" w:hAnsi="Liberation Serif"/>
          <w:sz w:val="24"/>
          <w:szCs w:val="24"/>
        </w:rPr>
      </w:pPr>
      <w:r>
        <w:rPr>
          <w:rFonts w:ascii="Liberation Serif" w:hAnsi="Liberation Serif"/>
          <w:sz w:val="24"/>
          <w:szCs w:val="24"/>
        </w:rPr>
        <w:t xml:space="preserve">A related failing of Aglietta’s work emerges from his (non)treatment of imperialism. In the introduction to </w:t>
      </w:r>
      <w:r>
        <w:rPr>
          <w:rFonts w:ascii="Liberation Serif" w:hAnsi="Liberation Serif"/>
          <w:i/>
          <w:sz w:val="24"/>
          <w:szCs w:val="24"/>
        </w:rPr>
        <w:t>A Theory of Capitalist Regulation</w:t>
      </w:r>
      <w:r>
        <w:rPr>
          <w:rFonts w:ascii="Liberation Serif" w:hAnsi="Liberation Serif"/>
          <w:sz w:val="24"/>
          <w:szCs w:val="24"/>
        </w:rPr>
        <w:t>, he defines imperialism as a system “through which one state manages to influence a series of other states to adopt a set of rules that are favourable to the stability of a vast space of multilateral commodity relations guaranteeing the circulation of capital.”</w:t>
      </w:r>
      <w:r>
        <w:rPr>
          <w:rStyle w:val="FootnoteReference"/>
          <w:rFonts w:ascii="Liberation Serif" w:hAnsi="Liberation Serif"/>
          <w:sz w:val="24"/>
          <w:szCs w:val="24"/>
          <w:vertAlign w:val="superscript"/>
        </w:rPr>
        <w:footnoteReference w:id="23"/>
      </w:r>
      <w:r>
        <w:rPr>
          <w:rFonts w:ascii="Liberation Serif" w:hAnsi="Liberation Serif"/>
          <w:sz w:val="24"/>
          <w:szCs w:val="24"/>
        </w:rPr>
        <w:t xml:space="preserve"> After posing this anemic definition, he pushes it aside, claiming that “there could be little question of analysing in the present work the system of contemporary states and the transformation that the crises of the 20th century have produced in inter-state relations.”</w:t>
      </w:r>
      <w:r>
        <w:rPr>
          <w:rStyle w:val="FootnoteReference"/>
          <w:rFonts w:ascii="Liberation Serif" w:hAnsi="Liberation Serif"/>
          <w:sz w:val="24"/>
          <w:szCs w:val="24"/>
          <w:vertAlign w:val="superscript"/>
        </w:rPr>
        <w:footnoteReference w:id="24"/>
      </w:r>
      <w:r>
        <w:rPr>
          <w:rFonts w:ascii="Liberation Serif" w:hAnsi="Liberation Serif"/>
          <w:sz w:val="24"/>
          <w:szCs w:val="24"/>
        </w:rPr>
        <w:t xml:space="preserve"> But he is unable to escape the weakness of his conception of capitalist hegemony - it undermines his entire project. In his attempt to isolate America from the global south, he misapprehends the extent to which American industry was dependent on an unequal global division of labor. The unequal exchange across state lines undergirds and forms part of capitalist regulation. The definition of imperialism as management inflicted by one state on several with the goal of broadening the circulation of capital prevents Aglietta from appreciating the global scope of capitalist regulation and reproduction.</w:t>
      </w:r>
    </w:p>
    <w:p>
      <w:pPr>
        <w:pStyle w:val="Normal"/>
        <w:spacing w:lineRule="auto" w:line="480" w:before="0" w:after="0"/>
        <w:ind w:firstLine="720" w:start="0" w:end="0"/>
        <w:rPr>
          <w:rFonts w:ascii="Liberation Serif" w:hAnsi="Liberation Serif"/>
          <w:sz w:val="24"/>
          <w:szCs w:val="24"/>
        </w:rPr>
      </w:pPr>
      <w:r>
        <w:rPr>
          <w:rFonts w:ascii="Liberation Serif" w:hAnsi="Liberation Serif"/>
          <w:sz w:val="24"/>
          <w:szCs w:val="24"/>
        </w:rPr>
        <w:t>If we have called into question Fordism as a systematic regime of accumulation, and its validity as a mode of regulation divorced from both state action and the global contours of capital, we might reasonably ask what use the concept of Fordism provides, and what value we can gain from Aglietta’s treatment of it. Two of Aglietta’s core interventions - Fordism as a specific qualitative change in the articulation of production and consumption, and the increased stratification of the wage-earning class - are crucial and worth preserving, but we must investigate the extent to which the articulation in American industry was generalized beyond US borders. Specifically, we must examine the effect of a reconfiguration of US production on capitalist regulation in other parts of the globe. In the following sections, we will look at Fordism both in its origins in the Michigan automobile industry, and its application beyond US borders</w:t>
      </w:r>
      <w:commentRangeStart w:id="9"/>
      <w:commentRangeStart w:id="10"/>
      <w:r>
        <w:rPr>
          <w:rFonts w:ascii="Liberation Serif" w:hAnsi="Liberation Serif"/>
          <w:sz w:val="24"/>
          <w:szCs w:val="24"/>
        </w:rPr>
        <w:t>.</w:t>
      </w:r>
      <w:r>
        <w:rPr>
          <w:rFonts w:ascii="Liberation Serif" w:hAnsi="Liberation Serif"/>
          <w:sz w:val="24"/>
          <w:szCs w:val="24"/>
        </w:rPr>
      </w:r>
      <w:commentRangeEnd w:id="10"/>
      <w:r>
        <w:commentReference w:id="10"/>
      </w:r>
      <w:commentRangeEnd w:id="9"/>
      <w:r>
        <w:commentReference w:id="9"/>
      </w:r>
      <w:r>
        <w:rPr>
          <w:rFonts w:ascii="Liberation Serif" w:hAnsi="Liberation Serif"/>
          <w:sz w:val="24"/>
          <w:szCs w:val="24"/>
        </w:rPr>
      </w:r>
    </w:p>
    <w:p>
      <w:pPr>
        <w:pStyle w:val="Normal"/>
        <w:spacing w:lineRule="auto" w:line="480" w:before="0" w:after="0"/>
        <w:ind w:firstLine="720" w:start="0" w:end="0"/>
        <w:rPr>
          <w:rFonts w:ascii="Liberation Serif" w:hAnsi="Liberation Serif"/>
          <w:sz w:val="24"/>
          <w:szCs w:val="24"/>
        </w:rPr>
      </w:pPr>
      <w:r>
        <w:rPr>
          <w:rFonts w:ascii="Liberation Serif" w:hAnsi="Liberation Serif"/>
          <w:sz w:val="24"/>
          <w:szCs w:val="24"/>
        </w:rPr>
      </w:r>
    </w:p>
    <w:p>
      <w:pPr>
        <w:pStyle w:val="Normal"/>
        <w:spacing w:lineRule="auto" w:line="480" w:before="0" w:after="0"/>
        <w:ind w:hanging="0" w:start="0" w:end="0"/>
        <w:rPr>
          <w:b/>
          <w:bCs/>
          <w:i w:val="false"/>
          <w:i w:val="false"/>
          <w:iCs w:val="false"/>
        </w:rPr>
      </w:pPr>
      <w:commentRangeStart w:id="11"/>
      <w:commentRangeStart w:id="12"/>
      <w:r>
        <w:rPr>
          <w:rFonts w:ascii="Liberation Serif" w:hAnsi="Liberation Serif"/>
          <w:b/>
          <w:bCs/>
          <w:i w:val="false"/>
          <w:iCs w:val="false"/>
          <w:sz w:val="24"/>
          <w:szCs w:val="24"/>
        </w:rPr>
        <w:t>Local Fordism: the Labor History of Fordist Michigan</w:t>
      </w:r>
      <w:r>
        <w:rPr>
          <w:rFonts w:ascii="Liberation Serif" w:hAnsi="Liberation Serif"/>
          <w:b/>
          <w:bCs/>
          <w:i w:val="false"/>
          <w:iCs w:val="false"/>
          <w:sz w:val="24"/>
          <w:szCs w:val="24"/>
        </w:rPr>
      </w:r>
      <w:commentRangeEnd w:id="12"/>
      <w:r>
        <w:commentReference w:id="12"/>
      </w:r>
      <w:commentRangeEnd w:id="11"/>
      <w:r>
        <w:commentReference w:id="11"/>
      </w:r>
      <w:r>
        <w:rPr>
          <w:rFonts w:ascii="Liberation Serif" w:hAnsi="Liberation Serif"/>
          <w:b/>
          <w:bCs/>
          <w:i w:val="false"/>
          <w:iCs w:val="false"/>
          <w:sz w:val="24"/>
          <w:szCs w:val="24"/>
        </w:rPr>
      </w:r>
    </w:p>
    <w:p>
      <w:pPr>
        <w:pStyle w:val="Normal"/>
        <w:spacing w:lineRule="auto" w:line="480" w:before="0" w:after="0"/>
        <w:ind w:firstLine="720" w:start="0" w:end="0"/>
        <w:rPr>
          <w:rFonts w:ascii="Liberation Serif" w:hAnsi="Liberation Serif"/>
          <w:sz w:val="24"/>
          <w:szCs w:val="24"/>
        </w:rPr>
      </w:pPr>
      <w:r>
        <w:rPr>
          <w:rFonts w:ascii="Liberation Serif" w:hAnsi="Liberation Serif"/>
          <w:sz w:val="24"/>
          <w:szCs w:val="24"/>
        </w:rPr>
        <w:t xml:space="preserve">As the birthplace of Fordism, industrial Michigan bears the imprint of Fordism’s early development and its essential dynamics. Since the Second World War, American labor historians have been arguing over these dynamics. Marxist historians in the US emphasized the labor process itself as an essential component of labor history. Harry Braverman’s </w:t>
      </w:r>
      <w:r>
        <w:rPr>
          <w:rFonts w:ascii="Liberation Serif" w:hAnsi="Liberation Serif"/>
          <w:i/>
          <w:sz w:val="24"/>
          <w:szCs w:val="24"/>
        </w:rPr>
        <w:t>Labor and Monopoly Capital: The Degradation of Work in the Twentieth Century</w:t>
      </w:r>
      <w:r>
        <w:rPr>
          <w:rFonts w:ascii="Liberation Serif" w:hAnsi="Liberation Serif"/>
          <w:sz w:val="24"/>
          <w:szCs w:val="24"/>
        </w:rPr>
        <w:t xml:space="preserve"> centered the deskilling of the workforce as a method of labor control. Nelson Lichtenstein writes in the introduction to </w:t>
      </w:r>
      <w:r>
        <w:rPr>
          <w:rFonts w:ascii="Liberation Serif" w:hAnsi="Liberation Serif"/>
          <w:i/>
          <w:sz w:val="24"/>
          <w:szCs w:val="24"/>
        </w:rPr>
        <w:t>On the Line: Essays in the History of Auto Work</w:t>
      </w:r>
      <w:r>
        <w:rPr>
          <w:rFonts w:ascii="Liberation Serif" w:hAnsi="Liberation Serif"/>
          <w:sz w:val="24"/>
          <w:szCs w:val="24"/>
        </w:rPr>
        <w:t xml:space="preserve"> that “Braverman broke new ground by alerting historians and sociologists to the social context within which the technology of production was embedded.”</w:t>
      </w:r>
      <w:r>
        <w:rPr>
          <w:rStyle w:val="FootnoteReference"/>
          <w:rFonts w:ascii="Liberation Serif" w:hAnsi="Liberation Serif"/>
          <w:sz w:val="24"/>
          <w:szCs w:val="24"/>
          <w:vertAlign w:val="superscript"/>
        </w:rPr>
        <w:footnoteReference w:id="25"/>
      </w:r>
    </w:p>
    <w:p>
      <w:pPr>
        <w:pStyle w:val="Normal"/>
        <w:spacing w:lineRule="auto" w:line="480" w:before="0" w:after="0"/>
        <w:ind w:firstLine="720" w:start="0" w:end="0"/>
        <w:rPr>
          <w:rFonts w:ascii="Liberation Serif" w:hAnsi="Liberation Serif"/>
          <w:sz w:val="24"/>
          <w:szCs w:val="24"/>
        </w:rPr>
      </w:pPr>
      <w:r>
        <w:rPr>
          <w:rFonts w:ascii="Liberation Serif" w:hAnsi="Liberation Serif"/>
          <w:sz w:val="24"/>
          <w:szCs w:val="24"/>
        </w:rPr>
        <w:t>Braverman’s view was oversimplified, however, and labor historians debated “the extent to which craft skills were actually eroded in mass production industry.”</w:t>
      </w:r>
      <w:r>
        <w:rPr>
          <w:rStyle w:val="FootnoteReference"/>
          <w:rFonts w:ascii="Liberation Serif" w:hAnsi="Liberation Serif"/>
          <w:sz w:val="24"/>
          <w:szCs w:val="24"/>
          <w:vertAlign w:val="superscript"/>
        </w:rPr>
        <w:footnoteReference w:id="26"/>
      </w:r>
      <w:r>
        <w:rPr>
          <w:rFonts w:ascii="Liberation Serif" w:hAnsi="Liberation Serif"/>
          <w:sz w:val="24"/>
          <w:szCs w:val="24"/>
        </w:rPr>
        <w:t xml:space="preserve"> Rather, the labor market was bifurcated between low-paid and low-skilled workers and highly paid engineers and managers. The partial deskilling of the workforce was a point of tension between labor and capital. At times capitalists strategically degraded the skill of workers in order to disempower them, while the unions resisted this degradation. </w:t>
      </w:r>
    </w:p>
    <w:p>
      <w:pPr>
        <w:pStyle w:val="Normal"/>
        <w:spacing w:lineRule="auto" w:line="480" w:before="0" w:after="0"/>
        <w:ind w:firstLine="720" w:start="0" w:end="0"/>
        <w:rPr>
          <w:rFonts w:ascii="Liberation Serif" w:hAnsi="Liberation Serif"/>
          <w:sz w:val="24"/>
          <w:szCs w:val="24"/>
        </w:rPr>
      </w:pPr>
      <w:r>
        <w:rPr>
          <w:rFonts w:ascii="Liberation Serif" w:hAnsi="Liberation Serif"/>
          <w:sz w:val="24"/>
          <w:szCs w:val="24"/>
        </w:rPr>
        <w:t xml:space="preserve">It is often repeated that unions in late 19th, early 20th century Michigan were weak and listless - supposedly this contributed to the rise of Fordism as a new method of labor exploitation. However, this claim is challenged by Thomas Klug, in an essay in </w:t>
      </w:r>
      <w:r>
        <w:rPr>
          <w:rFonts w:ascii="Liberation Serif" w:hAnsi="Liberation Serif"/>
          <w:i/>
          <w:sz w:val="24"/>
          <w:szCs w:val="24"/>
        </w:rPr>
        <w:t>On the Line</w:t>
      </w:r>
      <w:r>
        <w:rPr>
          <w:rFonts w:ascii="Liberation Serif" w:hAnsi="Liberation Serif"/>
          <w:sz w:val="24"/>
          <w:szCs w:val="24"/>
        </w:rPr>
        <w:t>. As the lumber industry declined at the close of the century, economic activity in the state shifted towards the growing cities. In the 1890s, Detroit was the stove producing capital of the world, with a significant presence of other types of metalwork that would be crucial to the development of the auto industry. Most of the organizations representing workers were craft unions, and they admitted only skilled labor to their ranks. However, the assertion that these unions were powerless is misguided. Klug notes that “although only a few employers of iron molders formally agreed to the exclusive employment of union men, many foundries were de facto closed shops.”</w:t>
      </w:r>
      <w:r>
        <w:rPr>
          <w:rStyle w:val="FootnoteReference"/>
          <w:rFonts w:ascii="Liberation Serif" w:hAnsi="Liberation Serif"/>
          <w:sz w:val="24"/>
          <w:szCs w:val="24"/>
          <w:vertAlign w:val="superscript"/>
        </w:rPr>
        <w:footnoteReference w:id="27"/>
      </w:r>
      <w:r>
        <w:rPr>
          <w:rFonts w:ascii="Liberation Serif" w:hAnsi="Liberation Serif"/>
          <w:sz w:val="24"/>
          <w:szCs w:val="24"/>
        </w:rPr>
        <w:t xml:space="preserve"> The reason for this is the Iron Molders Union’s strategy of organizing the “best molders” so that any employer wanting good labor had to go through the union.</w:t>
      </w:r>
    </w:p>
    <w:p>
      <w:pPr>
        <w:pStyle w:val="Normal"/>
        <w:spacing w:lineRule="auto" w:line="480" w:before="0" w:after="0"/>
        <w:ind w:firstLine="720" w:start="0" w:end="0"/>
        <w:rPr>
          <w:rFonts w:ascii="Liberation Serif" w:hAnsi="Liberation Serif"/>
          <w:sz w:val="24"/>
          <w:szCs w:val="24"/>
        </w:rPr>
      </w:pPr>
      <w:r>
        <w:rPr>
          <w:rFonts w:ascii="Liberation Serif" w:hAnsi="Liberation Serif"/>
          <w:sz w:val="24"/>
          <w:szCs w:val="24"/>
        </w:rPr>
        <w:t>The craft unions in fact posed enough of a threat to employers that in 1902, “metal trade employers organized the Employers’ Association of Detroit (EAD).”</w:t>
      </w:r>
      <w:r>
        <w:rPr>
          <w:rStyle w:val="FootnoteReference"/>
          <w:rFonts w:ascii="Liberation Serif" w:hAnsi="Liberation Serif"/>
          <w:sz w:val="24"/>
          <w:szCs w:val="24"/>
          <w:vertAlign w:val="superscript"/>
        </w:rPr>
        <w:footnoteReference w:id="28"/>
      </w:r>
      <w:r>
        <w:rPr>
          <w:rFonts w:ascii="Liberation Serif" w:hAnsi="Liberation Serif"/>
          <w:sz w:val="24"/>
          <w:szCs w:val="24"/>
        </w:rPr>
        <w:t xml:space="preserve"> They felt that “the brief accommodation with labor unions in the late 1890s and early 1900s had gained them few benefits .... Rather, strikes became more frequent, and unions gained additional recruits.”</w:t>
      </w:r>
      <w:r>
        <w:rPr>
          <w:rStyle w:val="FootnoteReference"/>
          <w:rFonts w:ascii="Liberation Serif" w:hAnsi="Liberation Serif"/>
          <w:sz w:val="24"/>
          <w:szCs w:val="24"/>
          <w:vertAlign w:val="superscript"/>
        </w:rPr>
        <w:footnoteReference w:id="29"/>
      </w:r>
      <w:r>
        <w:rPr>
          <w:rFonts w:ascii="Liberation Serif" w:hAnsi="Liberation Serif"/>
          <w:sz w:val="24"/>
          <w:szCs w:val="24"/>
        </w:rPr>
        <w:t xml:space="preserve"> The unions had developed significant leverage in eastern Michigan and prevented employers from undermining labor rights to increase productivity and profitability. As a unified bloc, the EAD was able to enforce what they considered to be their right to pay workers based on the quality of their individual work, and to hire from outside the local labor pool. </w:t>
      </w:r>
    </w:p>
    <w:p>
      <w:pPr>
        <w:pStyle w:val="Normal"/>
        <w:spacing w:lineRule="auto" w:line="480" w:before="0" w:after="0"/>
        <w:ind w:firstLine="720" w:start="0" w:end="0"/>
        <w:rPr>
          <w:rFonts w:ascii="Liberation Serif" w:hAnsi="Liberation Serif"/>
          <w:sz w:val="24"/>
          <w:szCs w:val="24"/>
        </w:rPr>
      </w:pPr>
      <w:r>
        <w:rPr>
          <w:rFonts w:ascii="Liberation Serif" w:hAnsi="Liberation Serif"/>
          <w:sz w:val="24"/>
          <w:szCs w:val="24"/>
        </w:rPr>
        <w:t>Detroit employers were also troubled by what they saw as a decrease in control over the labor process itself. As the unions had a monopoly on skilled labor, which was crucial to the operation of heavy manufacturing. John J. Whirl, a member of the EAD, said that “in some of our industries the proprietors were merely the financial agents to purchase the supplies, pay the wages, and sell the manufactured products ... As to the operations of the factory, they had no more real control than if they were in no way connected with it.”</w:t>
      </w:r>
      <w:r>
        <w:rPr>
          <w:rStyle w:val="FootnoteReference"/>
          <w:rFonts w:ascii="Liberation Serif" w:hAnsi="Liberation Serif"/>
          <w:sz w:val="24"/>
          <w:szCs w:val="24"/>
          <w:vertAlign w:val="superscript"/>
        </w:rPr>
        <w:footnoteReference w:id="30"/>
      </w:r>
      <w:r>
        <w:rPr>
          <w:rFonts w:ascii="Liberation Serif" w:hAnsi="Liberation Serif"/>
          <w:sz w:val="24"/>
          <w:szCs w:val="24"/>
        </w:rPr>
        <w:t xml:space="preserve"> The attempt by employers to band together and undermine the craft unions was joined with an understanding that to truly gain control of their businesses, they would need to reduce their reliance on a small pool of skilled labor: an understanding that would animate the coming Fordist revolution.</w:t>
      </w:r>
    </w:p>
    <w:p>
      <w:pPr>
        <w:pStyle w:val="Normal"/>
        <w:spacing w:lineRule="auto" w:line="480" w:before="0" w:after="0"/>
        <w:ind w:firstLine="720" w:start="0" w:end="0"/>
        <w:rPr>
          <w:rFonts w:ascii="Liberation Serif" w:hAnsi="Liberation Serif"/>
          <w:sz w:val="24"/>
          <w:szCs w:val="24"/>
        </w:rPr>
      </w:pPr>
      <w:r>
        <w:rPr>
          <w:rFonts w:ascii="Liberation Serif" w:hAnsi="Liberation Serif"/>
          <w:sz w:val="24"/>
          <w:szCs w:val="24"/>
        </w:rPr>
        <w:t>And it was a revolution. The automobile was not invented in Michigan – in fact the first two viable gasoline powered cars were built in Massachusetts and Indiana in 1892 and 1894.</w:t>
      </w:r>
      <w:r>
        <w:rPr>
          <w:rStyle w:val="FootnoteReference"/>
          <w:rFonts w:ascii="Liberation Serif" w:hAnsi="Liberation Serif"/>
          <w:sz w:val="24"/>
          <w:szCs w:val="24"/>
          <w:vertAlign w:val="superscript"/>
        </w:rPr>
        <w:footnoteReference w:id="31"/>
      </w:r>
      <w:r>
        <w:rPr>
          <w:rFonts w:ascii="Liberation Serif" w:hAnsi="Liberation Serif"/>
          <w:sz w:val="24"/>
          <w:szCs w:val="24"/>
        </w:rPr>
        <w:t xml:space="preserve"> But Michigan arrived early on the automotive scene, propelled by easy access to machining, raw materials, and capital: in 1896 Ransom E. Olds of Lansing and Detroit’s Charles B. King and Henry Ford demonstrated viable motor powered carriages. By the early twentieth century, there were dozens of auto companies in Michigan, but they faced significant issues.</w:t>
      </w:r>
    </w:p>
    <w:p>
      <w:pPr>
        <w:pStyle w:val="Normal"/>
        <w:spacing w:lineRule="auto" w:line="480" w:before="0" w:after="0"/>
        <w:ind w:firstLine="720" w:start="0" w:end="0"/>
        <w:rPr>
          <w:rFonts w:ascii="Liberation Serif" w:hAnsi="Liberation Serif"/>
          <w:sz w:val="24"/>
          <w:szCs w:val="24"/>
        </w:rPr>
      </w:pPr>
      <w:r>
        <w:rPr>
          <w:rFonts w:ascii="Liberation Serif" w:hAnsi="Liberation Serif"/>
          <w:sz w:val="24"/>
          <w:szCs w:val="24"/>
        </w:rPr>
        <w:t xml:space="preserve">Initially, auto production was a craft industry: each car was handmade by skilled craftsmen. Due to the competitive market in Michigan, it was difficult for employers to keep workers from leaving for greener pastures at another company. </w:t>
      </w:r>
      <w:commentRangeStart w:id="13"/>
      <w:r>
        <w:rPr>
          <w:rFonts w:ascii="Liberation Serif" w:hAnsi="Liberation Serif"/>
          <w:sz w:val="24"/>
          <w:szCs w:val="24"/>
        </w:rPr>
        <w:t>Likewise, the cars were expensive, and so there was a limited market for the product being produced.</w:t>
      </w:r>
      <w:r>
        <w:rPr>
          <w:rFonts w:ascii="Liberation Serif" w:hAnsi="Liberation Serif"/>
          <w:sz w:val="24"/>
          <w:szCs w:val="24"/>
        </w:rPr>
      </w:r>
      <w:commentRangeEnd w:id="13"/>
      <w:r>
        <w:commentReference w:id="13"/>
      </w:r>
      <w:r>
        <w:rPr>
          <w:rFonts w:ascii="Liberation Serif" w:hAnsi="Liberation Serif"/>
          <w:sz w:val="24"/>
          <w:szCs w:val="24"/>
        </w:rPr>
        <w:t xml:space="preserve"> Henry Ford’s solutions to these problems transformed the industry.</w:t>
      </w:r>
    </w:p>
    <w:p>
      <w:pPr>
        <w:pStyle w:val="Normal"/>
        <w:spacing w:lineRule="auto" w:line="480" w:before="0" w:after="0"/>
        <w:ind w:firstLine="720" w:start="0" w:end="0"/>
        <w:rPr>
          <w:rFonts w:ascii="Liberation Serif" w:hAnsi="Liberation Serif"/>
          <w:sz w:val="24"/>
          <w:szCs w:val="24"/>
        </w:rPr>
      </w:pPr>
      <w:r>
        <w:rPr>
          <w:rFonts w:ascii="Liberation Serif" w:hAnsi="Liberation Serif"/>
          <w:sz w:val="24"/>
          <w:szCs w:val="24"/>
        </w:rPr>
        <w:t>In 1908, Ford introduced the Model T, a mass produced car with standardized parts that required less skill to make and cost far less than competitor’s cars, contributing to a rise in sales. In 1913 he introduced the automated assembly line, further standardizing production and reducing costs. And in 1914, he introduced the Five Dollar Day, a wage increase that solved the problems of employee turnover and bloated training costs. In order to compete, rival firms had to adopt and advance Fordist innovations and in the 1920s, General Motors introduced the yearly model change, further driving up consumer demand.</w:t>
      </w:r>
    </w:p>
    <w:p>
      <w:pPr>
        <w:pStyle w:val="Normal"/>
        <w:spacing w:lineRule="auto" w:line="480" w:before="0" w:after="0"/>
        <w:ind w:firstLine="720" w:start="0" w:end="0"/>
        <w:rPr>
          <w:rFonts w:ascii="Liberation Serif" w:hAnsi="Liberation Serif"/>
          <w:sz w:val="24"/>
          <w:szCs w:val="24"/>
        </w:rPr>
      </w:pPr>
      <w:r>
        <w:rPr>
          <w:rFonts w:ascii="Liberation Serif" w:hAnsi="Liberation Serif"/>
          <w:sz w:val="24"/>
          <w:szCs w:val="24"/>
        </w:rPr>
        <w:t xml:space="preserve">The challenges that Fordism introduced to the labor market and to the shop floor have been of particular interest to labor historians working in the Marxist tradition. From the early suppression of union activity by auto companies to the 1936 sit-down strike in Flint and the rise of the most militant unions in American history, the Fordist factory is a towering edifice in American labor historiography. But a full accounting of the social change wrought by Fordism would require a labor history that is critical of the notion of labor itself. </w:t>
      </w:r>
    </w:p>
    <w:p>
      <w:pPr>
        <w:pStyle w:val="Normal"/>
        <w:spacing w:lineRule="auto" w:line="480" w:before="0" w:after="0"/>
        <w:ind w:firstLine="720" w:start="0" w:end="0"/>
        <w:rPr>
          <w:rFonts w:ascii="Liberation Serif" w:hAnsi="Liberation Serif"/>
          <w:sz w:val="24"/>
          <w:szCs w:val="24"/>
        </w:rPr>
      </w:pPr>
      <w:r>
        <w:rPr>
          <w:rFonts w:ascii="Liberation Serif" w:hAnsi="Liberation Serif"/>
          <w:sz w:val="24"/>
          <w:szCs w:val="24"/>
        </w:rPr>
        <w:t xml:space="preserve">Liberal and Marxist historians in the twentieth century disagreed about the political nature of their work and the goal of the labor movement, but there is a fundamental similarity in their analysis. The key category for both traditions is labor, but while labor historians interrogated its relations with other social forms such as capital or law, they were less critical of the category of labor itself. Labor and by extension laborers are taken to be self-evidently coherent classifications: generally wage-laborers, generally men, generally working for someone else. </w:t>
      </w:r>
    </w:p>
    <w:p>
      <w:pPr>
        <w:pStyle w:val="Normal"/>
        <w:spacing w:lineRule="auto" w:line="480" w:before="0" w:after="0"/>
        <w:ind w:firstLine="720" w:start="0" w:end="0"/>
        <w:rPr>
          <w:rFonts w:ascii="Liberation Serif" w:hAnsi="Liberation Serif"/>
          <w:sz w:val="24"/>
          <w:szCs w:val="24"/>
        </w:rPr>
      </w:pPr>
      <w:r>
        <w:rPr>
          <w:rFonts w:ascii="Liberation Serif" w:hAnsi="Liberation Serif"/>
          <w:sz w:val="24"/>
          <w:szCs w:val="24"/>
        </w:rPr>
        <w:t xml:space="preserve">In 1971, Thomas Krueger, in “American Labor Historiography,” narrates a partial break with the shared paradigm of the liberal and Marxist historiography, but at the time of his writing that break was still incomplete. He is concerned with a shift away from </w:t>
      </w:r>
      <w:commentRangeStart w:id="14"/>
      <w:r>
        <w:rPr>
          <w:rFonts w:ascii="Liberation Serif" w:hAnsi="Liberation Serif"/>
          <w:sz w:val="24"/>
          <w:szCs w:val="24"/>
        </w:rPr>
        <w:t>Common’s</w:t>
      </w:r>
      <w:r>
        <w:rPr>
          <w:rFonts w:ascii="Liberation Serif" w:hAnsi="Liberation Serif"/>
          <w:sz w:val="24"/>
          <w:szCs w:val="24"/>
        </w:rPr>
      </w:r>
      <w:commentRangeEnd w:id="14"/>
      <w:r>
        <w:commentReference w:id="14"/>
      </w:r>
      <w:r>
        <w:rPr>
          <w:rFonts w:ascii="Liberation Serif" w:hAnsi="Liberation Serif"/>
          <w:sz w:val="24"/>
          <w:szCs w:val="24"/>
        </w:rPr>
        <w:t xml:space="preserve"> conception of labor history, citing Hyman Berman’s opinion that labor history “is more than the rise or fall or the failures and successes of organizations” and David Montgomery’s call to research “the cultural and intellectual life of the working classes.”</w:t>
      </w:r>
      <w:r>
        <w:rPr>
          <w:rStyle w:val="FootnoteReference"/>
          <w:rFonts w:ascii="Liberation Serif" w:hAnsi="Liberation Serif"/>
          <w:sz w:val="24"/>
          <w:szCs w:val="24"/>
          <w:vertAlign w:val="superscript"/>
        </w:rPr>
        <w:footnoteReference w:id="32"/>
      </w:r>
      <w:r>
        <w:rPr>
          <w:rFonts w:ascii="Liberation Serif" w:hAnsi="Liberation Serif"/>
          <w:sz w:val="24"/>
          <w:szCs w:val="24"/>
        </w:rPr>
        <w:t xml:space="preserve"> This new direction follows the work of the British Marxists in expanding the category of the working classes to include a greater sample of the relations of working class life, including community support of labor against capital during strikes, the influence of religion, and the permeability of class categories.</w:t>
      </w:r>
    </w:p>
    <w:p>
      <w:pPr>
        <w:pStyle w:val="Normal"/>
        <w:spacing w:lineRule="auto" w:line="480" w:before="0" w:after="0"/>
        <w:ind w:firstLine="720" w:start="0" w:end="0"/>
        <w:rPr>
          <w:rFonts w:ascii="Liberation Serif" w:hAnsi="Liberation Serif"/>
          <w:sz w:val="24"/>
          <w:szCs w:val="24"/>
        </w:rPr>
      </w:pPr>
      <w:r>
        <w:rPr>
          <w:rFonts w:ascii="Liberation Serif" w:hAnsi="Liberation Serif"/>
          <w:sz w:val="24"/>
          <w:szCs w:val="24"/>
        </w:rPr>
        <w:t>Krueger notes that in 1971, this development was still immature, and had to “solve some of its intellectual problems.”</w:t>
      </w:r>
      <w:r>
        <w:rPr>
          <w:rStyle w:val="FootnoteReference"/>
          <w:rFonts w:ascii="Liberation Serif" w:hAnsi="Liberation Serif"/>
          <w:sz w:val="24"/>
          <w:szCs w:val="24"/>
          <w:vertAlign w:val="superscript"/>
        </w:rPr>
        <w:footnoteReference w:id="33"/>
      </w:r>
      <w:r>
        <w:rPr>
          <w:rFonts w:ascii="Liberation Serif" w:hAnsi="Liberation Serif"/>
          <w:sz w:val="24"/>
          <w:szCs w:val="24"/>
        </w:rPr>
        <w:t xml:space="preserve"> His framing of the task ahead, however, demonstrates just how partial the break with old labor history still was. He lists ten “imposing questions” that need to be answered by new labor historians, and while they demonstrate an expansive view of labor </w:t>
      </w:r>
      <w:r>
        <w:rPr>
          <w:rFonts w:ascii="Liberation Serif" w:hAnsi="Liberation Serif"/>
          <w:i/>
          <w:sz w:val="24"/>
          <w:szCs w:val="24"/>
        </w:rPr>
        <w:t>history</w:t>
      </w:r>
      <w:r>
        <w:rPr>
          <w:rFonts w:ascii="Liberation Serif" w:hAnsi="Liberation Serif"/>
          <w:sz w:val="24"/>
          <w:szCs w:val="24"/>
        </w:rPr>
        <w:t>, they hew to a decidedly traditional view of the category of labor itself. One question is representative: “What happened to blacklisted workers, to men over 40 who got fired, to families whose head was mangled or killed on the job.”</w:t>
      </w:r>
      <w:r>
        <w:rPr>
          <w:rStyle w:val="FootnoteReference"/>
          <w:rFonts w:ascii="Liberation Serif" w:hAnsi="Liberation Serif"/>
          <w:sz w:val="24"/>
          <w:szCs w:val="24"/>
          <w:vertAlign w:val="superscript"/>
        </w:rPr>
        <w:footnoteReference w:id="34"/>
      </w:r>
      <w:r>
        <w:rPr>
          <w:rFonts w:ascii="Liberation Serif" w:hAnsi="Liberation Serif"/>
          <w:sz w:val="24"/>
          <w:szCs w:val="24"/>
        </w:rPr>
        <w:t xml:space="preserve"> Implicit in this question is the orientation of a nuclear family around labor and the elevation of specifically male waged labor.</w:t>
      </w:r>
    </w:p>
    <w:p>
      <w:pPr>
        <w:pStyle w:val="Normal"/>
        <w:spacing w:lineRule="auto" w:line="480" w:before="0" w:after="0"/>
        <w:ind w:firstLine="720" w:start="0" w:end="0"/>
        <w:rPr>
          <w:rFonts w:ascii="Liberation Serif" w:hAnsi="Liberation Serif"/>
          <w:sz w:val="24"/>
          <w:szCs w:val="24"/>
        </w:rPr>
      </w:pPr>
      <w:r>
        <w:rPr>
          <w:rFonts w:ascii="Liberation Serif" w:hAnsi="Liberation Serif"/>
          <w:sz w:val="24"/>
          <w:szCs w:val="24"/>
        </w:rPr>
        <w:t>In the 1970s, a significant challenge was posed to this traditional notion of labor, and to both Marxist and classical labor historiography, by feminist movements such as the Wages for Housework campaign. Though not a primarily American movement, the challenge posed by radical and Marxist feminists fundamentally changed the way that labor history in the US could be written. Writers and activists in this tradition challenged the notion that only waged labor contributed to the economy and took traditional Marxism to task for accepting the capitalist devaluation of feminized work.</w:t>
      </w:r>
    </w:p>
    <w:p>
      <w:pPr>
        <w:pStyle w:val="Normal"/>
        <w:spacing w:lineRule="auto" w:line="480" w:before="0" w:after="0"/>
        <w:ind w:firstLine="720" w:start="0" w:end="0"/>
        <w:rPr>
          <w:rFonts w:ascii="Liberation Serif" w:hAnsi="Liberation Serif"/>
          <w:sz w:val="24"/>
          <w:szCs w:val="24"/>
        </w:rPr>
      </w:pPr>
      <w:r>
        <w:rPr>
          <w:rFonts w:ascii="Liberation Serif" w:hAnsi="Liberation Serif"/>
          <w:sz w:val="24"/>
          <w:szCs w:val="24"/>
        </w:rPr>
        <w:t>Sylvia Federici, in the 1975 essay “Counterplanning from the Kitchen” lays out the feminist challenge to a wage-centric notion of labor posed by Wages for Housework:</w:t>
      </w:r>
    </w:p>
    <w:p>
      <w:pPr>
        <w:pStyle w:val="Normal"/>
        <w:spacing w:lineRule="auto" w:line="240" w:before="0" w:after="200"/>
        <w:ind w:hanging="0" w:start="720" w:end="0"/>
        <w:rPr>
          <w:rFonts w:ascii="Liberation Serif" w:hAnsi="Liberation Serif"/>
          <w:sz w:val="24"/>
          <w:szCs w:val="24"/>
        </w:rPr>
      </w:pPr>
      <w:r>
        <w:rPr>
          <w:rFonts w:ascii="Liberation Serif" w:hAnsi="Liberation Serif"/>
          <w:sz w:val="24"/>
          <w:szCs w:val="24"/>
        </w:rPr>
        <w:t>Beginning with ourselves as women we realize that working for capital does not necessarily produce a paycheck and does not begin and end at the factory gates.... Housework, in fact, is much more than housecleaning. It is servicing the wageworkers physically, emotionally, and sexually and getting them ready to work day after day for the wage.... This means that behind every factory, every school, every office, and every mine there is the hidden work of millions of women, who consume their life reproducing those who work in those factories, schools, offices, and mines.</w:t>
      </w:r>
      <w:r>
        <w:rPr>
          <w:rStyle w:val="FootnoteReference"/>
          <w:rFonts w:ascii="Liberation Serif" w:hAnsi="Liberation Serif"/>
          <w:sz w:val="24"/>
          <w:szCs w:val="24"/>
          <w:vertAlign w:val="superscript"/>
        </w:rPr>
        <w:footnoteReference w:id="35"/>
      </w:r>
    </w:p>
    <w:p>
      <w:pPr>
        <w:pStyle w:val="Normal"/>
        <w:spacing w:lineRule="auto" w:line="480" w:before="0" w:after="0"/>
        <w:ind w:firstLine="720" w:start="0" w:end="0"/>
        <w:rPr>
          <w:rFonts w:ascii="Liberation Serif" w:hAnsi="Liberation Serif"/>
          <w:sz w:val="24"/>
          <w:szCs w:val="24"/>
        </w:rPr>
      </w:pPr>
      <w:r>
        <w:rPr>
          <w:rFonts w:ascii="Liberation Serif" w:hAnsi="Liberation Serif"/>
          <w:sz w:val="24"/>
          <w:szCs w:val="24"/>
        </w:rPr>
        <w:t xml:space="preserve">The family life of workers, in other words, is not a realm separate and apart from their labor but is constitutive of it. The unpaid work of women (and children) forms the base on which the institution of waged labor stands. Implicit in Federici’s quote (and explicit in her other work) is the accusation that labor history and labor activism, by ignoring the work of women, reproduces capital’s own devaluation of gendered and non-waged work. </w:t>
      </w:r>
    </w:p>
    <w:p>
      <w:pPr>
        <w:pStyle w:val="Normal"/>
        <w:spacing w:lineRule="auto" w:line="480" w:before="0" w:after="0"/>
        <w:ind w:firstLine="720" w:start="0" w:end="0"/>
        <w:rPr>
          <w:rFonts w:ascii="Liberation Serif" w:hAnsi="Liberation Serif"/>
          <w:sz w:val="24"/>
          <w:szCs w:val="24"/>
        </w:rPr>
      </w:pPr>
      <w:r>
        <w:rPr>
          <w:rFonts w:ascii="Liberation Serif" w:hAnsi="Liberation Serif"/>
          <w:sz w:val="24"/>
          <w:szCs w:val="24"/>
        </w:rPr>
        <w:t>The point of this intervention is not to merely add a new type of labor to an old conception: the ne category is not labor plus gender. A labor history that merely traces struggles and changes in the structure of housework would do little more than transplant the old framework of analysis onto a new subject. Likewise, a treatment of gender as a variable that affects only women would be counterproductive. Rather, the task for feminist labor history is to interrogate the very process of categorization. Elizabeth Faue, introducing a volume of essays on gender and labor history, claims that “labor historians’ use of collectivities as units of analysis – whether classes, communities, trades, or families – masked both intraclass division and an understanding of conflicting interests that was at times one-dimensional.”</w:t>
      </w:r>
      <w:r>
        <w:rPr>
          <w:rStyle w:val="FootnoteReference"/>
          <w:rFonts w:ascii="Liberation Serif" w:hAnsi="Liberation Serif"/>
          <w:sz w:val="24"/>
          <w:szCs w:val="24"/>
          <w:vertAlign w:val="superscript"/>
        </w:rPr>
        <w:footnoteReference w:id="36"/>
      </w:r>
      <w:r>
        <w:rPr>
          <w:rFonts w:ascii="Liberation Serif" w:hAnsi="Liberation Serif"/>
          <w:sz w:val="24"/>
          <w:szCs w:val="24"/>
        </w:rPr>
        <w:t xml:space="preserve"> To remedy this, we must examine not how the category of gender </w:t>
      </w:r>
      <w:r>
        <w:rPr>
          <w:rFonts w:ascii="Liberation Serif" w:hAnsi="Liberation Serif"/>
          <w:i/>
          <w:sz w:val="24"/>
          <w:szCs w:val="24"/>
        </w:rPr>
        <w:t>acts on</w:t>
      </w:r>
      <w:r>
        <w:rPr>
          <w:rFonts w:ascii="Liberation Serif" w:hAnsi="Liberation Serif"/>
          <w:sz w:val="24"/>
          <w:szCs w:val="24"/>
        </w:rPr>
        <w:t xml:space="preserve"> the category of labor, but how it permeates</w:t>
      </w:r>
      <w:r>
        <w:rPr>
          <w:rFonts w:ascii="Liberation Serif" w:hAnsi="Liberation Serif"/>
          <w:i/>
          <w:sz w:val="24"/>
          <w:szCs w:val="24"/>
        </w:rPr>
        <w:t xml:space="preserve"> </w:t>
      </w:r>
      <w:r>
        <w:rPr>
          <w:rFonts w:ascii="Liberation Serif" w:hAnsi="Liberation Serif"/>
          <w:sz w:val="24"/>
          <w:szCs w:val="24"/>
        </w:rPr>
        <w:t xml:space="preserve">and </w:t>
      </w:r>
      <w:r>
        <w:rPr>
          <w:rFonts w:ascii="Liberation Serif" w:hAnsi="Liberation Serif"/>
          <w:i/>
          <w:sz w:val="24"/>
          <w:szCs w:val="24"/>
        </w:rPr>
        <w:t>constitutes</w:t>
      </w:r>
      <w:r>
        <w:rPr>
          <w:rFonts w:ascii="Liberation Serif" w:hAnsi="Liberation Serif"/>
          <w:sz w:val="24"/>
          <w:szCs w:val="24"/>
        </w:rPr>
        <w:t xml:space="preserve"> it. </w:t>
      </w:r>
    </w:p>
    <w:p>
      <w:pPr>
        <w:pStyle w:val="Normal"/>
        <w:spacing w:lineRule="auto" w:line="480" w:before="0" w:after="0"/>
        <w:ind w:firstLine="720" w:start="0" w:end="0"/>
        <w:rPr>
          <w:rFonts w:ascii="Liberation Serif" w:hAnsi="Liberation Serif"/>
          <w:sz w:val="24"/>
          <w:szCs w:val="24"/>
        </w:rPr>
      </w:pPr>
      <w:r>
        <w:rPr>
          <w:rFonts w:ascii="Liberation Serif" w:hAnsi="Liberation Serif"/>
          <w:sz w:val="24"/>
          <w:szCs w:val="24"/>
        </w:rPr>
        <w:t xml:space="preserve">Two complementary theoretical traditions are of use to us here. Social Reproduction Theory and World-Systems Analysis employ the overlapping categories of the family (SRT) and the household (WSA) to examine the gendered dynamics of labor. Labor is reproduced in different ways for different circumstances/locations and the category of labor itself has been opened up to include processes outside the shop floor. How are these processes disciplined and managed? </w:t>
      </w:r>
    </w:p>
    <w:p>
      <w:pPr>
        <w:pStyle w:val="Normal"/>
        <w:spacing w:lineRule="auto" w:line="480" w:before="0" w:after="0"/>
        <w:ind w:firstLine="720" w:start="0" w:end="0"/>
        <w:rPr>
          <w:rFonts w:ascii="Liberation Serif" w:hAnsi="Liberation Serif"/>
          <w:sz w:val="24"/>
          <w:szCs w:val="24"/>
        </w:rPr>
      </w:pPr>
      <w:r>
        <w:rPr>
          <w:rFonts w:ascii="Liberation Serif" w:hAnsi="Liberation Serif"/>
          <w:sz w:val="24"/>
          <w:szCs w:val="24"/>
        </w:rPr>
        <w:t>For Immanuel Wallerstein, the household is a crucial element of the capitalist world-system. Borrowing from Marxist thought, he identifies proletarianization as one of the constitutive processes of historical capitalism, but contra orthodox Marxism, he associates it not with an individual worker, but with households. Households are “relatively stable structures which share a common fund of current income and accumulated capital”</w:t>
      </w:r>
      <w:r>
        <w:rPr>
          <w:rStyle w:val="FootnoteReference"/>
          <w:rFonts w:ascii="Liberation Serif" w:hAnsi="Liberation Serif"/>
          <w:sz w:val="24"/>
          <w:szCs w:val="24"/>
          <w:vertAlign w:val="superscript"/>
        </w:rPr>
        <w:footnoteReference w:id="37"/>
      </w:r>
      <w:r>
        <w:rPr>
          <w:rFonts w:ascii="Liberation Serif" w:hAnsi="Liberation Serif"/>
          <w:sz w:val="24"/>
          <w:szCs w:val="24"/>
        </w:rPr>
        <w:t xml:space="preserve"> – in other words they are groups of people who pool their income from various sources in order to meet the collective needs of survival. This income (broadly conceived) can come from waged work, petty commodity production, unwaged reproductive work, or even cash transfers from kin or government agencies. </w:t>
      </w:r>
    </w:p>
    <w:p>
      <w:pPr>
        <w:pStyle w:val="Normal"/>
        <w:spacing w:lineRule="auto" w:line="480" w:before="0" w:after="0"/>
        <w:ind w:firstLine="720" w:start="0" w:end="0"/>
        <w:rPr>
          <w:rFonts w:ascii="Liberation Serif" w:hAnsi="Liberation Serif"/>
          <w:sz w:val="24"/>
          <w:szCs w:val="24"/>
        </w:rPr>
      </w:pPr>
      <w:commentRangeStart w:id="15"/>
      <w:r>
        <w:rPr>
          <w:rFonts w:ascii="Liberation Serif" w:hAnsi="Liberation Serif"/>
          <w:sz w:val="24"/>
          <w:szCs w:val="24"/>
        </w:rPr>
        <w:t>Social Reproduction Theory hews more closely to Marxist feminist categories. Though SRT theorists disagree on exact demarcation, there is a general distinction between productive labor (generally that which is done for a wage) and unproductive/reproductive labor (that which is concerned with providing for the base needs of life, on either a waged or unwaged basis). As Nancy Fraser puts it, the unwaged work of (usually) women supports the renewal of the life of the waged worker and forms “one of [the] background conditions of possibility” of capitalist accumulation.</w:t>
      </w:r>
      <w:r>
        <w:rPr>
          <w:rStyle w:val="FootnoteReference"/>
          <w:rFonts w:ascii="Liberation Serif" w:hAnsi="Liberation Serif"/>
          <w:sz w:val="24"/>
          <w:szCs w:val="24"/>
          <w:vertAlign w:val="superscript"/>
        </w:rPr>
        <w:footnoteReference w:id="38"/>
      </w:r>
      <w:commentRangeEnd w:id="15"/>
      <w:r>
        <w:commentReference w:id="15"/>
      </w:r>
      <w:r>
        <w:rPr>
          <w:rFonts w:ascii="Liberation Serif" w:hAnsi="Liberation Serif"/>
          <w:sz w:val="24"/>
          <w:szCs w:val="24"/>
          <w:vertAlign w:val="superscript"/>
        </w:rPr>
      </w:r>
    </w:p>
    <w:p>
      <w:pPr>
        <w:pStyle w:val="Normal"/>
        <w:spacing w:lineRule="auto" w:line="480" w:before="0" w:after="0"/>
        <w:ind w:firstLine="720" w:start="0" w:end="0"/>
        <w:rPr>
          <w:rFonts w:ascii="Liberation Serif" w:hAnsi="Liberation Serif"/>
          <w:sz w:val="24"/>
          <w:szCs w:val="24"/>
        </w:rPr>
      </w:pPr>
      <w:r>
        <w:rPr>
          <w:rFonts w:ascii="Liberation Serif" w:hAnsi="Liberation Serif"/>
          <w:sz w:val="24"/>
          <w:szCs w:val="24"/>
        </w:rPr>
        <w:t>Both of these frameworks can grant us insight into the management of labor in Detroit around the turn of the century. Prior to 1914, when Henry Ford instituted the famous Five Dollar Day in an attempt to reduce employee turnover, it was uncommon for Michigan families to live on the wage of a single earner. Working-class families cobbled together livings from various sources, fighting both to make higher wages and to carve out more time to do necessary subsistence labor. In “The Detroit Story: the crucible of Fordism,” Kathleen Stanley and Joan Smith examine the extent to which working-class families were transformed by the family-wage in Detroit from roughly 1890 through the middle of the twentieth century. They build on the category of the household as an income-pooling unit from world-systems analysis and take the family as a site of wage-contestation. Working-class households piece together subsistence from various sources: beyond the wages of a single laborer, they rely on the unpaid subsistence labor of women and children, charity or community assistance, income from boarders, informal commodity production, and many other sources. The need to depend on these extra-wage sources of income would be alleviated with a family-wage.</w:t>
      </w:r>
    </w:p>
    <w:p>
      <w:pPr>
        <w:pStyle w:val="Normal"/>
        <w:spacing w:lineRule="auto" w:line="480" w:before="0" w:after="0"/>
        <w:ind w:firstLine="720" w:start="0" w:end="0"/>
        <w:rPr>
          <w:rFonts w:ascii="Liberation Serif" w:hAnsi="Liberation Serif"/>
          <w:sz w:val="24"/>
          <w:szCs w:val="24"/>
        </w:rPr>
      </w:pPr>
      <w:r>
        <w:rPr>
          <w:rFonts w:ascii="Liberation Serif" w:hAnsi="Liberation Serif"/>
          <w:sz w:val="24"/>
          <w:szCs w:val="24"/>
        </w:rPr>
        <w:t>Smith and Stanley point out that in the 1890s, wages in the Detroit area were much lower than the national average. This was partly due to the depressed wages of immigrants who made up close to 70% of the city, and due to the relatively large percentage of the workforce that were women. While noting that there was much variation among family incomes, they cite that “The [average] laborer whose budget was reported by the Michigan Bureau of Labor, for example, faced an annual shortfall of $86, or 27 percent of his total income.”</w:t>
      </w:r>
      <w:r>
        <w:rPr>
          <w:rStyle w:val="FootnoteReference"/>
          <w:rFonts w:ascii="Liberation Serif" w:hAnsi="Liberation Serif"/>
          <w:sz w:val="24"/>
          <w:szCs w:val="24"/>
          <w:vertAlign w:val="superscript"/>
        </w:rPr>
        <w:footnoteReference w:id="39"/>
      </w:r>
      <w:r>
        <w:rPr>
          <w:rFonts w:ascii="Liberation Serif" w:hAnsi="Liberation Serif"/>
          <w:sz w:val="24"/>
          <w:szCs w:val="24"/>
        </w:rPr>
        <w:t xml:space="preserve"> Over a third of the city’s workforce was made up of “semiskilled, unskilled, and service workers” who earned considerably less than this average.</w:t>
      </w:r>
    </w:p>
    <w:p>
      <w:pPr>
        <w:pStyle w:val="Normal"/>
        <w:spacing w:lineRule="auto" w:line="480" w:before="0" w:after="0"/>
        <w:ind w:firstLine="720" w:start="0" w:end="0"/>
        <w:rPr>
          <w:rFonts w:ascii="Liberation Serif" w:hAnsi="Liberation Serif"/>
          <w:sz w:val="24"/>
          <w:szCs w:val="24"/>
        </w:rPr>
      </w:pPr>
      <w:r>
        <w:rPr>
          <w:rFonts w:ascii="Liberation Serif" w:hAnsi="Liberation Serif"/>
          <w:sz w:val="24"/>
          <w:szCs w:val="24"/>
        </w:rPr>
        <w:t>In addition to the type of labor performed, a major factor in the ability of Detroit workers in 1890 to survive on a wage was family composition, which correlated strongly with race. Polish immigrants generally had the largest households of any ethnic group, much greater than American-born whites. While most of the households across all ethnic groups were organized as nuclear families, Black families were far more likely to either not have children, or to have only one parent. Stanley and Smith note that while smaller families are generally considered to be more sustainable in times of depression (such as the 1890s), the significantly larger-than-average Polish households were able to leverage their family composition into more effective “patterns of subsistence.”</w:t>
      </w:r>
      <w:r>
        <w:rPr>
          <w:rStyle w:val="FootnoteReference"/>
          <w:rFonts w:ascii="Liberation Serif" w:hAnsi="Liberation Serif"/>
          <w:sz w:val="24"/>
          <w:szCs w:val="24"/>
          <w:vertAlign w:val="superscript"/>
        </w:rPr>
        <w:footnoteReference w:id="40"/>
      </w:r>
    </w:p>
    <w:p>
      <w:pPr>
        <w:pStyle w:val="Normal"/>
        <w:spacing w:lineRule="auto" w:line="480" w:before="0" w:after="0"/>
        <w:ind w:firstLine="720" w:start="0" w:end="0"/>
        <w:rPr>
          <w:rFonts w:ascii="Liberation Serif" w:hAnsi="Liberation Serif"/>
          <w:sz w:val="24"/>
          <w:szCs w:val="24"/>
        </w:rPr>
      </w:pPr>
      <w:r>
        <w:rPr>
          <w:rFonts w:ascii="Liberation Serif" w:hAnsi="Liberation Serif"/>
          <w:sz w:val="24"/>
          <w:szCs w:val="24"/>
        </w:rPr>
        <w:t>It appears that “Polish families brought with them skills associated with their recent past as peasants, which could be put to use outside the wage nexus.”</w:t>
      </w:r>
      <w:r>
        <w:rPr>
          <w:rStyle w:val="FootnoteReference"/>
          <w:rFonts w:ascii="Liberation Serif" w:hAnsi="Liberation Serif"/>
          <w:sz w:val="24"/>
          <w:szCs w:val="24"/>
          <w:vertAlign w:val="superscript"/>
        </w:rPr>
        <w:footnoteReference w:id="41"/>
      </w:r>
      <w:r>
        <w:rPr>
          <w:rFonts w:ascii="Liberation Serif" w:hAnsi="Liberation Serif"/>
          <w:sz w:val="24"/>
          <w:szCs w:val="24"/>
        </w:rPr>
        <w:t xml:space="preserve"> While it was uncommon for married Polish women to work outside the home for a wage, they were more likely than other groups to maintain livestock and vegetable gardens. When cash flow was an issue, Polish children were sent to work at higher rates than children of other families. The various forms of subsistence labor and multiple sources of wage income combined to insulate Polish families from both economic downturns and a reliance on a single wage-earner.</w:t>
      </w:r>
    </w:p>
    <w:p>
      <w:pPr>
        <w:pStyle w:val="Normal"/>
        <w:spacing w:lineRule="auto" w:line="480" w:before="0" w:after="0"/>
        <w:ind w:firstLine="720" w:start="0" w:end="0"/>
        <w:rPr>
          <w:rFonts w:ascii="Liberation Serif" w:hAnsi="Liberation Serif"/>
          <w:sz w:val="24"/>
          <w:szCs w:val="24"/>
        </w:rPr>
      </w:pPr>
      <w:r>
        <w:rPr>
          <w:rFonts w:ascii="Liberation Serif" w:hAnsi="Liberation Serif"/>
          <w:sz w:val="24"/>
          <w:szCs w:val="24"/>
        </w:rPr>
        <w:t>Other ethnic groups in the 1890s had their own strategies for survival that combined wage and non-wage incomes. Black families in Detroit generally had fewer dependents, which lowered the cost of living, but also meant that they could not send children to work. As a result, “married Black women were twice as likely to work for wages as other women”</w:t>
      </w:r>
      <w:r>
        <w:rPr>
          <w:rStyle w:val="FootnoteReference"/>
          <w:rFonts w:ascii="Liberation Serif" w:hAnsi="Liberation Serif"/>
          <w:sz w:val="24"/>
          <w:szCs w:val="24"/>
          <w:vertAlign w:val="superscript"/>
        </w:rPr>
        <w:footnoteReference w:id="42"/>
      </w:r>
      <w:r>
        <w:rPr>
          <w:rFonts w:ascii="Liberation Serif" w:hAnsi="Liberation Serif"/>
          <w:sz w:val="24"/>
          <w:szCs w:val="24"/>
        </w:rPr>
        <w:t xml:space="preserve"> and over a third of all Black women had waged jobs. Additionally, by 1900, Black families had the highest proportion of boarders in the city – non-family members who earned their keep either through rent payments or through contributing subsistence labor to the family.</w:t>
      </w:r>
    </w:p>
    <w:p>
      <w:pPr>
        <w:pStyle w:val="Normal"/>
        <w:spacing w:lineRule="auto" w:line="480" w:before="0" w:after="0"/>
        <w:ind w:firstLine="720" w:start="0" w:end="0"/>
        <w:rPr>
          <w:rFonts w:ascii="Liberation Serif" w:hAnsi="Liberation Serif"/>
          <w:sz w:val="24"/>
          <w:szCs w:val="24"/>
        </w:rPr>
      </w:pPr>
      <w:r>
        <w:rPr>
          <w:rFonts w:ascii="Liberation Serif" w:hAnsi="Liberation Serif"/>
          <w:sz w:val="24"/>
          <w:szCs w:val="24"/>
        </w:rPr>
        <w:t>American born whites also depended on boarders, although to a lesser extent than other ethnic groups. They generally had children but pulled their children out of school to work at a lower rate than other ethnic groups. Stanley and Smith note that “this was possible in part because of the higher wages received by native White men, 72 percent of whom were either professional or skilled workers.”</w:t>
      </w:r>
      <w:r>
        <w:rPr>
          <w:rStyle w:val="FootnoteReference"/>
          <w:rFonts w:ascii="Liberation Serif" w:hAnsi="Liberation Serif"/>
          <w:sz w:val="24"/>
          <w:szCs w:val="24"/>
          <w:vertAlign w:val="superscript"/>
        </w:rPr>
        <w:footnoteReference w:id="43"/>
      </w:r>
      <w:r>
        <w:rPr>
          <w:rFonts w:ascii="Liberation Serif" w:hAnsi="Liberation Serif"/>
          <w:sz w:val="24"/>
          <w:szCs w:val="24"/>
        </w:rPr>
        <w:t xml:space="preserve"> These families rarely sent married women into the workforce, although occasionally unmarried white women did work outside of the home.</w:t>
      </w:r>
    </w:p>
    <w:p>
      <w:pPr>
        <w:pStyle w:val="Normal"/>
        <w:spacing w:lineRule="auto" w:line="480" w:before="0" w:after="0"/>
        <w:ind w:firstLine="720" w:start="0" w:end="0"/>
        <w:rPr>
          <w:rFonts w:ascii="Liberation Serif" w:hAnsi="Liberation Serif"/>
          <w:sz w:val="24"/>
          <w:szCs w:val="24"/>
        </w:rPr>
      </w:pPr>
      <w:r>
        <w:rPr>
          <w:rFonts w:ascii="Liberation Serif" w:hAnsi="Liberation Serif"/>
          <w:sz w:val="24"/>
          <w:szCs w:val="24"/>
        </w:rPr>
        <w:t>After the development of the Five-Dollar Day in 1914, household patterns in Detroit changed, but not necessarily in the direction of single-income nuclear families. Stanley and Smith note that in the decades following Ford’s family-wage campaign, “even in Detroit, this presumed bastion of Fordism, the family wage was never a reality for the majority of wage-earners.” Except for a small elite strata of the working classes, “the male wage was always supplemented by the wages of children and sometimes of wives, as well as by considerable amounts of subsistence labor.”</w:t>
      </w:r>
      <w:r>
        <w:rPr>
          <w:rStyle w:val="FootnoteReference"/>
          <w:rFonts w:ascii="Liberation Serif" w:hAnsi="Liberation Serif"/>
          <w:sz w:val="24"/>
          <w:szCs w:val="24"/>
          <w:vertAlign w:val="superscript"/>
        </w:rPr>
        <w:footnoteReference w:id="44"/>
      </w:r>
      <w:r>
        <w:rPr>
          <w:rFonts w:ascii="Liberation Serif" w:hAnsi="Liberation Serif"/>
          <w:sz w:val="24"/>
          <w:szCs w:val="24"/>
        </w:rPr>
        <w:t xml:space="preserve"> This picture looks much the same as pre-Fordist Detroit, so what changed? Was the social transformation of Fordism as radical as its labor transformation?</w:t>
      </w:r>
    </w:p>
    <w:p>
      <w:pPr>
        <w:pStyle w:val="Normal"/>
        <w:spacing w:lineRule="auto" w:line="480" w:before="0" w:after="0"/>
        <w:ind w:firstLine="720" w:start="0" w:end="0"/>
        <w:rPr>
          <w:rFonts w:ascii="Liberation Serif" w:hAnsi="Liberation Serif"/>
          <w:sz w:val="24"/>
          <w:szCs w:val="24"/>
        </w:rPr>
      </w:pPr>
      <w:r>
        <w:rPr>
          <w:rFonts w:ascii="Liberation Serif" w:hAnsi="Liberation Serif"/>
          <w:sz w:val="24"/>
          <w:szCs w:val="24"/>
        </w:rPr>
        <w:t xml:space="preserve">In short, yes, but to understand exactly how we need to look more closely at patterns of race. Between 1900 and 1940, the population of Michigan more than doubled, from 2.4 million to 5.3 million. During this same period, the Black population of the state increased by a factor of more than </w:t>
      </w:r>
      <w:r>
        <w:rPr>
          <w:rFonts w:ascii="Liberation Serif" w:hAnsi="Liberation Serif"/>
          <w:i/>
          <w:sz w:val="24"/>
          <w:szCs w:val="24"/>
        </w:rPr>
        <w:t>thirteen</w:t>
      </w:r>
      <w:r>
        <w:rPr>
          <w:rFonts w:ascii="Liberation Serif" w:hAnsi="Liberation Serif"/>
          <w:sz w:val="24"/>
          <w:szCs w:val="24"/>
        </w:rPr>
        <w:t>, from just over 15,000 to more than 208, 000.</w:t>
      </w:r>
      <w:r>
        <w:rPr>
          <w:rStyle w:val="FootnoteReference"/>
          <w:rFonts w:ascii="Liberation Serif" w:hAnsi="Liberation Serif"/>
          <w:sz w:val="24"/>
          <w:szCs w:val="24"/>
          <w:vertAlign w:val="superscript"/>
        </w:rPr>
        <w:footnoteReference w:id="45"/>
      </w:r>
      <w:r>
        <w:rPr>
          <w:rFonts w:ascii="Liberation Serif" w:hAnsi="Liberation Serif"/>
          <w:sz w:val="24"/>
          <w:szCs w:val="24"/>
        </w:rPr>
        <w:t xml:space="preserve"> Most of this increase was driven by Black migrants from the southern states, looking for better working conditions and wages in the industrial Midwest. </w:t>
      </w:r>
    </w:p>
    <w:p>
      <w:pPr>
        <w:pStyle w:val="Normal"/>
        <w:spacing w:lineRule="auto" w:line="480" w:before="0" w:after="0"/>
        <w:ind w:firstLine="720" w:start="0" w:end="0"/>
        <w:rPr>
          <w:rFonts w:ascii="Liberation Serif" w:hAnsi="Liberation Serif"/>
          <w:sz w:val="24"/>
          <w:szCs w:val="24"/>
        </w:rPr>
      </w:pPr>
      <w:r>
        <w:rPr>
          <w:rFonts w:ascii="Liberation Serif" w:hAnsi="Liberation Serif"/>
          <w:sz w:val="24"/>
          <w:szCs w:val="24"/>
        </w:rPr>
        <w:t>To an extent they were able to find them, but they did not enter the Michigan workforce on equal footing with whites. According to the 1930 census, Black men were significantly overrepresented in low paid manufacturing jobs, while their white counterparts were more often employed either as shop foremen or skilled machinists.</w:t>
      </w:r>
      <w:r>
        <w:rPr>
          <w:rStyle w:val="FootnoteReference"/>
          <w:rFonts w:ascii="Liberation Serif" w:hAnsi="Liberation Serif"/>
          <w:sz w:val="24"/>
          <w:szCs w:val="24"/>
          <w:vertAlign w:val="superscript"/>
        </w:rPr>
        <w:footnoteReference w:id="46"/>
      </w:r>
      <w:r>
        <w:rPr>
          <w:rFonts w:ascii="Liberation Serif" w:hAnsi="Liberation Serif"/>
          <w:sz w:val="24"/>
          <w:szCs w:val="24"/>
        </w:rPr>
        <w:t xml:space="preserve"> The cities themselves mirrored this, with white workers more often owning free standing homes in newly developed neighborhoods, and Black workers and poor whites confined to the slums. In other words, the social significance of Fordism is defined as much by who it excluded from prosperity as by who it included.</w:t>
      </w:r>
    </w:p>
    <w:p>
      <w:pPr>
        <w:pStyle w:val="Normal"/>
        <w:spacing w:lineRule="auto" w:line="480" w:before="0" w:after="0"/>
        <w:ind w:firstLine="720" w:start="0" w:end="0"/>
        <w:rPr>
          <w:rFonts w:ascii="Liberation Serif" w:hAnsi="Liberation Serif"/>
          <w:sz w:val="24"/>
          <w:szCs w:val="24"/>
        </w:rPr>
      </w:pPr>
      <w:r>
        <w:rPr>
          <w:rFonts w:ascii="Liberation Serif" w:hAnsi="Liberation Serif"/>
          <w:sz w:val="24"/>
          <w:szCs w:val="24"/>
        </w:rPr>
        <w:t xml:space="preserve">Disparities in income are compensated for in many ways, and as Stanley and Smith demonstrate, this is an essential element in labor history. It is not enough to note that Black laborers generally earned less than whites – we must look at the household forms that propped up this disparity and that allowed low-income groups to survive despite their condition of degraded labor. Stanley and Smith noted that Black families were much more likely to rely on boarders to make ends meet, and Black women were much more likely to work outside the home. Even within the “white” ethnic groups, there are various forms of family composition that contributed to the types of labor performed. Polish women laboring informally in vegetable gardens or caring for chickens are as much a part of labor history as American born unmarried white women working outside the home for a wage. And both are inextricable from the histories of the generally male, generally white worker that take up so much space in liberal and Marxist labor histories. </w:t>
      </w:r>
    </w:p>
    <w:p>
      <w:pPr>
        <w:pStyle w:val="Normal"/>
        <w:spacing w:lineRule="auto" w:line="480" w:before="0" w:after="0"/>
        <w:ind w:firstLine="720" w:start="0" w:end="0"/>
        <w:rPr>
          <w:rFonts w:ascii="Liberation Serif" w:hAnsi="Liberation Serif"/>
          <w:sz w:val="24"/>
          <w:szCs w:val="24"/>
        </w:rPr>
      </w:pPr>
      <w:r>
        <w:rPr>
          <w:rFonts w:ascii="Liberation Serif" w:hAnsi="Liberation Serif"/>
          <w:sz w:val="24"/>
          <w:szCs w:val="24"/>
        </w:rPr>
      </w:r>
    </w:p>
    <w:p>
      <w:pPr>
        <w:pStyle w:val="Normal"/>
        <w:spacing w:lineRule="auto" w:line="480" w:before="0" w:after="0"/>
        <w:ind w:hanging="0" w:start="0" w:end="0"/>
        <w:rPr>
          <w:b/>
          <w:bCs/>
          <w:i w:val="false"/>
          <w:i w:val="false"/>
          <w:iCs w:val="false"/>
        </w:rPr>
      </w:pPr>
      <w:commentRangeStart w:id="16"/>
      <w:r>
        <w:rPr>
          <w:rFonts w:ascii="Liberation Serif" w:hAnsi="Liberation Serif"/>
          <w:b/>
          <w:bCs/>
          <w:i w:val="false"/>
          <w:iCs w:val="false"/>
          <w:sz w:val="24"/>
          <w:szCs w:val="24"/>
        </w:rPr>
        <w:t>Global Complications: the Rubber Industry</w:t>
      </w:r>
      <w:commentRangeEnd w:id="16"/>
      <w:r>
        <w:commentReference w:id="16"/>
      </w:r>
      <w:r>
        <w:rPr>
          <w:rFonts w:ascii="Liberation Serif" w:hAnsi="Liberation Serif"/>
          <w:b/>
          <w:bCs/>
          <w:i w:val="false"/>
          <w:iCs w:val="false"/>
          <w:sz w:val="24"/>
          <w:szCs w:val="24"/>
        </w:rPr>
      </w:r>
    </w:p>
    <w:p>
      <w:pPr>
        <w:pStyle w:val="Normal"/>
        <w:spacing w:lineRule="auto" w:line="480" w:before="0" w:after="0"/>
        <w:ind w:firstLine="720" w:start="0" w:end="0"/>
        <w:rPr>
          <w:rFonts w:ascii="Liberation Serif" w:hAnsi="Liberation Serif"/>
          <w:sz w:val="24"/>
          <w:szCs w:val="24"/>
        </w:rPr>
      </w:pPr>
      <w:r>
        <w:rPr>
          <w:rFonts w:ascii="Liberation Serif" w:hAnsi="Liberation Serif"/>
          <w:sz w:val="24"/>
          <w:szCs w:val="24"/>
        </w:rPr>
        <w:t>Fordism did not develop in isolation, nor exclusively from local dynamics. Just as the existence of Fordist production methods was dependent on racial and gendered divisions in the local labor market, it was also built on a global division of labor, whereby the more brutal exploitation of workers in peripheral states propped up the productive relations in the core. Wallerstein terms this global dynamic the “axial division of labor,” a dynamic which ensures a “constant flow of surplus-value from the producers of peripheral products to the producers of core-like products.”</w:t>
      </w:r>
      <w:r>
        <w:rPr>
          <w:rStyle w:val="FootnoteReference"/>
          <w:rFonts w:ascii="Liberation Serif" w:hAnsi="Liberation Serif"/>
          <w:sz w:val="24"/>
          <w:szCs w:val="24"/>
          <w:vertAlign w:val="superscript"/>
        </w:rPr>
        <w:footnoteReference w:id="47"/>
      </w:r>
      <w:r>
        <w:rPr>
          <w:rFonts w:ascii="Liberation Serif" w:hAnsi="Liberation Serif"/>
          <w:sz w:val="24"/>
          <w:szCs w:val="24"/>
        </w:rPr>
        <w:t xml:space="preserve"> </w:t>
      </w:r>
    </w:p>
    <w:p>
      <w:pPr>
        <w:pStyle w:val="Normal"/>
        <w:spacing w:lineRule="auto" w:line="480" w:before="0" w:after="0"/>
        <w:ind w:firstLine="720" w:start="0" w:end="0"/>
        <w:rPr>
          <w:rFonts w:ascii="Liberation Serif" w:hAnsi="Liberation Serif"/>
          <w:sz w:val="24"/>
          <w:szCs w:val="24"/>
        </w:rPr>
      </w:pPr>
      <w:commentRangeStart w:id="17"/>
      <w:r>
        <w:rPr>
          <w:rFonts w:ascii="Liberation Serif" w:hAnsi="Liberation Serif"/>
          <w:sz w:val="24"/>
          <w:szCs w:val="24"/>
        </w:rPr>
        <w:t>The nature of this global dynamic between the capitalist core and periphery was characterized by Andre Gunder Frank as the development of underdevelopment.</w:t>
      </w:r>
      <w:r>
        <w:rPr>
          <w:rStyle w:val="FootnoteReference"/>
          <w:rFonts w:ascii="Liberation Serif" w:hAnsi="Liberation Serif"/>
          <w:sz w:val="24"/>
          <w:szCs w:val="24"/>
          <w:vertAlign w:val="superscript"/>
        </w:rPr>
        <w:footnoteReference w:id="48"/>
      </w:r>
      <w:r>
        <w:rPr>
          <w:rFonts w:ascii="Liberation Serif" w:hAnsi="Liberation Serif"/>
          <w:sz w:val="24"/>
          <w:szCs w:val="24"/>
        </w:rPr>
        <w:t xml:space="preserve"> In his account, the supposed economic backwardness of the global south is not a failure to keep pace with the capitalist core, but rather “is the result of its centuries-long participation in the process of world capitalist development.”</w:t>
      </w:r>
      <w:r>
        <w:rPr>
          <w:rStyle w:val="FootnoteReference"/>
          <w:rFonts w:ascii="Liberation Serif" w:hAnsi="Liberation Serif"/>
          <w:sz w:val="24"/>
          <w:szCs w:val="24"/>
          <w:vertAlign w:val="superscript"/>
        </w:rPr>
        <w:footnoteReference w:id="49"/>
      </w:r>
      <w:r>
        <w:rPr>
          <w:rFonts w:ascii="Liberation Serif" w:hAnsi="Liberation Serif"/>
          <w:sz w:val="24"/>
          <w:szCs w:val="24"/>
        </w:rPr>
        <w:t xml:space="preserve"> In other words, the underdevelopment of the global south is a condition positively created by the dynamics of global capitalism.</w:t>
      </w:r>
      <w:r>
        <w:rPr>
          <w:rFonts w:ascii="Liberation Serif" w:hAnsi="Liberation Serif"/>
          <w:sz w:val="24"/>
          <w:szCs w:val="24"/>
        </w:rPr>
      </w:r>
      <w:commentRangeEnd w:id="17"/>
      <w:r>
        <w:commentReference w:id="17"/>
      </w:r>
      <w:r>
        <w:rPr>
          <w:rFonts w:ascii="Liberation Serif" w:hAnsi="Liberation Serif"/>
          <w:sz w:val="24"/>
          <w:szCs w:val="24"/>
        </w:rPr>
        <w:t xml:space="preserve"> Samir Amin’s </w:t>
      </w:r>
      <w:r>
        <w:rPr>
          <w:rFonts w:ascii="Liberation Serif" w:hAnsi="Liberation Serif"/>
          <w:i/>
          <w:sz w:val="24"/>
          <w:szCs w:val="24"/>
        </w:rPr>
        <w:t>Accumulation on a World Scale</w:t>
      </w:r>
      <w:r>
        <w:rPr>
          <w:rFonts w:ascii="Liberation Serif" w:hAnsi="Liberation Serif"/>
          <w:sz w:val="24"/>
          <w:szCs w:val="24"/>
        </w:rPr>
        <w:t xml:space="preserve"> deals with this dynamic as well, attempting to counter the prevailing stagist narrative of underdevelopment which isolates the poverty of the periphery from world history and assumes that “laissez-faire was certain to develop the colonies just as it had developed the industrialized metropolitan countries.”</w:t>
      </w:r>
      <w:r>
        <w:rPr>
          <w:rStyle w:val="FootnoteReference"/>
          <w:rFonts w:ascii="Liberation Serif" w:hAnsi="Liberation Serif"/>
          <w:sz w:val="24"/>
          <w:szCs w:val="24"/>
          <w:vertAlign w:val="superscript"/>
        </w:rPr>
        <w:footnoteReference w:id="50"/>
      </w:r>
      <w:r>
        <w:rPr>
          <w:rFonts w:ascii="Liberation Serif" w:hAnsi="Liberation Serif"/>
          <w:sz w:val="24"/>
          <w:szCs w:val="24"/>
        </w:rPr>
        <w:t xml:space="preserve"> Amin insists that it is the capitalist core’s economic growth itself that creates the impoverished condition of the periphery. He claims that “as economic growth proceeds, none of these features by which the structure of the periphery is distinguished lessens; on the contrary, each increases…. In the periphery growth is </w:t>
      </w:r>
      <w:r>
        <w:rPr>
          <w:rFonts w:ascii="Liberation Serif" w:hAnsi="Liberation Serif"/>
          <w:i/>
          <w:sz w:val="24"/>
          <w:szCs w:val="24"/>
        </w:rPr>
        <w:t>not</w:t>
      </w:r>
      <w:r>
        <w:rPr>
          <w:rFonts w:ascii="Liberation Serif" w:hAnsi="Liberation Serif"/>
          <w:sz w:val="24"/>
          <w:szCs w:val="24"/>
        </w:rPr>
        <w:t xml:space="preserve"> development, for its effect is to disarticulate.”</w:t>
      </w:r>
      <w:r>
        <w:rPr>
          <w:rStyle w:val="FootnoteReference"/>
          <w:rFonts w:ascii="Liberation Serif" w:hAnsi="Liberation Serif"/>
          <w:sz w:val="24"/>
          <w:szCs w:val="24"/>
          <w:vertAlign w:val="superscript"/>
        </w:rPr>
        <w:footnoteReference w:id="51"/>
      </w:r>
    </w:p>
    <w:p>
      <w:pPr>
        <w:pStyle w:val="Normal"/>
        <w:spacing w:lineRule="auto" w:line="480" w:before="0" w:after="0"/>
        <w:ind w:firstLine="720" w:start="0" w:end="0"/>
        <w:rPr>
          <w:rFonts w:ascii="Liberation Serif" w:hAnsi="Liberation Serif"/>
          <w:sz w:val="24"/>
          <w:szCs w:val="24"/>
        </w:rPr>
      </w:pPr>
      <w:r>
        <w:rPr>
          <w:rFonts w:ascii="Liberation Serif" w:hAnsi="Liberation Serif"/>
          <w:sz w:val="24"/>
          <w:szCs w:val="24"/>
        </w:rPr>
        <w:t>Economic disarticulation in the periphery is central to Amin’s analysis. In the core, national economies are largely integrated: different sectors “carry out substantial exchanges between themselves, which may be called “interindustrial” or “intersectoral” exchanges.”</w:t>
      </w:r>
      <w:r>
        <w:rPr>
          <w:rStyle w:val="FootnoteReference"/>
          <w:rFonts w:ascii="Liberation Serif" w:hAnsi="Liberation Serif"/>
          <w:sz w:val="24"/>
          <w:szCs w:val="24"/>
          <w:vertAlign w:val="superscript"/>
        </w:rPr>
        <w:footnoteReference w:id="52"/>
      </w:r>
      <w:r>
        <w:rPr>
          <w:rFonts w:ascii="Liberation Serif" w:hAnsi="Liberation Serif"/>
          <w:sz w:val="24"/>
          <w:szCs w:val="24"/>
        </w:rPr>
        <w:t xml:space="preserve"> The outputs of extractive industries within developed economies directly support domestic manufacturing and agriculture. For so-called “underdeveloped” economies, internal trade between industrial sectors is stifled: “The different kinds of mineral wealth exploited by these great concerns - metals, oil, etc. - are not destined to supply domestic industries on the spot, but are exported in order to supply complex industrial groups in the advanced countries.”</w:t>
      </w:r>
      <w:r>
        <w:rPr>
          <w:rStyle w:val="FootnoteReference"/>
          <w:rFonts w:ascii="Liberation Serif" w:hAnsi="Liberation Serif"/>
          <w:sz w:val="24"/>
          <w:szCs w:val="24"/>
          <w:vertAlign w:val="superscript"/>
        </w:rPr>
        <w:footnoteReference w:id="53"/>
      </w:r>
      <w:r>
        <w:rPr>
          <w:rFonts w:ascii="Liberation Serif" w:hAnsi="Liberation Serif"/>
          <w:sz w:val="24"/>
          <w:szCs w:val="24"/>
        </w:rPr>
        <w:t xml:space="preserve"> Whereas in the core, rationalization and growth in one industry is quickly generalized to others, in the periphery industrial growth has minimal effect on the domestic economy as a whole, transferring the benefits to its industrial trading partners.</w:t>
      </w:r>
    </w:p>
    <w:p>
      <w:pPr>
        <w:pStyle w:val="Normal"/>
        <w:spacing w:lineRule="auto" w:line="480" w:before="0" w:after="0"/>
        <w:ind w:firstLine="720" w:start="0" w:end="0"/>
        <w:rPr>
          <w:rFonts w:ascii="Liberation Serif" w:hAnsi="Liberation Serif"/>
          <w:sz w:val="24"/>
          <w:szCs w:val="24"/>
        </w:rPr>
      </w:pPr>
      <w:r>
        <w:rPr>
          <w:rFonts w:ascii="Liberation Serif" w:hAnsi="Liberation Serif"/>
          <w:sz w:val="24"/>
          <w:szCs w:val="24"/>
        </w:rPr>
        <w:t>This dynamic can be traced along what world-systems analysts call commodity chains: the global chain of labor and raw-material inputs that results in the production of particular industrial and consumer goods. The term commodity chain was coined in a 1977 paper by Wallerstein and Hopkins, who propose it as an analytical tool to combat a “developmentalist” perspective in which “the world is said to consist of a number of related but basically autonomous ‘societies’ ... each moving upward along an essentially similar path of development.”</w:t>
      </w:r>
      <w:r>
        <w:rPr>
          <w:rStyle w:val="FootnoteReference"/>
          <w:rFonts w:ascii="Liberation Serif" w:hAnsi="Liberation Serif"/>
          <w:sz w:val="24"/>
          <w:szCs w:val="24"/>
          <w:vertAlign w:val="superscript"/>
        </w:rPr>
        <w:footnoteReference w:id="54"/>
      </w:r>
      <w:r>
        <w:rPr>
          <w:rFonts w:ascii="Liberation Serif" w:hAnsi="Liberation Serif"/>
          <w:sz w:val="24"/>
          <w:szCs w:val="24"/>
        </w:rPr>
        <w:t xml:space="preserve"> Criticizing an analytical nationalism which attempts to abstract autonomous societies from each other, Wallerstein and Hopkins insist on analyzing the world-system in toto: “a definite ‘world’, a spatio-temporal whole, whose spatial scope is coextensive with the elementary division of labor among its constituent regions or parts and whose temporal scope extends for as long as the elementary division of labor continually reproduces the ‘world’ as a social whole.”</w:t>
      </w:r>
      <w:r>
        <w:rPr>
          <w:rStyle w:val="FootnoteReference"/>
          <w:rFonts w:ascii="Liberation Serif" w:hAnsi="Liberation Serif"/>
          <w:sz w:val="24"/>
          <w:szCs w:val="24"/>
          <w:vertAlign w:val="superscript"/>
        </w:rPr>
        <w:footnoteReference w:id="55"/>
      </w:r>
      <w:r>
        <w:rPr>
          <w:rFonts w:ascii="Liberation Serif" w:hAnsi="Liberation Serif"/>
          <w:sz w:val="24"/>
          <w:szCs w:val="24"/>
        </w:rPr>
        <w:t xml:space="preserve"> Within this global social body, commodity chains form a sort of vascular system, transporting raw materials and ossified labor inputs from their sites of production, combining them, and bringing them to market where they can be valorized and turned into profit.</w:t>
      </w:r>
    </w:p>
    <w:p>
      <w:pPr>
        <w:pStyle w:val="Normal"/>
        <w:spacing w:lineRule="auto" w:line="480" w:before="0" w:after="0"/>
        <w:ind w:firstLine="720" w:start="0" w:end="0"/>
        <w:rPr>
          <w:rFonts w:ascii="Liberation Serif" w:hAnsi="Liberation Serif"/>
          <w:sz w:val="24"/>
          <w:szCs w:val="24"/>
        </w:rPr>
      </w:pPr>
      <w:r>
        <w:rPr>
          <w:rFonts w:ascii="Liberation Serif" w:hAnsi="Liberation Serif"/>
          <w:sz w:val="24"/>
          <w:szCs w:val="24"/>
        </w:rPr>
        <w:t>Commodity chains bring local and global dynamics into contact. As commodity production expanded over the course of capitalism’s global history, the need for vast amounts of raw materials to be transported across large distances increased. Bunker and Ciccantell claim that the “solutions to the raw materials problem require the coordination of multiple physical and social processes across geopolitical and physical space with domestic relations between firms, sectors, the state, labor, and new technologies.”</w:t>
      </w:r>
      <w:r>
        <w:rPr>
          <w:rStyle w:val="FootnoteReference"/>
          <w:rFonts w:ascii="Liberation Serif" w:hAnsi="Liberation Serif"/>
          <w:sz w:val="24"/>
          <w:szCs w:val="24"/>
          <w:vertAlign w:val="superscript"/>
        </w:rPr>
        <w:footnoteReference w:id="56"/>
      </w:r>
      <w:r>
        <w:rPr>
          <w:rFonts w:ascii="Liberation Serif" w:hAnsi="Liberation Serif"/>
          <w:sz w:val="24"/>
          <w:szCs w:val="24"/>
        </w:rPr>
        <w:t xml:space="preserve"> </w:t>
      </w:r>
      <w:commentRangeStart w:id="18"/>
      <w:commentRangeStart w:id="19"/>
      <w:r>
        <w:rPr>
          <w:rFonts w:ascii="Liberation Serif" w:hAnsi="Liberation Serif"/>
          <w:sz w:val="24"/>
          <w:szCs w:val="24"/>
        </w:rPr>
        <w:t xml:space="preserve">As a sort of vascular system for raw and processed materials within the capitalist world-system, commodity chains are a primary </w:t>
      </w:r>
      <w:r>
        <w:rPr>
          <w:rFonts w:ascii="Liberation Serif" w:hAnsi="Liberation Serif"/>
          <w:sz w:val="24"/>
          <w:szCs w:val="24"/>
        </w:rPr>
      </w:r>
      <w:commentRangeEnd w:id="19"/>
      <w:r>
        <w:commentReference w:id="19"/>
      </w:r>
      <w:r>
        <w:rPr>
          <w:rFonts w:ascii="Liberation Serif" w:hAnsi="Liberation Serif"/>
          <w:sz w:val="24"/>
          <w:szCs w:val="24"/>
        </w:rPr>
        <w:t xml:space="preserve">axis of contestation for actors across ‘geopolitical and physical space.’ The </w:t>
      </w:r>
      <w:commentRangeStart w:id="20"/>
      <w:r>
        <w:rPr>
          <w:rFonts w:ascii="Liberation Serif" w:hAnsi="Liberation Serif"/>
          <w:sz w:val="24"/>
          <w:szCs w:val="24"/>
        </w:rPr>
        <w:t>state acts on commodity chains</w:t>
      </w:r>
      <w:r>
        <w:rPr>
          <w:rFonts w:ascii="Liberation Serif" w:hAnsi="Liberation Serif"/>
          <w:sz w:val="24"/>
          <w:szCs w:val="24"/>
        </w:rPr>
      </w:r>
      <w:commentRangeEnd w:id="20"/>
      <w:r>
        <w:commentReference w:id="20"/>
      </w:r>
      <w:r>
        <w:rPr>
          <w:rFonts w:ascii="Liberation Serif" w:hAnsi="Liberation Serif"/>
          <w:sz w:val="24"/>
          <w:szCs w:val="24"/>
        </w:rPr>
        <w:t xml:space="preserve"> through trade agreements, or through nationalizing or privatizing reserves of raw materials. Labor asserts its power to strike or withhold itself at various points along the chain - labor inputs being the stuff that connects various links. And finally the firms, capitalists themselves, act to either subsume more and more of the production processes that feed into the final consumable as in Fordist vertical integration, or they outsource moments in the production process to locales with a cheaper labor supply as we see in the trends of post-Fordist globalization. </w:t>
      </w:r>
    </w:p>
    <w:p>
      <w:pPr>
        <w:pStyle w:val="Normal"/>
        <w:spacing w:lineRule="auto" w:line="480" w:before="0" w:after="0"/>
        <w:ind w:firstLine="720" w:start="0" w:end="0"/>
        <w:rPr>
          <w:rFonts w:ascii="Liberation Serif" w:hAnsi="Liberation Serif"/>
          <w:sz w:val="24"/>
          <w:szCs w:val="24"/>
        </w:rPr>
      </w:pPr>
      <w:r>
        <w:rPr>
          <w:rFonts w:ascii="Liberation Serif" w:hAnsi="Liberation Serif"/>
          <w:sz w:val="24"/>
          <w:szCs w:val="24"/>
        </w:rPr>
        <w:t>Commodity chains are a useful concept for countering overly-local views of capitalist accumulation. Analyses, such as Aglietta’s, that treat capitalist production in core regions as a self-contained whole fail to account for how productive relations in the core are propped up by quite different productive relations in the periphery. Smith, Ciccantell, and Sowers note that this problematic has been taken up at length by world-systems analysts who examine the racialized nature of labor in “resource frontiers and extractive peripheries.”</w:t>
      </w:r>
      <w:r>
        <w:rPr>
          <w:rStyle w:val="FootnoteReference"/>
          <w:rFonts w:ascii="Liberation Serif" w:hAnsi="Liberation Serif"/>
          <w:sz w:val="24"/>
          <w:szCs w:val="24"/>
          <w:vertAlign w:val="superscript"/>
        </w:rPr>
        <w:footnoteReference w:id="57"/>
      </w:r>
      <w:r>
        <w:rPr>
          <w:rFonts w:ascii="Liberation Serif" w:hAnsi="Liberation Serif"/>
          <w:sz w:val="24"/>
          <w:szCs w:val="24"/>
        </w:rPr>
        <w:t xml:space="preserve"> </w:t>
      </w:r>
      <w:commentRangeStart w:id="21"/>
      <w:r>
        <w:rPr>
          <w:rFonts w:ascii="Liberation Serif" w:hAnsi="Liberation Serif"/>
          <w:sz w:val="24"/>
          <w:szCs w:val="24"/>
        </w:rPr>
        <w:t>The effect of these “extractive peripheries on existing population, and especially indigenous populations, are almost universally negative, (see, e.g., Hall and Fenelon 2009; Gedicks 2001; Bodley 2014; Mann 2006), engendering often strong and violent opposition from indigenous groups (Ciccantell and Gellert 2022).”</w:t>
      </w:r>
      <w:r>
        <w:rPr>
          <w:rStyle w:val="FootnoteReference"/>
          <w:rFonts w:ascii="Liberation Serif" w:hAnsi="Liberation Serif"/>
          <w:sz w:val="24"/>
          <w:szCs w:val="24"/>
          <w:vertAlign w:val="superscript"/>
        </w:rPr>
        <w:footnoteReference w:id="58"/>
      </w:r>
      <w:r>
        <w:rPr>
          <w:rFonts w:ascii="Liberation Serif" w:hAnsi="Liberation Serif"/>
          <w:sz w:val="24"/>
          <w:szCs w:val="24"/>
          <w:vertAlign w:val="superscript"/>
        </w:rPr>
      </w:r>
      <w:commentRangeEnd w:id="21"/>
      <w:r>
        <w:commentReference w:id="21"/>
      </w:r>
      <w:r>
        <w:rPr>
          <w:rFonts w:ascii="Liberation Serif" w:hAnsi="Liberation Serif"/>
          <w:sz w:val="24"/>
          <w:szCs w:val="24"/>
        </w:rPr>
        <w:t xml:space="preserve"> The remainder of this section and the next will examine production and reproduction in this context along the Fordist commodity chain. </w:t>
      </w:r>
      <w:commentRangeEnd w:id="18"/>
      <w:r>
        <w:commentReference w:id="18"/>
      </w:r>
      <w:r>
        <w:rPr>
          <w:rFonts w:ascii="Liberation Serif" w:hAnsi="Liberation Serif"/>
          <w:sz w:val="24"/>
          <w:szCs w:val="24"/>
        </w:rPr>
      </w:r>
    </w:p>
    <w:p>
      <w:pPr>
        <w:pStyle w:val="Normal"/>
        <w:spacing w:lineRule="auto" w:line="480" w:before="0" w:after="0"/>
        <w:ind w:firstLine="720" w:start="0" w:end="0"/>
        <w:rPr>
          <w:rFonts w:ascii="Liberation Serif" w:hAnsi="Liberation Serif"/>
          <w:sz w:val="24"/>
          <w:szCs w:val="24"/>
        </w:rPr>
      </w:pPr>
      <w:r>
        <w:rPr>
          <w:rFonts w:ascii="Liberation Serif" w:hAnsi="Liberation Serif"/>
          <w:sz w:val="24"/>
          <w:szCs w:val="24"/>
        </w:rPr>
        <w:t>For early automobile producers in Michigan, many of these commodity chains were entirely internal to the US. Many of the raw materials needed for the big three automakers to produce automobiles were readily available within the United States. Michigan’s vast lumber and mineral resources were brought to Detroit by a robust rail system, and Ford even owned “mines in Kentucky and West Virginia, which gave him control over every natural resource needed to make a car - save rubber.”</w:t>
      </w:r>
      <w:r>
        <w:rPr>
          <w:rStyle w:val="FootnoteReference"/>
          <w:rFonts w:ascii="Liberation Serif" w:hAnsi="Liberation Serif"/>
          <w:sz w:val="24"/>
          <w:szCs w:val="24"/>
          <w:vertAlign w:val="superscript"/>
        </w:rPr>
        <w:footnoteReference w:id="59"/>
      </w:r>
      <w:r>
        <w:rPr>
          <w:rFonts w:ascii="Liberation Serif" w:hAnsi="Liberation Serif"/>
          <w:sz w:val="24"/>
          <w:szCs w:val="24"/>
        </w:rPr>
        <w:t xml:space="preserve"> To acquire the rubber necessary for the production of automobiles, Ford and his competitors had to look outside the US - at first to Brazil and the Congo, and then later to Malaya.</w:t>
      </w:r>
    </w:p>
    <w:p>
      <w:pPr>
        <w:pStyle w:val="Normal"/>
        <w:spacing w:lineRule="auto" w:line="480" w:before="0" w:after="0"/>
        <w:ind w:firstLine="720" w:start="0" w:end="0"/>
        <w:rPr>
          <w:rFonts w:ascii="Liberation Serif" w:hAnsi="Liberation Serif"/>
          <w:sz w:val="24"/>
          <w:szCs w:val="24"/>
        </w:rPr>
      </w:pPr>
      <w:r>
        <w:rPr>
          <w:rFonts w:ascii="Liberation Serif" w:hAnsi="Liberation Serif"/>
          <w:sz w:val="24"/>
          <w:szCs w:val="24"/>
        </w:rPr>
        <w:t>Rubber has been known and used by Mesoamerican peoples for thousands of years - it was used to make bottles, balls or waterproof shoes. Despite this, in the 19th century the rubber industry in Europe and the US mainly provided for products with limited industrial practicality until the development of the vulcanization process in the late 1830s. Vulcanization allowed for the creation of stable and hardened rubber industrial products, and by 1945 carriage wheels were equipped with solid rubber tires.</w:t>
      </w:r>
      <w:r>
        <w:rPr>
          <w:rStyle w:val="FootnoteReference"/>
          <w:rFonts w:ascii="Liberation Serif" w:hAnsi="Liberation Serif"/>
          <w:sz w:val="24"/>
          <w:szCs w:val="24"/>
          <w:vertAlign w:val="superscript"/>
        </w:rPr>
        <w:footnoteReference w:id="60"/>
      </w:r>
      <w:r>
        <w:rPr>
          <w:rFonts w:ascii="Liberation Serif" w:hAnsi="Liberation Serif"/>
          <w:sz w:val="24"/>
          <w:szCs w:val="24"/>
        </w:rPr>
        <w:t>Tire production, along with rubber insulation for electrical wires, drove the rubber industry to new heights. In the US, the rubber industry was centered in Ohio - by 1900 Akron was the home to Goodrich, Goodyear, and Firestone. Business was good and all three were multi-million dollar companies by 1910. Firestone was especially successful, thanks to exclusive contracts with Ford to provide tires to the Model N in 1906 and to the famous Model T in 1908.</w:t>
      </w:r>
      <w:r>
        <w:rPr>
          <w:rStyle w:val="FootnoteReference"/>
          <w:rFonts w:ascii="Liberation Serif" w:hAnsi="Liberation Serif"/>
          <w:sz w:val="24"/>
          <w:szCs w:val="24"/>
          <w:vertAlign w:val="superscript"/>
        </w:rPr>
        <w:footnoteReference w:id="61"/>
      </w:r>
      <w:r>
        <w:rPr>
          <w:rFonts w:ascii="Liberation Serif" w:hAnsi="Liberation Serif"/>
          <w:sz w:val="24"/>
          <w:szCs w:val="24"/>
        </w:rPr>
        <w:t xml:space="preserve"> Fortunes were made in the manufacture and sale of tires, but down the commodity chain the story was quite different.</w:t>
      </w:r>
    </w:p>
    <w:p>
      <w:pPr>
        <w:pStyle w:val="Normal"/>
        <w:spacing w:lineRule="auto" w:line="480" w:before="0" w:after="0"/>
        <w:ind w:firstLine="720" w:start="0" w:end="0"/>
        <w:rPr>
          <w:rFonts w:ascii="Liberation Serif" w:hAnsi="Liberation Serif"/>
          <w:sz w:val="24"/>
          <w:szCs w:val="24"/>
        </w:rPr>
      </w:pPr>
      <w:r>
        <w:rPr>
          <w:rFonts w:ascii="Liberation Serif" w:hAnsi="Liberation Serif"/>
          <w:sz w:val="24"/>
          <w:szCs w:val="24"/>
        </w:rPr>
        <w:t xml:space="preserve">Industrial production of rubber began in Brazil and central Africa in the 1800s, where latex producing plants grew natively. </w:t>
      </w:r>
      <w:commentRangeStart w:id="22"/>
      <w:r>
        <w:rPr>
          <w:rFonts w:ascii="Liberation Serif" w:hAnsi="Liberation Serif"/>
          <w:sz w:val="24"/>
          <w:szCs w:val="24"/>
        </w:rPr>
        <w:t>Bunker and Ciccantell claim that since “the Amazon provided the technically most useful and abundant kinds of rubber in the world, states and firms in the rapidly industrializing, trade-dominant nations of Europe and America were particularly interested and active in the Amazon.”</w:t>
      </w:r>
      <w:r>
        <w:rPr>
          <w:rStyle w:val="FootnoteReference"/>
          <w:rFonts w:ascii="Liberation Serif" w:hAnsi="Liberation Serif"/>
          <w:sz w:val="24"/>
          <w:szCs w:val="24"/>
          <w:vertAlign w:val="superscript"/>
        </w:rPr>
        <w:footnoteReference w:id="62"/>
      </w:r>
      <w:r>
        <w:rPr>
          <w:rFonts w:ascii="Liberation Serif" w:hAnsi="Liberation Serif"/>
          <w:sz w:val="24"/>
          <w:szCs w:val="24"/>
          <w:vertAlign w:val="superscript"/>
        </w:rPr>
      </w:r>
      <w:commentRangeEnd w:id="22"/>
      <w:r>
        <w:commentReference w:id="22"/>
      </w:r>
      <w:r>
        <w:rPr>
          <w:rFonts w:ascii="Liberation Serif" w:hAnsi="Liberation Serif"/>
          <w:sz w:val="24"/>
          <w:szCs w:val="24"/>
        </w:rPr>
        <w:t xml:space="preserve"> As in the Congo, initial production consisted of wild-collection by contract laborers. Rubber plants were quickly exported to tropical regions around the globe such as southeast Asia, although there was little commercial production in Asia until the collapse of the rubber market in the Congo and the Amazon in 1913.</w:t>
      </w:r>
      <w:r>
        <w:rPr>
          <w:rStyle w:val="FootnoteReference"/>
          <w:rFonts w:ascii="Liberation Serif" w:hAnsi="Liberation Serif"/>
          <w:sz w:val="24"/>
          <w:szCs w:val="24"/>
          <w:vertAlign w:val="superscript"/>
        </w:rPr>
        <w:footnoteReference w:id="63"/>
      </w:r>
      <w:r>
        <w:rPr>
          <w:rFonts w:ascii="Liberation Serif" w:hAnsi="Liberation Serif"/>
          <w:sz w:val="24"/>
          <w:szCs w:val="24"/>
        </w:rPr>
        <w:t xml:space="preserve"> Although plantations would dominate the global rubber production by the second decade of the twentieth century, for the first several decades of the auto industry there were few rationalized rubber plantations, and rubber had to be sourced from wild collectors in the Amazon and the Congo. By the end of the nineteenth century, the Amazon was supplying the world market with 15,000 tons of rubber annually. </w:t>
      </w:r>
    </w:p>
    <w:p>
      <w:pPr>
        <w:pStyle w:val="Normal"/>
        <w:spacing w:lineRule="auto" w:line="480" w:before="0" w:after="0"/>
        <w:ind w:firstLine="720" w:start="0" w:end="0"/>
        <w:rPr>
          <w:rFonts w:ascii="Liberation Serif" w:hAnsi="Liberation Serif"/>
          <w:sz w:val="24"/>
          <w:szCs w:val="24"/>
        </w:rPr>
      </w:pPr>
      <w:r>
        <w:rPr>
          <w:rFonts w:ascii="Liberation Serif" w:hAnsi="Liberation Serif"/>
          <w:sz w:val="24"/>
          <w:szCs w:val="24"/>
        </w:rPr>
        <w:t>The working conditions in rubber fields in Brazil were a world away from those in the US. In the late 1870s a severe drought struck Northeastern Brazil, destroying the means of subsistence for a large portion of the population. Many left their homes and found work in the growing Brazilian rubber industry, but under the harshest of conditions. Forced to pay for their own provisions on the way to the work locations, rubber tappers started working in severe debt. The rubber companies held this debt on account against future rubber yields, but “every time [the worker’s] rubber (his credit) was collected, it was found that his debt had mounted higher than his earnings.”</w:t>
      </w:r>
      <w:r>
        <w:rPr>
          <w:rStyle w:val="FootnoteReference"/>
          <w:rFonts w:ascii="Liberation Serif" w:hAnsi="Liberation Serif"/>
          <w:sz w:val="24"/>
          <w:szCs w:val="24"/>
          <w:vertAlign w:val="superscript"/>
        </w:rPr>
        <w:footnoteReference w:id="64"/>
      </w:r>
      <w:r>
        <w:rPr>
          <w:rFonts w:ascii="Liberation Serif" w:hAnsi="Liberation Serif"/>
          <w:sz w:val="24"/>
          <w:szCs w:val="24"/>
        </w:rPr>
        <w:t xml:space="preserve"> The companies ensured that the prices of necessary provisions were higher than the piece-wages for rubber, creating a vicious cycle of debt peonage. </w:t>
      </w:r>
    </w:p>
    <w:p>
      <w:pPr>
        <w:pStyle w:val="Normal"/>
        <w:spacing w:lineRule="auto" w:line="480" w:before="0" w:after="0"/>
        <w:ind w:firstLine="720" w:start="0" w:end="0"/>
        <w:rPr>
          <w:rFonts w:ascii="Liberation Serif" w:hAnsi="Liberation Serif"/>
          <w:sz w:val="24"/>
          <w:szCs w:val="24"/>
        </w:rPr>
      </w:pPr>
      <w:r>
        <w:rPr>
          <w:rFonts w:ascii="Liberation Serif" w:hAnsi="Liberation Serif"/>
          <w:sz w:val="24"/>
          <w:szCs w:val="24"/>
        </w:rPr>
        <w:t xml:space="preserve">The </w:t>
      </w:r>
      <w:commentRangeStart w:id="23"/>
      <w:r>
        <w:rPr>
          <w:rFonts w:ascii="Liberation Serif" w:hAnsi="Liberation Serif"/>
          <w:sz w:val="24"/>
          <w:szCs w:val="24"/>
        </w:rPr>
        <w:t>Brazilian</w:t>
      </w:r>
      <w:r>
        <w:rPr>
          <w:rFonts w:ascii="Liberation Serif" w:hAnsi="Liberation Serif"/>
          <w:sz w:val="24"/>
          <w:szCs w:val="24"/>
        </w:rPr>
      </w:r>
      <w:commentRangeEnd w:id="23"/>
      <w:r>
        <w:commentReference w:id="23"/>
      </w:r>
      <w:r>
        <w:rPr>
          <w:rFonts w:ascii="Liberation Serif" w:hAnsi="Liberation Serif"/>
          <w:sz w:val="24"/>
          <w:szCs w:val="24"/>
        </w:rPr>
        <w:t xml:space="preserve"> rubber industry was quite volatile, in large part because of the inconsistent nature of the production system. Rubber in Brazil was not produced on plantations, but was gathered from wild rubber trees by contract workers. Although the exploitation of tappers by traders and barons was significant and the social arrangement was inefficient, there were several factors that impeded the rationalization and industrialization of rubber production in Brazil. Oliver T. Coomes and Bradford L. Barham note two explanations for the relative failure of proletarianization among Brazilian rubber tappers.</w:t>
      </w:r>
      <w:r>
        <w:rPr>
          <w:rStyle w:val="FootnoteReference"/>
          <w:rFonts w:ascii="Liberation Serif" w:hAnsi="Liberation Serif"/>
          <w:sz w:val="24"/>
          <w:szCs w:val="24"/>
          <w:vertAlign w:val="superscript"/>
        </w:rPr>
        <w:footnoteReference w:id="65"/>
      </w:r>
      <w:r>
        <w:rPr>
          <w:rFonts w:ascii="Liberation Serif" w:hAnsi="Liberation Serif"/>
          <w:sz w:val="24"/>
          <w:szCs w:val="24"/>
        </w:rPr>
        <w:t xml:space="preserve"> The first was tapper resistance: the desire among tappers to maintain the relative autonomy of piece work and their aversion to wage-labor. Along with the traders, tappers actively resisted the development of plantations. The second explanation was “a South American leaf blight, which flourished in closed-canopy Amazonian rubber stands”</w:t>
      </w:r>
      <w:r>
        <w:rPr>
          <w:rStyle w:val="FootnoteReference"/>
          <w:rFonts w:ascii="Liberation Serif" w:hAnsi="Liberation Serif"/>
          <w:sz w:val="24"/>
          <w:szCs w:val="24"/>
          <w:vertAlign w:val="superscript"/>
        </w:rPr>
        <w:footnoteReference w:id="66"/>
      </w:r>
      <w:r>
        <w:rPr>
          <w:rFonts w:ascii="Liberation Serif" w:hAnsi="Liberation Serif"/>
          <w:sz w:val="24"/>
          <w:szCs w:val="24"/>
        </w:rPr>
        <w:t xml:space="preserve"> that damaged the Amazonian crop relative to rubber grown in Asia.</w:t>
      </w:r>
    </w:p>
    <w:p>
      <w:pPr>
        <w:pStyle w:val="Normal"/>
        <w:spacing w:lineRule="auto" w:line="480" w:before="0" w:after="0"/>
        <w:ind w:firstLine="720" w:start="0" w:end="0"/>
        <w:rPr>
          <w:highlight w:val="none"/>
          <w:shd w:fill="FFFF00" w:val="clear"/>
        </w:rPr>
      </w:pPr>
      <w:r>
        <w:rPr>
          <w:rFonts w:ascii="Liberation Serif" w:hAnsi="Liberation Serif"/>
          <w:sz w:val="24"/>
          <w:szCs w:val="24"/>
          <w:shd w:fill="FFFF00" w:val="clear"/>
        </w:rPr>
        <w:t>[lacuna]</w:t>
      </w:r>
    </w:p>
    <w:p>
      <w:pPr>
        <w:pStyle w:val="Normal"/>
        <w:spacing w:lineRule="auto" w:line="480" w:before="0" w:after="0"/>
        <w:ind w:firstLine="720" w:start="0" w:end="0"/>
        <w:rPr>
          <w:rFonts w:ascii="Liberation Serif" w:hAnsi="Liberation Serif"/>
          <w:sz w:val="24"/>
          <w:szCs w:val="24"/>
        </w:rPr>
      </w:pPr>
      <w:r>
        <w:rPr>
          <w:rFonts w:ascii="Liberation Serif" w:hAnsi="Liberation Serif"/>
          <w:sz w:val="24"/>
          <w:szCs w:val="24"/>
        </w:rPr>
      </w:r>
    </w:p>
    <w:p>
      <w:pPr>
        <w:pStyle w:val="Normal"/>
        <w:spacing w:lineRule="auto" w:line="480" w:before="0" w:after="0"/>
        <w:ind w:hanging="0" w:start="0" w:end="0"/>
        <w:rPr>
          <w:b/>
          <w:bCs/>
          <w:i w:val="false"/>
          <w:i w:val="false"/>
          <w:iCs w:val="false"/>
        </w:rPr>
      </w:pPr>
      <w:r>
        <w:rPr>
          <w:rFonts w:ascii="Liberation Serif" w:hAnsi="Liberation Serif"/>
          <w:b/>
          <w:bCs/>
          <w:i w:val="false"/>
          <w:iCs w:val="false"/>
          <w:sz w:val="24"/>
          <w:szCs w:val="24"/>
        </w:rPr>
        <w:t>Housing and Social Reproduction along the Fordist Commodity Chain</w:t>
      </w:r>
    </w:p>
    <w:p>
      <w:pPr>
        <w:pStyle w:val="Normal"/>
        <w:spacing w:lineRule="auto" w:line="480" w:before="0" w:after="0"/>
        <w:ind w:firstLine="720" w:start="0" w:end="0"/>
        <w:rPr>
          <w:rFonts w:ascii="Liberation Serif" w:hAnsi="Liberation Serif"/>
          <w:sz w:val="24"/>
          <w:szCs w:val="24"/>
        </w:rPr>
      </w:pPr>
      <w:r>
        <w:rPr>
          <w:rFonts w:ascii="Liberation Serif" w:hAnsi="Liberation Serif"/>
          <w:sz w:val="24"/>
          <w:szCs w:val="24"/>
        </w:rPr>
        <w:t>The lesson of Fordlandia is not that the Brazilian Jungle was too wild to be tamed, or that its workers were somehow unready for rationalized proletarianization. Rather, the failed dynamic of peripheral/core relations within the Fordist outpost highlights what Gunder Frank called the development of underdevelopment. The strictures of the world-system did not allow for the generalization of production conditions in the core, but required the development of severe conditions specific to the periphery. The articulation between core-like productive relations and peripheral productive relations is of central concern to world-systems analysts, and mapping its contours in the Fordist case is the first step in my project. My ultimate goal is to situate housing policy and the social-reproduction of the labor force within this global dynamic. How do social reproductive pressures manifest at various points along the global commodity chain, and how do structures of housing respond to and influence them?</w:t>
      </w:r>
    </w:p>
    <w:p>
      <w:pPr>
        <w:pStyle w:val="Normal"/>
        <w:spacing w:lineRule="auto" w:line="480" w:before="0" w:after="0"/>
        <w:ind w:firstLine="720" w:start="0" w:end="0"/>
        <w:rPr>
          <w:highlight w:val="none"/>
          <w:shd w:fill="FFFF00" w:val="clear"/>
        </w:rPr>
      </w:pPr>
      <w:r>
        <w:rPr>
          <w:rFonts w:ascii="Liberation Serif" w:hAnsi="Liberation Serif"/>
          <w:sz w:val="24"/>
          <w:szCs w:val="24"/>
          <w:shd w:fill="FFFF00" w:val="clear"/>
        </w:rPr>
        <w:t>[lacuna]</w:t>
      </w:r>
    </w:p>
    <w:p>
      <w:pPr>
        <w:pStyle w:val="Normal"/>
        <w:spacing w:lineRule="auto" w:line="480" w:before="0" w:after="0"/>
        <w:ind w:firstLine="720" w:start="0" w:end="0"/>
        <w:rPr>
          <w:rFonts w:ascii="Liberation Serif" w:hAnsi="Liberation Serif"/>
          <w:sz w:val="24"/>
          <w:szCs w:val="24"/>
        </w:rPr>
      </w:pPr>
      <w:r>
        <w:rPr>
          <w:rFonts w:ascii="Liberation Serif" w:hAnsi="Liberation Serif"/>
          <w:sz w:val="24"/>
          <w:szCs w:val="24"/>
        </w:rPr>
        <w:t>The two patterns of rubber production - wild collection and planned cultivation - were sustained by different patterns of social reproduction. Wild rubber harvesting was predominant in the Amazon and the Congo, and dominated the world market until 1913.</w:t>
      </w:r>
      <w:r>
        <w:rPr>
          <w:rStyle w:val="FootnoteReference"/>
          <w:rFonts w:ascii="Liberation Serif" w:hAnsi="Liberation Serif"/>
          <w:sz w:val="24"/>
          <w:szCs w:val="24"/>
          <w:vertAlign w:val="superscript"/>
        </w:rPr>
        <w:footnoteReference w:id="67"/>
      </w:r>
      <w:r>
        <w:rPr>
          <w:rFonts w:ascii="Liberation Serif" w:hAnsi="Liberation Serif"/>
          <w:sz w:val="24"/>
          <w:szCs w:val="24"/>
        </w:rPr>
        <w:t xml:space="preserve"> In Brazil, before the founding of Fordlandia, rubber cultivators operated on a pseudo piece-work basis. The costs of production were borne by the worker, who ventured into the jungle to collect raw rubber that he would then sell to the company. This work was seasonal, and depended on a transhumant workforce that traveled between port towns and rubber estates as weather conditions dictated.</w:t>
      </w:r>
      <w:r>
        <w:rPr>
          <w:rStyle w:val="FootnoteReference"/>
          <w:rFonts w:ascii="Liberation Serif" w:hAnsi="Liberation Serif"/>
          <w:sz w:val="24"/>
          <w:szCs w:val="24"/>
          <w:vertAlign w:val="superscript"/>
        </w:rPr>
        <w:footnoteReference w:id="68"/>
      </w:r>
      <w:r>
        <w:rPr>
          <w:rFonts w:ascii="Liberation Serif" w:hAnsi="Liberation Serif"/>
          <w:sz w:val="24"/>
          <w:szCs w:val="24"/>
        </w:rPr>
        <w:t xml:space="preserve"> A stable workforce was neither required nor desired in Brazil, and so there was no impetus for the companies to develop stable reproductive relations for workers. Rather workers were compelled to work through the cultivation of debt - through the sale of “the necessary working tools and basic goods such as foodstuff, which were forcibly acquired at the rubber patron’s storehouse or station.”</w:t>
      </w:r>
      <w:r>
        <w:rPr>
          <w:rStyle w:val="FootnoteReference"/>
          <w:rFonts w:ascii="Liberation Serif" w:hAnsi="Liberation Serif"/>
          <w:sz w:val="24"/>
          <w:szCs w:val="24"/>
          <w:vertAlign w:val="superscript"/>
        </w:rPr>
        <w:footnoteReference w:id="69"/>
      </w:r>
      <w:r>
        <w:rPr>
          <w:rFonts w:ascii="Liberation Serif" w:hAnsi="Liberation Serif"/>
          <w:sz w:val="24"/>
          <w:szCs w:val="24"/>
        </w:rPr>
        <w:t xml:space="preserve"> A continual supply of labor was ensured through the debt contract. </w:t>
      </w:r>
    </w:p>
    <w:p>
      <w:pPr>
        <w:pStyle w:val="Normal"/>
        <w:spacing w:lineRule="auto" w:line="480" w:before="0" w:after="0"/>
        <w:ind w:firstLine="720" w:start="0" w:end="0"/>
        <w:rPr>
          <w:rFonts w:ascii="Liberation Serif" w:hAnsi="Liberation Serif"/>
          <w:sz w:val="24"/>
          <w:szCs w:val="24"/>
        </w:rPr>
      </w:pPr>
      <w:r>
        <w:rPr>
          <w:rFonts w:ascii="Liberation Serif" w:hAnsi="Liberation Serif"/>
          <w:sz w:val="24"/>
          <w:szCs w:val="24"/>
        </w:rPr>
        <w:t>The labor supply in the Congo was ensured through similar means, but this time with a tax burden rather than a debt burden. In a comparative study of Amazonian and Congolese rubber extraction, de Mello and Van Melkebeke note that from the 1890s on, an “in kind rubber tax … proved to be the solution to increase revenue.” They go on to say that “this huge increase in exports received by in-kind taxation would result in severe and violent labour mobilisations and would cause devastation throughout the Congolese countryside.”</w:t>
      </w:r>
      <w:r>
        <w:rPr>
          <w:rStyle w:val="FootnoteReference"/>
          <w:rFonts w:ascii="Liberation Serif" w:hAnsi="Liberation Serif"/>
          <w:sz w:val="24"/>
          <w:szCs w:val="24"/>
          <w:vertAlign w:val="superscript"/>
        </w:rPr>
        <w:footnoteReference w:id="70"/>
      </w:r>
      <w:r>
        <w:rPr>
          <w:rFonts w:ascii="Liberation Serif" w:hAnsi="Liberation Serif"/>
          <w:sz w:val="24"/>
          <w:szCs w:val="24"/>
        </w:rPr>
        <w:t xml:space="preserve"> Whereas in the Amazon, workers migrated to the rubber regions due to harsh economic and environmental conditions, in the Congo the state and private firms sent expeditions into the countryside to capture and enslave native men. “Expeditions often ended up in plunder, destruction of villages and capturing of people: initially, to collect ivory (by the Congo Free State) and subsequently, to collect rubber (by the Congo Free State and private sector).”</w:t>
      </w:r>
      <w:r>
        <w:rPr>
          <w:rStyle w:val="FootnoteReference"/>
          <w:rFonts w:ascii="Liberation Serif" w:hAnsi="Liberation Serif"/>
          <w:sz w:val="24"/>
          <w:szCs w:val="24"/>
          <w:vertAlign w:val="superscript"/>
        </w:rPr>
        <w:footnoteReference w:id="71"/>
      </w:r>
      <w:r>
        <w:rPr>
          <w:rFonts w:ascii="Liberation Serif" w:hAnsi="Liberation Serif"/>
          <w:sz w:val="24"/>
          <w:szCs w:val="24"/>
        </w:rPr>
        <w:t xml:space="preserve"> These workers were then forced to collect and deliver “six to eight kilograms per person every two weeks” and “when they did receive some sort of remuneration, this was usually in-kind (salt, knives, beads, textiles, etc.).”</w:t>
      </w:r>
      <w:r>
        <w:rPr>
          <w:rStyle w:val="FootnoteReference"/>
          <w:rFonts w:ascii="Liberation Serif" w:hAnsi="Liberation Serif"/>
          <w:sz w:val="24"/>
          <w:szCs w:val="24"/>
          <w:vertAlign w:val="superscript"/>
        </w:rPr>
        <w:footnoteReference w:id="72"/>
      </w:r>
    </w:p>
    <w:p>
      <w:pPr>
        <w:pStyle w:val="Normal"/>
        <w:spacing w:lineRule="auto" w:line="480" w:before="0" w:after="0"/>
        <w:ind w:firstLine="720" w:start="0" w:end="0"/>
        <w:rPr>
          <w:rFonts w:ascii="Liberation Serif" w:hAnsi="Liberation Serif"/>
          <w:sz w:val="24"/>
          <w:szCs w:val="24"/>
        </w:rPr>
      </w:pPr>
      <w:commentRangeStart w:id="24"/>
      <w:r>
        <w:rPr>
          <w:rFonts w:ascii="Liberation Serif" w:hAnsi="Liberation Serif"/>
          <w:sz w:val="24"/>
          <w:szCs w:val="24"/>
        </w:rPr>
        <w:t xml:space="preserve">The relevance of housing in the Amazon and the Congo lies in the </w:t>
      </w:r>
      <w:r>
        <w:rPr>
          <w:rFonts w:ascii="Liberation Serif" w:hAnsi="Liberation Serif"/>
          <w:i/>
          <w:sz w:val="24"/>
          <w:szCs w:val="24"/>
        </w:rPr>
        <w:t>absence</w:t>
      </w:r>
      <w:r>
        <w:rPr>
          <w:rFonts w:ascii="Liberation Serif" w:hAnsi="Liberation Serif"/>
          <w:sz w:val="24"/>
          <w:szCs w:val="24"/>
        </w:rPr>
        <w:t xml:space="preserve"> of any dedicated housing policy. If the impact of Fordism on housing in the core was to expand the commodification and the housing market, its impact in the periphery was the opposite. Existing communities and their social relations were violently disrupted by rubber barons and the state who saw no need to recreate conditions for the renewal of laborers.</w:t>
      </w:r>
      <w:r>
        <w:rPr>
          <w:rFonts w:ascii="Liberation Serif" w:hAnsi="Liberation Serif"/>
          <w:sz w:val="24"/>
          <w:szCs w:val="24"/>
        </w:rPr>
      </w:r>
      <w:commentRangeEnd w:id="24"/>
      <w:r>
        <w:commentReference w:id="24"/>
      </w:r>
      <w:r>
        <w:rPr>
          <w:rFonts w:ascii="Liberation Serif" w:hAnsi="Liberation Serif"/>
          <w:sz w:val="24"/>
          <w:szCs w:val="24"/>
        </w:rPr>
        <w:t xml:space="preserve"> Rather indigenous and migrant populations provided an external pool from which new labor could be drawn. The pay given to rubber workers (if it can be called pay) was insufficient to provide for the renewal of the conditions of labor on an open commodity market, and so the gap was filled by coercion, and by the workers’ informal reproductive labor. Although the workers were undoubtedly commodity producers, they were not commodity consumers in the same sense that workers in the core were. Their everyday necessities were obtained from closed company shops, and in both the </w:t>
      </w:r>
      <w:commentRangeStart w:id="25"/>
      <w:r>
        <w:rPr>
          <w:rFonts w:ascii="Liberation Serif" w:hAnsi="Liberation Serif"/>
          <w:sz w:val="24"/>
          <w:szCs w:val="24"/>
        </w:rPr>
        <w:t>Amazon</w:t>
      </w:r>
      <w:r>
        <w:rPr>
          <w:rFonts w:ascii="Liberation Serif" w:hAnsi="Liberation Serif"/>
          <w:sz w:val="24"/>
          <w:szCs w:val="24"/>
        </w:rPr>
      </w:r>
      <w:commentRangeEnd w:id="25"/>
      <w:r>
        <w:commentReference w:id="25"/>
      </w:r>
      <w:r>
        <w:rPr>
          <w:rFonts w:ascii="Liberation Serif" w:hAnsi="Liberation Serif"/>
          <w:sz w:val="24"/>
          <w:szCs w:val="24"/>
        </w:rPr>
        <w:t xml:space="preserve"> and the Congo, roving rubber tappers built their own temporary shelters in the rubber fields.</w:t>
      </w:r>
      <w:r>
        <w:rPr>
          <w:rStyle w:val="FootnoteReference"/>
          <w:rFonts w:ascii="Liberation Serif" w:hAnsi="Liberation Serif"/>
          <w:sz w:val="24"/>
          <w:szCs w:val="24"/>
          <w:vertAlign w:val="superscript"/>
        </w:rPr>
        <w:footnoteReference w:id="73"/>
      </w:r>
      <w:r>
        <w:rPr>
          <w:rFonts w:ascii="Liberation Serif" w:hAnsi="Liberation Serif"/>
          <w:sz w:val="24"/>
          <w:szCs w:val="24"/>
        </w:rPr>
        <w:t xml:space="preserve"> When debt and tax burdens were insufficient to compel labor in these conditions, violence was used, and when violence was insufficient workers were killed, and new workers brought in.</w:t>
      </w:r>
    </w:p>
    <w:p>
      <w:pPr>
        <w:pStyle w:val="Normal"/>
        <w:spacing w:lineRule="auto" w:line="480" w:before="0" w:after="0"/>
        <w:ind w:firstLine="720" w:start="0" w:end="0"/>
        <w:rPr>
          <w:rFonts w:ascii="Liberation Serif" w:hAnsi="Liberation Serif"/>
          <w:sz w:val="24"/>
          <w:szCs w:val="24"/>
        </w:rPr>
      </w:pPr>
      <w:commentRangeStart w:id="26"/>
      <w:r>
        <w:rPr>
          <w:rFonts w:ascii="Liberation Serif" w:hAnsi="Liberation Serif"/>
          <w:sz w:val="24"/>
          <w:szCs w:val="24"/>
        </w:rPr>
        <w:t>We see that in the wild rubber fields, gendered labor dynamics differed significantly from those in industrial Michigan. Many Michigan women performed unpaid reproductive labor to support and supplement their husband’s ‘family wages’ and in the poorer communities they took on piecework or service work in addition to this unpaid care work. In the core, this gendered dynamic was structured in part by the housing policies of the industries, but in the periphery the gendered division of labor manifested quite differently. Maria Mies’ analysis of women and colonialism helps us contextualize the dynamics of gendered labor in the periphery. Writing about the 18th and 19th centuries, she notes that where unfree labor was secured through slaving raids and trade, “slave women were actively discouraged from bearing children or forming families.”</w:t>
      </w:r>
      <w:r>
        <w:rPr>
          <w:rStyle w:val="FootnoteReference"/>
          <w:rFonts w:ascii="Liberation Serif" w:hAnsi="Liberation Serif"/>
          <w:sz w:val="24"/>
          <w:szCs w:val="24"/>
          <w:vertAlign w:val="superscript"/>
        </w:rPr>
        <w:footnoteReference w:id="74"/>
      </w:r>
      <w:r>
        <w:rPr>
          <w:rFonts w:ascii="Liberation Serif" w:hAnsi="Liberation Serif"/>
          <w:sz w:val="24"/>
          <w:szCs w:val="24"/>
        </w:rPr>
        <w:t xml:space="preserve"> As long as the slave trade was thriving and the problem of reproducing the labor force was resolved through external means, enslaved women were expected to perform hard labor alongside men. When the atlantic slave trade was abolished, this dynamic shifted, and enslaved women were forced to bear and raise children - future workers. Mies notes that colonial administrators enacted “incentives in the slave codes of the late eighteenth and nineteenth centuries to encourage local breeding of slaves by slave women on the plantations.”</w:t>
      </w:r>
      <w:r>
        <w:rPr>
          <w:rStyle w:val="FootnoteReference"/>
          <w:rFonts w:ascii="Liberation Serif" w:hAnsi="Liberation Serif"/>
          <w:sz w:val="24"/>
          <w:szCs w:val="24"/>
          <w:vertAlign w:val="superscript"/>
        </w:rPr>
        <w:footnoteReference w:id="75"/>
      </w:r>
    </w:p>
    <w:p>
      <w:pPr>
        <w:pStyle w:val="Normal"/>
        <w:spacing w:lineRule="auto" w:line="480" w:before="0" w:after="0"/>
        <w:ind w:firstLine="720" w:start="0" w:end="0"/>
        <w:rPr>
          <w:rFonts w:ascii="Liberation Serif" w:hAnsi="Liberation Serif"/>
          <w:sz w:val="24"/>
          <w:szCs w:val="24"/>
        </w:rPr>
      </w:pPr>
      <w:r>
        <w:rPr>
          <w:rFonts w:ascii="Liberation Serif" w:hAnsi="Liberation Serif"/>
          <w:sz w:val="24"/>
          <w:szCs w:val="24"/>
        </w:rPr>
        <w:t>How did these dynamics play out in the twentieth century in the rubber fields? de Mello and Melkebeke seem to indicate that the 19th century practices of slaving raids in the Congo, in which “people were captured and enslaved, usually men, but also women, who were incorporated into the raiders’ harems,” were continued by rubber producers in the 20th century.</w:t>
      </w:r>
      <w:r>
        <w:rPr>
          <w:rStyle w:val="FootnoteReference"/>
          <w:rFonts w:ascii="Liberation Serif" w:hAnsi="Liberation Serif"/>
          <w:sz w:val="24"/>
          <w:szCs w:val="24"/>
          <w:vertAlign w:val="superscript"/>
        </w:rPr>
        <w:footnoteReference w:id="76"/>
      </w:r>
      <w:r>
        <w:rPr>
          <w:rFonts w:ascii="Liberation Serif" w:hAnsi="Liberation Serif"/>
          <w:sz w:val="24"/>
          <w:szCs w:val="24"/>
        </w:rPr>
        <w:t xml:space="preserve"> However, women also occasionally worked in the rubber fields. As a result of this system, the Congo witnessed a significant demographic decline, with “contemporary observers and present-day scholars [agreeing] on rural depopulation and decimation of the Congolese,” along with “numerous cases of depopulated villages”</w:t>
      </w:r>
      <w:r>
        <w:rPr>
          <w:rStyle w:val="FootnoteReference"/>
          <w:rFonts w:ascii="Liberation Serif" w:hAnsi="Liberation Serif"/>
          <w:sz w:val="24"/>
          <w:szCs w:val="24"/>
          <w:vertAlign w:val="superscript"/>
        </w:rPr>
        <w:footnoteReference w:id="77"/>
      </w:r>
      <w:r>
        <w:rPr>
          <w:rFonts w:ascii="Liberation Serif" w:hAnsi="Liberation Serif"/>
          <w:sz w:val="24"/>
          <w:szCs w:val="24"/>
        </w:rPr>
        <w:t xml:space="preserve"> - homes standing empty save for ghosts. The situation in the Amazon was analogous: “In general terms, the demographic post-boom scenario is marked by the emptying of villages or whole regions, being caused either by workforce recruitment, the resulting unsustainable livelihood, death by diseases, ethnocide, demographic replacement and miscegenation or encroachment.”</w:t>
      </w:r>
      <w:r>
        <w:rPr>
          <w:rStyle w:val="FootnoteReference"/>
          <w:rFonts w:ascii="Liberation Serif" w:hAnsi="Liberation Serif"/>
          <w:sz w:val="24"/>
          <w:szCs w:val="24"/>
          <w:vertAlign w:val="superscript"/>
        </w:rPr>
        <w:footnoteReference w:id="78"/>
      </w:r>
      <w:r>
        <w:rPr>
          <w:rFonts w:ascii="Liberation Serif" w:hAnsi="Liberation Serif"/>
          <w:sz w:val="24"/>
          <w:szCs w:val="24"/>
        </w:rPr>
        <w:t xml:space="preserve"> </w:t>
      </w:r>
      <w:commentRangeEnd w:id="26"/>
      <w:r>
        <w:commentReference w:id="26"/>
      </w:r>
      <w:r>
        <w:rPr>
          <w:rFonts w:ascii="Liberation Serif" w:hAnsi="Liberation Serif"/>
          <w:sz w:val="24"/>
          <w:szCs w:val="24"/>
        </w:rPr>
      </w:r>
    </w:p>
    <w:p>
      <w:pPr>
        <w:pStyle w:val="Normal"/>
        <w:spacing w:lineRule="auto" w:line="480" w:before="0" w:after="0"/>
        <w:ind w:firstLine="720" w:start="0" w:end="0"/>
        <w:rPr>
          <w:rFonts w:ascii="Liberation Serif" w:hAnsi="Liberation Serif"/>
          <w:sz w:val="24"/>
          <w:szCs w:val="24"/>
        </w:rPr>
      </w:pPr>
      <w:r>
        <w:rPr>
          <w:rFonts w:ascii="Liberation Serif" w:hAnsi="Liberation Serif"/>
          <w:sz w:val="24"/>
          <w:szCs w:val="24"/>
        </w:rPr>
        <w:t>As wild harvested rubber declined on the world stage, hampered by the South American blight in the Amazon, King Leopold’s personal finances in the Congo, and the inefficiency of production everywhere, it was replaced by plantation rubber in southeast Asia. Rubber plants were first brought to Malaya in the 1870s, but were not cultivated on a large scale until 1897-8 when plantation owners were looking for a replacement for failing coffee crops.</w:t>
      </w:r>
      <w:r>
        <w:rPr>
          <w:rStyle w:val="FootnoteReference"/>
          <w:rFonts w:ascii="Liberation Serif" w:hAnsi="Liberation Serif"/>
          <w:sz w:val="24"/>
          <w:szCs w:val="24"/>
          <w:vertAlign w:val="superscript"/>
        </w:rPr>
        <w:footnoteReference w:id="79"/>
      </w:r>
      <w:r>
        <w:rPr>
          <w:rFonts w:ascii="Liberation Serif" w:hAnsi="Liberation Serif"/>
          <w:sz w:val="24"/>
          <w:szCs w:val="24"/>
        </w:rPr>
        <w:t xml:space="preserve"> With the Malay Reservations Enactment in 1913, foreigners were allowed to purchase land in certain areas and large rubber plantations developed, requiring a large immigrant workforce. To supply this demand, the government of the Federated Malay States proposed a policy centered around three points: the development of a free workforce; the recruitment of immigrant workers from India, and regulation of employment conditions (e.g. hospitals, water, housing etc.).</w:t>
      </w:r>
      <w:r>
        <w:rPr>
          <w:rStyle w:val="FootnoteReference"/>
          <w:rFonts w:ascii="Liberation Serif" w:hAnsi="Liberation Serif"/>
          <w:sz w:val="24"/>
          <w:szCs w:val="24"/>
          <w:vertAlign w:val="superscript"/>
        </w:rPr>
        <w:footnoteReference w:id="80"/>
      </w:r>
    </w:p>
    <w:p>
      <w:pPr>
        <w:pStyle w:val="Normal"/>
        <w:spacing w:lineRule="auto" w:line="480" w:before="0" w:after="0"/>
        <w:ind w:firstLine="720" w:start="0" w:end="0"/>
        <w:rPr>
          <w:rFonts w:ascii="Liberation Serif" w:hAnsi="Liberation Serif"/>
          <w:sz w:val="24"/>
          <w:szCs w:val="24"/>
        </w:rPr>
      </w:pPr>
      <w:r>
        <w:rPr>
          <w:rFonts w:ascii="Liberation Serif" w:hAnsi="Liberation Serif"/>
          <w:sz w:val="24"/>
          <w:szCs w:val="24"/>
        </w:rPr>
        <w:t xml:space="preserve">In practice, this policy led to significantly better working conditions than those in the Amazon and the Congo, but worse than those of auto workers in Michigan. J. Norman Parker, in </w:t>
      </w:r>
      <w:r>
        <w:rPr>
          <w:rFonts w:ascii="Liberation Serif" w:hAnsi="Liberation Serif"/>
          <w:i/>
          <w:sz w:val="24"/>
          <w:szCs w:val="24"/>
        </w:rPr>
        <w:t>Colonial Labor Policy</w:t>
      </w:r>
      <w:r>
        <w:rPr>
          <w:rFonts w:ascii="Liberation Serif" w:hAnsi="Liberation Serif"/>
          <w:sz w:val="24"/>
          <w:szCs w:val="24"/>
        </w:rPr>
        <w:t>, notes that in Malaya, “to be a free laborer often had little real meaning since the working conditions of a free laborer and an indentured laborer differed little or not at all.”</w:t>
      </w:r>
      <w:r>
        <w:rPr>
          <w:rStyle w:val="FootnoteReference"/>
          <w:rFonts w:ascii="Liberation Serif" w:hAnsi="Liberation Serif"/>
          <w:sz w:val="24"/>
          <w:szCs w:val="24"/>
          <w:vertAlign w:val="superscript"/>
        </w:rPr>
        <w:footnoteReference w:id="81"/>
      </w:r>
      <w:r>
        <w:rPr>
          <w:rFonts w:ascii="Liberation Serif" w:hAnsi="Liberation Serif"/>
          <w:sz w:val="24"/>
          <w:szCs w:val="24"/>
        </w:rPr>
        <w:t xml:space="preserve"> Most of the workers, indentured or free, worked for a wage that was differentiated on type of job and the sex and race of the worker. Women generally received “between 70 and 80 percent of male laborers’ wages”</w:t>
      </w:r>
      <w:r>
        <w:rPr>
          <w:rStyle w:val="FootnoteReference"/>
          <w:rFonts w:ascii="Liberation Serif" w:hAnsi="Liberation Serif"/>
          <w:sz w:val="24"/>
          <w:szCs w:val="24"/>
          <w:vertAlign w:val="superscript"/>
        </w:rPr>
        <w:footnoteReference w:id="82"/>
      </w:r>
      <w:r>
        <w:rPr>
          <w:rFonts w:ascii="Liberation Serif" w:hAnsi="Liberation Serif"/>
          <w:sz w:val="24"/>
          <w:szCs w:val="24"/>
        </w:rPr>
        <w:t xml:space="preserve"> and Chinese laborers received more than Indian or Javanese workers. For all workers, the workday was limited, although planters struggled to extend it. </w:t>
      </w:r>
    </w:p>
    <w:p>
      <w:pPr>
        <w:pStyle w:val="Normal"/>
        <w:spacing w:lineRule="auto" w:line="480" w:before="0" w:after="0"/>
        <w:ind w:firstLine="720" w:start="0" w:end="0"/>
        <w:rPr>
          <w:rFonts w:ascii="Liberation Serif" w:hAnsi="Liberation Serif"/>
          <w:sz w:val="24"/>
          <w:szCs w:val="24"/>
        </w:rPr>
      </w:pPr>
      <w:r>
        <w:rPr>
          <w:rFonts w:ascii="Liberation Serif" w:hAnsi="Liberation Serif"/>
          <w:sz w:val="24"/>
          <w:szCs w:val="24"/>
        </w:rPr>
        <w:t>In Malaya, a steady supply of workers was ensured by the enticement of good pay, and “in the possibility of his being able, during his two or three years average stay in this country, to remit small amounts of money to relations.”</w:t>
      </w:r>
      <w:r>
        <w:rPr>
          <w:rStyle w:val="FootnoteReference"/>
          <w:rFonts w:ascii="Liberation Serif" w:hAnsi="Liberation Serif"/>
          <w:sz w:val="24"/>
          <w:szCs w:val="24"/>
          <w:vertAlign w:val="superscript"/>
        </w:rPr>
        <w:footnoteReference w:id="83"/>
      </w:r>
      <w:r>
        <w:rPr>
          <w:rFonts w:ascii="Liberation Serif" w:hAnsi="Liberation Serif"/>
          <w:sz w:val="24"/>
          <w:szCs w:val="24"/>
        </w:rPr>
        <w:t xml:space="preserve"> As in the Congo and the Amazon, the labor force was not reproduced locally and generationally, but through tapping an external source of potential workers. In this case, the government of India worked with Malaya to facilitate the migration of workers from southern India to the Malayan rubber fields. Unlike in the wild cultivation fields across the world, workers in Malaya were paid in cash, and employers were directed to provide for workers’ housing, sanitation and medical care in addition to wages.</w:t>
      </w:r>
      <w:r>
        <w:rPr>
          <w:rStyle w:val="FootnoteReference"/>
          <w:rFonts w:ascii="Liberation Serif" w:hAnsi="Liberation Serif"/>
          <w:sz w:val="24"/>
          <w:szCs w:val="24"/>
          <w:vertAlign w:val="superscript"/>
        </w:rPr>
        <w:footnoteReference w:id="84"/>
      </w:r>
      <w:r>
        <w:rPr>
          <w:rFonts w:ascii="Liberation Serif" w:hAnsi="Liberation Serif"/>
          <w:sz w:val="24"/>
          <w:szCs w:val="24"/>
        </w:rPr>
        <w:t xml:space="preserve"> In the 1920s, the level of acceptable wage and quality of social provisions was a fixed point of contention between the government of India, who facilitated the supply of immigrant workers, and the government of Malaya and the planters, who wanted to reduce costs. </w:t>
      </w:r>
    </w:p>
    <w:p>
      <w:pPr>
        <w:pStyle w:val="Normal"/>
        <w:spacing w:lineRule="auto" w:line="480" w:before="0" w:after="0"/>
        <w:ind w:firstLine="720" w:start="0" w:end="0"/>
        <w:rPr>
          <w:rFonts w:ascii="Liberation Serif" w:hAnsi="Liberation Serif"/>
          <w:sz w:val="24"/>
          <w:szCs w:val="24"/>
        </w:rPr>
      </w:pPr>
      <w:commentRangeStart w:id="27"/>
      <w:r>
        <w:rPr>
          <w:rFonts w:ascii="Liberation Serif" w:hAnsi="Liberation Serif"/>
          <w:sz w:val="24"/>
          <w:szCs w:val="24"/>
        </w:rPr>
        <w:t xml:space="preserve">The question of social reproduction is complicated by the introduction of migrant and indentured labor. As with seasonal/transhumant labor in the Amazon, the social reproductive dynamics of migrant workers in colonial Malaya were stretched across vast distances. The existing communities of workers in India and Malaya were disrupted by migration, but do not seem to have been destroyed as in the Congo and among indigenous Amazonians. Rather, the social reproduction of the workforce became bifurcated, operating locally within the amenities of the rubber plantations and regionally through cash transfers across borders. This introduces significant complications to the question of housing and labor reproduction, but provides an exciting opportunity to examine the fundamental relationship between labor and housing in capitalism as it is attenuated by geographical and political space. </w:t>
      </w:r>
      <w:commentRangeEnd w:id="27"/>
      <w:r>
        <w:commentReference w:id="27"/>
      </w:r>
      <w:r>
        <w:rPr>
          <w:rFonts w:ascii="Liberation Serif" w:hAnsi="Liberation Serif"/>
          <w:sz w:val="24"/>
          <w:szCs w:val="24"/>
        </w:rPr>
      </w:r>
    </w:p>
    <w:p>
      <w:pPr>
        <w:pStyle w:val="Normal"/>
        <w:spacing w:lineRule="auto" w:line="480" w:before="0" w:after="0"/>
        <w:ind w:firstLine="720" w:start="0" w:end="0"/>
        <w:rPr>
          <w:rFonts w:ascii="Liberation Serif" w:hAnsi="Liberation Serif"/>
          <w:sz w:val="24"/>
          <w:szCs w:val="24"/>
        </w:rPr>
      </w:pPr>
      <w:r>
        <w:rPr>
          <w:rFonts w:ascii="Liberation Serif" w:hAnsi="Liberation Serif"/>
          <w:sz w:val="24"/>
          <w:szCs w:val="24"/>
        </w:rPr>
        <w:t xml:space="preserve">A steady supply of laborers is a central problem for industry everywhere. The housing and social-reproductive conditions for laborers varied along the global automotive commodity chain. Even at the point of the chain where rubber entered the production process, the living conditions of workers in different regions were structured differently by global and local pressures. The conditions of the reproduction of labor responded to factors such as the availability of cheap labor from an outside source, the resistance of workers to changes in their social and communal patterns, and the type of labor required by capital . </w:t>
      </w:r>
    </w:p>
    <w:p>
      <w:pPr>
        <w:pStyle w:val="Normal"/>
        <w:spacing w:lineRule="auto" w:line="480" w:before="0" w:after="0"/>
        <w:ind w:firstLine="720" w:start="0" w:end="0"/>
        <w:rPr>
          <w:rFonts w:ascii="Liberation Serif" w:hAnsi="Liberation Serif"/>
          <w:sz w:val="24"/>
          <w:szCs w:val="24"/>
        </w:rPr>
      </w:pPr>
      <w:r>
        <w:rPr>
          <w:rFonts w:ascii="Liberation Serif" w:hAnsi="Liberation Serif"/>
          <w:sz w:val="24"/>
          <w:szCs w:val="24"/>
        </w:rPr>
      </w:r>
    </w:p>
    <w:p>
      <w:pPr>
        <w:pStyle w:val="Normal"/>
        <w:spacing w:lineRule="auto" w:line="480" w:before="0" w:after="0"/>
        <w:ind w:hanging="0" w:start="0" w:end="0"/>
        <w:rPr>
          <w:b/>
          <w:bCs/>
          <w:i w:val="false"/>
          <w:i w:val="false"/>
          <w:iCs w:val="false"/>
        </w:rPr>
      </w:pPr>
      <w:r>
        <w:rPr>
          <w:rFonts w:ascii="Liberation Serif" w:hAnsi="Liberation Serif"/>
          <w:b/>
          <w:bCs/>
          <w:i w:val="false"/>
          <w:iCs w:val="false"/>
          <w:sz w:val="24"/>
          <w:szCs w:val="24"/>
        </w:rPr>
        <w:t>Conclusion</w:t>
      </w:r>
    </w:p>
    <w:p>
      <w:pPr>
        <w:pStyle w:val="Normal"/>
        <w:spacing w:lineRule="auto" w:line="480" w:before="0" w:after="0"/>
        <w:ind w:firstLine="720" w:start="0" w:end="0"/>
        <w:rPr>
          <w:rFonts w:ascii="Liberation Serif" w:hAnsi="Liberation Serif"/>
          <w:sz w:val="24"/>
          <w:szCs w:val="24"/>
        </w:rPr>
      </w:pPr>
      <w:r>
        <w:rPr>
          <w:rFonts w:ascii="Liberation Serif" w:hAnsi="Liberation Serif"/>
          <w:sz w:val="24"/>
          <w:szCs w:val="24"/>
        </w:rPr>
        <w:t>Social Reproduction Theory and World-Systems Analysis provide robust theoretical frameworks for conceptualizing the manipulation of labor and its value across racial and familial axes. Both will be helpful in diagnosing the manipulation by capital of the social relations that run through housing. However, neither uses ‘housing’ as a conceptual or analytic category, rather employing the related but distinct categories of ‘family’ and ‘the household’. To this end, the necessary empirical investigation into the housing policies and structures of Fordist Michigan and the global south will need to be paired with an analysis of how these theoretical categories are related and co-constituted.</w:t>
      </w:r>
    </w:p>
    <w:p>
      <w:pPr>
        <w:pStyle w:val="Normal"/>
        <w:spacing w:lineRule="auto" w:line="480" w:before="0" w:after="0"/>
        <w:ind w:firstLine="720" w:start="0" w:end="0"/>
        <w:rPr>
          <w:rFonts w:ascii="Liberation Serif" w:hAnsi="Liberation Serif"/>
          <w:sz w:val="24"/>
          <w:szCs w:val="24"/>
        </w:rPr>
      </w:pPr>
      <w:r>
        <w:rPr>
          <w:rFonts w:ascii="Liberation Serif" w:hAnsi="Liberation Serif"/>
          <w:sz w:val="24"/>
          <w:szCs w:val="24"/>
        </w:rPr>
        <w:t xml:space="preserve">The primary question posed by this chapter is that of the articulation between capital’s need for specific types of labor, and the specific ways in which it reproduces these types. In </w:t>
      </w:r>
      <w:commentRangeStart w:id="28"/>
      <w:r>
        <w:rPr>
          <w:rFonts w:ascii="Liberation Serif" w:hAnsi="Liberation Serif"/>
          <w:sz w:val="24"/>
          <w:szCs w:val="24"/>
        </w:rPr>
        <w:t>particular</w:t>
      </w:r>
      <w:r>
        <w:rPr>
          <w:rFonts w:ascii="Liberation Serif" w:hAnsi="Liberation Serif"/>
          <w:sz w:val="24"/>
          <w:szCs w:val="24"/>
        </w:rPr>
      </w:r>
      <w:commentRangeEnd w:id="28"/>
      <w:r>
        <w:commentReference w:id="28"/>
      </w:r>
      <w:r>
        <w:rPr>
          <w:rFonts w:ascii="Liberation Serif" w:hAnsi="Liberation Serif"/>
          <w:sz w:val="24"/>
          <w:szCs w:val="24"/>
        </w:rPr>
        <w:t>, how did global configurations of social reproduction respond to the Fordist revolution in production? Following from the insights of Marxist Feminists and social reproduction theorists, I posit that housing conditions structure the reproduction of labor, but this is not a simple position to investigate. It is clear that neither conditions of production nor reproduction were exported globally wholesale by Fordist producers, and yet the entire world of production and reproduction was certainly transformed.</w:t>
      </w:r>
    </w:p>
    <w:p>
      <w:pPr>
        <w:pStyle w:val="Normal"/>
        <w:spacing w:lineRule="auto" w:line="480" w:before="0" w:after="0"/>
        <w:ind w:firstLine="720" w:start="0" w:end="0"/>
        <w:rPr>
          <w:rFonts w:ascii="Liberation Serif" w:hAnsi="Liberation Serif"/>
          <w:sz w:val="24"/>
          <w:szCs w:val="24"/>
        </w:rPr>
      </w:pPr>
      <w:r>
        <w:rPr>
          <w:rFonts w:ascii="Liberation Serif" w:hAnsi="Liberation Serif"/>
          <w:sz w:val="24"/>
          <w:szCs w:val="24"/>
        </w:rPr>
        <w:t>In the Amazon and the Congo, the reproduction of the debt relation and of the tax relation is inextricable from the reproduction of labor. The housing policy in these fields was a negative one: a policy of destroying existing housing patterns. The razing of homes by slaving expeditions in the Congo, and the “kidnapping of indigenous infants … to be raised within the families of enforcers or patrons to work the rubber fields”</w:t>
      </w:r>
      <w:r>
        <w:rPr>
          <w:rStyle w:val="FootnoteReference"/>
          <w:rFonts w:ascii="Liberation Serif" w:hAnsi="Liberation Serif"/>
          <w:sz w:val="24"/>
          <w:szCs w:val="24"/>
          <w:vertAlign w:val="superscript"/>
        </w:rPr>
        <w:footnoteReference w:id="85"/>
      </w:r>
      <w:r>
        <w:rPr>
          <w:rFonts w:ascii="Liberation Serif" w:hAnsi="Liberation Serif"/>
          <w:sz w:val="24"/>
          <w:szCs w:val="24"/>
        </w:rPr>
        <w:t xml:space="preserve"> in the Amazon are the logical parallels of the planned communities in Michigan. In Michigan a labor supply was ensured and renewed through the new family patterns of the middle class; in the global south this reproduction of labor was ensured and renewed through the destruction of indigenous families.</w:t>
      </w:r>
    </w:p>
    <w:p>
      <w:pPr>
        <w:pStyle w:val="Normal"/>
        <w:spacing w:lineRule="auto" w:line="480" w:before="0" w:after="0"/>
        <w:ind w:firstLine="720" w:start="0" w:end="0"/>
        <w:rPr>
          <w:rFonts w:ascii="Liberation Serif" w:hAnsi="Liberation Serif"/>
          <w:sz w:val="24"/>
          <w:szCs w:val="24"/>
        </w:rPr>
      </w:pPr>
      <w:r>
        <w:rPr>
          <w:rFonts w:ascii="Liberation Serif" w:hAnsi="Liberation Serif"/>
          <w:sz w:val="24"/>
          <w:szCs w:val="24"/>
        </w:rPr>
        <w:t>The supply of labor on the Malayan plantations was also secured from external sources, but through economic enticement rather than brute force. Plantation workers were paid a wage, but as their housing was provided for by the planters, and the state enforced labor laws regarding the length of the workday and workweek. The tenure of migrant workers was short, and for many workers a portion of his/her wage was used to support families back home in India.</w:t>
      </w:r>
    </w:p>
    <w:p>
      <w:pPr>
        <w:pStyle w:val="Normal"/>
        <w:spacing w:lineRule="auto" w:line="480" w:before="0" w:after="0"/>
        <w:ind w:firstLine="720" w:start="0" w:end="0"/>
        <w:rPr>
          <w:rFonts w:ascii="Liberation Serif" w:hAnsi="Liberation Serif"/>
          <w:sz w:val="24"/>
          <w:szCs w:val="24"/>
        </w:rPr>
      </w:pPr>
      <w:r>
        <w:rPr>
          <w:rFonts w:ascii="Liberation Serif" w:hAnsi="Liberation Serif"/>
          <w:sz w:val="24"/>
          <w:szCs w:val="24"/>
        </w:rPr>
        <w:t>These patterns of reproduction are connected across the world-system by commodity chains. A finished car needed inputs of iron, wood, coal, and rubber, and each of these had to be gathered and prepared by laborers far from auto factories. The labor processes, and the conditions of its renewal, were conditioned by various local factors - the position in the global economy, the extant patterns of life and labor, and the family formation in which laborers lived. While factory workers in America could be said to be proletarians, slave laborers and informal workers in the rubber fields could not. And while production for the world market dominated the lives of workers and their families, it was not the only type of work they engaged in: they were supported by unique combinations of wage labor, unpaid reproductive work, and subsistence labor.</w:t>
      </w:r>
    </w:p>
    <w:p>
      <w:pPr>
        <w:pStyle w:val="Normal"/>
        <w:spacing w:lineRule="auto" w:line="480" w:before="0" w:after="0"/>
        <w:ind w:firstLine="720" w:start="0" w:end="0"/>
        <w:rPr>
          <w:rFonts w:ascii="Liberation Serif" w:hAnsi="Liberation Serif"/>
          <w:sz w:val="24"/>
          <w:szCs w:val="24"/>
        </w:rPr>
      </w:pPr>
      <w:r>
        <w:rPr>
          <w:rFonts w:ascii="Liberation Serif" w:hAnsi="Liberation Serif"/>
          <w:sz w:val="24"/>
          <w:szCs w:val="24"/>
        </w:rPr>
        <w:t>The ways in which workers across the automotive commodity chain were housed, or the ways in which they housed themselves, are constitutive of the capitalist world-system. Aglietta was correct in identifying housing as a key element in Fordism, but he was incorrect in dismissing the relevance of the global south to Ford’s project. If Fordism can be seen as a reconfiguration of the articulation between patterns of consumption and production, then the changes that we have traced across the global south form a part of the regime of Fordism and warrant further study within this framework.</w:t>
      </w:r>
      <w:r>
        <w:br w:type="page"/>
      </w:r>
    </w:p>
    <w:p>
      <w:pPr>
        <w:pStyle w:val="Normal"/>
        <w:spacing w:lineRule="auto" w:line="480" w:before="0" w:after="0"/>
        <w:ind w:hanging="0" w:start="0" w:end="0"/>
        <w:rPr>
          <w:rFonts w:ascii="Liberation Serif" w:hAnsi="Liberation Serif"/>
          <w:b/>
          <w:bCs/>
          <w:sz w:val="24"/>
          <w:szCs w:val="24"/>
        </w:rPr>
      </w:pPr>
      <w:r>
        <w:rPr>
          <w:rFonts w:ascii="Liberation Serif" w:hAnsi="Liberation Serif"/>
          <w:b/>
          <w:bCs/>
          <w:sz w:val="24"/>
          <w:szCs w:val="24"/>
        </w:rPr>
        <w:t>References</w:t>
      </w:r>
    </w:p>
    <w:p>
      <w:pPr>
        <w:pStyle w:val="Normal"/>
        <w:tabs>
          <w:tab w:val="clear" w:pos="720"/>
        </w:tabs>
        <w:spacing w:lineRule="auto" w:line="240" w:before="0" w:after="200"/>
        <w:ind w:hanging="720" w:start="720" w:end="0"/>
        <w:rPr>
          <w:rFonts w:ascii="Liberation Serif" w:hAnsi="Liberation Serif"/>
          <w:sz w:val="24"/>
          <w:szCs w:val="24"/>
        </w:rPr>
      </w:pPr>
      <w:r>
        <w:rPr>
          <w:rFonts w:ascii="Liberation Serif" w:hAnsi="Liberation Serif"/>
          <w:sz w:val="24"/>
          <w:szCs w:val="24"/>
        </w:rPr>
        <w:t xml:space="preserve">Aglietta, Michel. </w:t>
      </w:r>
      <w:r>
        <w:rPr>
          <w:rFonts w:ascii="Liberation Serif" w:hAnsi="Liberation Serif"/>
          <w:i/>
          <w:sz w:val="24"/>
          <w:szCs w:val="24"/>
        </w:rPr>
        <w:t>A Theory of Capitalist Regulation</w:t>
      </w:r>
      <w:r>
        <w:rPr>
          <w:rFonts w:ascii="Liberation Serif" w:hAnsi="Liberation Serif"/>
          <w:sz w:val="24"/>
          <w:szCs w:val="24"/>
        </w:rPr>
        <w:t>. London: NLB, 1979.</w:t>
      </w:r>
    </w:p>
    <w:p>
      <w:pPr>
        <w:pStyle w:val="Normal"/>
        <w:tabs>
          <w:tab w:val="clear" w:pos="720"/>
        </w:tabs>
        <w:spacing w:lineRule="auto" w:line="240" w:before="0" w:after="200"/>
        <w:ind w:hanging="720" w:start="720" w:end="0"/>
        <w:rPr>
          <w:rFonts w:ascii="Liberation Serif" w:hAnsi="Liberation Serif"/>
          <w:sz w:val="24"/>
          <w:szCs w:val="24"/>
        </w:rPr>
      </w:pPr>
      <w:r>
        <w:rPr>
          <w:rFonts w:ascii="Liberation Serif" w:hAnsi="Liberation Serif"/>
          <w:sz w:val="24"/>
          <w:szCs w:val="24"/>
        </w:rPr>
        <w:t xml:space="preserve">Amin, Samir. </w:t>
      </w:r>
      <w:r>
        <w:rPr>
          <w:rFonts w:ascii="Liberation Serif" w:hAnsi="Liberation Serif"/>
          <w:i/>
          <w:sz w:val="24"/>
          <w:szCs w:val="24"/>
        </w:rPr>
        <w:t>Accumulation on a World Scale</w:t>
      </w:r>
      <w:r>
        <w:rPr>
          <w:rFonts w:ascii="Liberation Serif" w:hAnsi="Liberation Serif"/>
          <w:sz w:val="24"/>
          <w:szCs w:val="24"/>
        </w:rPr>
        <w:t>. Monthly Review Press, 1974.</w:t>
      </w:r>
    </w:p>
    <w:p>
      <w:pPr>
        <w:pStyle w:val="Normal"/>
        <w:tabs>
          <w:tab w:val="clear" w:pos="720"/>
        </w:tabs>
        <w:spacing w:lineRule="auto" w:line="240" w:before="0" w:after="200"/>
        <w:ind w:hanging="720" w:start="720" w:end="0"/>
        <w:rPr>
          <w:rFonts w:ascii="Liberation Serif" w:hAnsi="Liberation Serif"/>
          <w:sz w:val="24"/>
          <w:szCs w:val="24"/>
        </w:rPr>
      </w:pPr>
      <w:r>
        <w:rPr>
          <w:rFonts w:ascii="Liberation Serif" w:hAnsi="Liberation Serif"/>
          <w:sz w:val="24"/>
          <w:szCs w:val="24"/>
        </w:rPr>
        <w:t xml:space="preserve">Arrighi, Giovanni. </w:t>
      </w:r>
      <w:r>
        <w:rPr>
          <w:rFonts w:ascii="Liberation Serif" w:hAnsi="Liberation Serif"/>
          <w:i/>
          <w:sz w:val="24"/>
          <w:szCs w:val="24"/>
        </w:rPr>
        <w:t>The Long Twentieth Century: Money, Power, and the Origins of Our Time</w:t>
      </w:r>
      <w:r>
        <w:rPr>
          <w:rFonts w:ascii="Liberation Serif" w:hAnsi="Liberation Serif"/>
          <w:sz w:val="24"/>
          <w:szCs w:val="24"/>
        </w:rPr>
        <w:t>, London and New York: Verso Books, 2009.</w:t>
      </w:r>
    </w:p>
    <w:p>
      <w:pPr>
        <w:pStyle w:val="Normal"/>
        <w:tabs>
          <w:tab w:val="clear" w:pos="720"/>
        </w:tabs>
        <w:spacing w:lineRule="auto" w:line="240" w:before="0" w:after="200"/>
        <w:ind w:hanging="720" w:start="720" w:end="0"/>
        <w:rPr>
          <w:rFonts w:ascii="Liberation Serif" w:hAnsi="Liberation Serif"/>
          <w:sz w:val="24"/>
          <w:szCs w:val="24"/>
        </w:rPr>
      </w:pPr>
      <w:r>
        <w:rPr>
          <w:rFonts w:ascii="Liberation Serif" w:hAnsi="Liberation Serif"/>
          <w:sz w:val="24"/>
          <w:szCs w:val="24"/>
        </w:rPr>
        <w:t xml:space="preserve">Bunker, Stephen G., and Paul S. Ciccantell. </w:t>
      </w:r>
      <w:r>
        <w:rPr>
          <w:rFonts w:ascii="Liberation Serif" w:hAnsi="Liberation Serif"/>
          <w:i/>
          <w:sz w:val="24"/>
          <w:szCs w:val="24"/>
        </w:rPr>
        <w:t>Globalization and the Race for Resources</w:t>
      </w:r>
      <w:r>
        <w:rPr>
          <w:rFonts w:ascii="Liberation Serif" w:hAnsi="Liberation Serif"/>
          <w:sz w:val="24"/>
          <w:szCs w:val="24"/>
        </w:rPr>
        <w:t>. Baltimore: Johns Hopkins University Press, 2005.</w:t>
      </w:r>
    </w:p>
    <w:p>
      <w:pPr>
        <w:pStyle w:val="Normal"/>
        <w:tabs>
          <w:tab w:val="clear" w:pos="720"/>
        </w:tabs>
        <w:spacing w:lineRule="auto" w:line="240" w:before="0" w:after="200"/>
        <w:ind w:hanging="720" w:start="720" w:end="0"/>
        <w:rPr>
          <w:rFonts w:ascii="Liberation Serif" w:hAnsi="Liberation Serif"/>
          <w:sz w:val="24"/>
          <w:szCs w:val="24"/>
        </w:rPr>
      </w:pPr>
      <w:r>
        <w:rPr>
          <w:rFonts w:ascii="Liberation Serif" w:hAnsi="Liberation Serif"/>
          <w:sz w:val="24"/>
          <w:szCs w:val="24"/>
        </w:rPr>
        <w:t xml:space="preserve">Chandler, Alfred D. </w:t>
      </w:r>
      <w:r>
        <w:rPr>
          <w:rFonts w:ascii="Liberation Serif" w:hAnsi="Liberation Serif"/>
          <w:i/>
          <w:sz w:val="24"/>
          <w:szCs w:val="24"/>
        </w:rPr>
        <w:t>The Visible Hand: The Managerial Revolution in American Business</w:t>
      </w:r>
      <w:r>
        <w:rPr>
          <w:rFonts w:ascii="Liberation Serif" w:hAnsi="Liberation Serif"/>
          <w:sz w:val="24"/>
          <w:szCs w:val="24"/>
        </w:rPr>
        <w:t>. Cambridge: Harvard University Press, 1977.</w:t>
      </w:r>
    </w:p>
    <w:p>
      <w:pPr>
        <w:pStyle w:val="Normal"/>
        <w:tabs>
          <w:tab w:val="clear" w:pos="720"/>
        </w:tabs>
        <w:spacing w:lineRule="auto" w:line="240" w:before="0" w:after="200"/>
        <w:ind w:hanging="720" w:start="720" w:end="0"/>
        <w:rPr>
          <w:rFonts w:ascii="Liberation Serif" w:hAnsi="Liberation Serif"/>
          <w:sz w:val="24"/>
          <w:szCs w:val="24"/>
        </w:rPr>
      </w:pPr>
      <w:r>
        <w:rPr>
          <w:rFonts w:ascii="Liberation Serif" w:hAnsi="Liberation Serif"/>
          <w:sz w:val="24"/>
          <w:szCs w:val="24"/>
        </w:rPr>
        <w:t>Clarke, Simon. “What in the F—’s name is Fordism.” Paper presented at British Sociological Association Conference, University of Surrey, 1990.</w:t>
      </w:r>
    </w:p>
    <w:p>
      <w:pPr>
        <w:pStyle w:val="Normal"/>
        <w:tabs>
          <w:tab w:val="clear" w:pos="720"/>
        </w:tabs>
        <w:spacing w:lineRule="auto" w:line="240" w:before="0" w:after="200"/>
        <w:ind w:hanging="720" w:start="720" w:end="0"/>
        <w:rPr>
          <w:rFonts w:ascii="Liberation Serif" w:hAnsi="Liberation Serif"/>
          <w:sz w:val="24"/>
          <w:szCs w:val="24"/>
        </w:rPr>
      </w:pPr>
      <w:r>
        <w:rPr>
          <w:rFonts w:ascii="Liberation Serif" w:hAnsi="Liberation Serif"/>
          <w:sz w:val="24"/>
          <w:szCs w:val="24"/>
        </w:rPr>
        <w:t xml:space="preserve">Clarke, Simon. “Overaccumulation, Class Struggle and the Regulation Approach.” </w:t>
      </w:r>
      <w:r>
        <w:rPr>
          <w:rFonts w:ascii="Liberation Serif" w:hAnsi="Liberation Serif"/>
          <w:i/>
          <w:sz w:val="24"/>
          <w:szCs w:val="24"/>
        </w:rPr>
        <w:t xml:space="preserve"> Capital &amp; Class</w:t>
      </w:r>
      <w:r>
        <w:rPr>
          <w:rFonts w:ascii="Liberation Serif" w:hAnsi="Liberation Serif"/>
          <w:sz w:val="24"/>
          <w:szCs w:val="24"/>
        </w:rPr>
        <w:t xml:space="preserve"> 12, no. 3 (1988): 59-92. </w:t>
      </w:r>
    </w:p>
    <w:p>
      <w:pPr>
        <w:pStyle w:val="Normal"/>
        <w:tabs>
          <w:tab w:val="clear" w:pos="720"/>
        </w:tabs>
        <w:spacing w:lineRule="auto" w:line="240" w:before="0" w:after="200"/>
        <w:ind w:hanging="720" w:start="720" w:end="0"/>
        <w:rPr>
          <w:rFonts w:ascii="Liberation Serif" w:hAnsi="Liberation Serif"/>
          <w:sz w:val="24"/>
          <w:szCs w:val="24"/>
        </w:rPr>
      </w:pPr>
      <w:r>
        <w:rPr>
          <w:rFonts w:ascii="Liberation Serif" w:hAnsi="Liberation Serif"/>
          <w:sz w:val="24"/>
          <w:szCs w:val="24"/>
        </w:rPr>
        <w:t xml:space="preserve">Coates, Austin. </w:t>
      </w:r>
      <w:r>
        <w:rPr>
          <w:rFonts w:ascii="Liberation Serif" w:hAnsi="Liberation Serif"/>
          <w:i/>
          <w:sz w:val="24"/>
          <w:szCs w:val="24"/>
        </w:rPr>
        <w:t>Commerce in Rubber: The First 250 Years</w:t>
      </w:r>
      <w:r>
        <w:rPr>
          <w:rFonts w:ascii="Liberation Serif" w:hAnsi="Liberation Serif"/>
          <w:sz w:val="24"/>
          <w:szCs w:val="24"/>
        </w:rPr>
        <w:t>. Oxford: Oxford University Press, 1987.</w:t>
      </w:r>
    </w:p>
    <w:p>
      <w:pPr>
        <w:pStyle w:val="Normal"/>
        <w:tabs>
          <w:tab w:val="clear" w:pos="720"/>
        </w:tabs>
        <w:spacing w:lineRule="auto" w:line="240" w:before="0" w:after="200"/>
        <w:ind w:hanging="720" w:start="720" w:end="0"/>
        <w:rPr>
          <w:rFonts w:ascii="Liberation Serif" w:hAnsi="Liberation Serif"/>
          <w:sz w:val="24"/>
          <w:szCs w:val="24"/>
        </w:rPr>
      </w:pPr>
      <w:r>
        <w:rPr>
          <w:rFonts w:ascii="Liberation Serif" w:hAnsi="Liberation Serif"/>
          <w:sz w:val="24"/>
          <w:szCs w:val="24"/>
        </w:rPr>
        <w:t xml:space="preserve">Congressional Research Committee, </w:t>
      </w:r>
      <w:r>
        <w:rPr>
          <w:rFonts w:ascii="Liberation Serif" w:hAnsi="Liberation Serif"/>
          <w:i/>
          <w:sz w:val="24"/>
          <w:szCs w:val="24"/>
        </w:rPr>
        <w:t xml:space="preserve">A Chronology of Housing Legislation and Selected Executive Actions, 1892 – 2003, </w:t>
      </w:r>
      <w:r>
        <w:rPr>
          <w:rFonts w:ascii="Liberation Serif" w:hAnsi="Liberation Serif"/>
          <w:sz w:val="24"/>
          <w:szCs w:val="24"/>
        </w:rPr>
        <w:t>Washington: U.S. Government Publishing Office, 2004.</w:t>
      </w:r>
    </w:p>
    <w:p>
      <w:pPr>
        <w:pStyle w:val="Normal"/>
        <w:tabs>
          <w:tab w:val="clear" w:pos="720"/>
        </w:tabs>
        <w:spacing w:lineRule="auto" w:line="240" w:before="0" w:after="200"/>
        <w:ind w:hanging="720" w:start="720" w:end="0"/>
        <w:rPr>
          <w:rFonts w:ascii="Liberation Serif" w:hAnsi="Liberation Serif"/>
          <w:sz w:val="24"/>
          <w:szCs w:val="24"/>
        </w:rPr>
      </w:pPr>
      <w:r>
        <w:rPr>
          <w:rFonts w:ascii="Liberation Serif" w:hAnsi="Liberation Serif"/>
          <w:sz w:val="24"/>
          <w:szCs w:val="24"/>
        </w:rPr>
        <w:t xml:space="preserve">Coomes, Oliver T. and Bradford L. Barham. “The Amazon Rubber Boom: Labor Control, Resistance, and Failed Plantation Development Revisited.” </w:t>
      </w:r>
      <w:r>
        <w:rPr>
          <w:rFonts w:ascii="Liberation Serif" w:hAnsi="Liberation Serif"/>
          <w:i/>
          <w:sz w:val="24"/>
          <w:szCs w:val="24"/>
        </w:rPr>
        <w:t xml:space="preserve">Hispanic American Historical Review </w:t>
      </w:r>
      <w:r>
        <w:rPr>
          <w:rFonts w:ascii="Liberation Serif" w:hAnsi="Liberation Serif"/>
          <w:sz w:val="24"/>
          <w:szCs w:val="24"/>
        </w:rPr>
        <w:t>74, no. 2 (1994)</w:t>
      </w:r>
    </w:p>
    <w:p>
      <w:pPr>
        <w:pStyle w:val="Normal"/>
        <w:tabs>
          <w:tab w:val="clear" w:pos="720"/>
        </w:tabs>
        <w:spacing w:lineRule="auto" w:line="240" w:before="0" w:after="200"/>
        <w:ind w:hanging="720" w:start="720" w:end="0"/>
        <w:rPr>
          <w:rFonts w:ascii="Liberation Serif" w:hAnsi="Liberation Serif"/>
          <w:sz w:val="24"/>
          <w:szCs w:val="24"/>
        </w:rPr>
      </w:pPr>
      <w:r>
        <w:rPr>
          <w:rFonts w:ascii="Liberation Serif" w:hAnsi="Liberation Serif"/>
          <w:sz w:val="24"/>
          <w:szCs w:val="24"/>
        </w:rPr>
        <w:t>Cowdrick, “Operations of Modern Housing Corporation.” General Motors Library, 1930. Accessed Dec 7, 2021.</w:t>
      </w:r>
    </w:p>
    <w:p>
      <w:pPr>
        <w:pStyle w:val="Normal"/>
        <w:tabs>
          <w:tab w:val="clear" w:pos="720"/>
        </w:tabs>
        <w:spacing w:lineRule="auto" w:line="240" w:before="0" w:after="200"/>
        <w:ind w:hanging="720" w:start="720" w:end="0"/>
        <w:rPr>
          <w:rFonts w:ascii="Liberation Serif" w:hAnsi="Liberation Serif"/>
          <w:sz w:val="24"/>
          <w:szCs w:val="24"/>
        </w:rPr>
      </w:pPr>
      <w:r>
        <w:rPr>
          <w:rFonts w:ascii="Liberation Serif" w:hAnsi="Liberation Serif"/>
          <w:sz w:val="24"/>
          <w:szCs w:val="24"/>
        </w:rPr>
        <w:t xml:space="preserve">Joseph, Sabrina, ed. </w:t>
      </w:r>
      <w:r>
        <w:rPr>
          <w:rFonts w:ascii="Liberation Serif" w:hAnsi="Liberation Serif"/>
          <w:i/>
          <w:sz w:val="24"/>
          <w:szCs w:val="24"/>
        </w:rPr>
        <w:t>Commodity Frontiers and Global Capitalist Expansion.</w:t>
      </w:r>
      <w:r>
        <w:rPr>
          <w:rFonts w:ascii="Liberation Serif" w:hAnsi="Liberation Serif"/>
          <w:sz w:val="24"/>
          <w:szCs w:val="24"/>
        </w:rPr>
        <w:t xml:space="preserve"> Palgrave MacMillan, 2019.</w:t>
      </w:r>
    </w:p>
    <w:p>
      <w:pPr>
        <w:pStyle w:val="Normal"/>
        <w:tabs>
          <w:tab w:val="clear" w:pos="720"/>
        </w:tabs>
        <w:spacing w:lineRule="auto" w:line="240" w:before="0" w:after="200"/>
        <w:ind w:hanging="720" w:start="720" w:end="0"/>
        <w:rPr>
          <w:rFonts w:ascii="Liberation Serif" w:hAnsi="Liberation Serif"/>
          <w:sz w:val="24"/>
          <w:szCs w:val="24"/>
        </w:rPr>
      </w:pPr>
      <w:r>
        <w:rPr>
          <w:rFonts w:ascii="Liberation Serif" w:hAnsi="Liberation Serif"/>
          <w:sz w:val="24"/>
          <w:szCs w:val="24"/>
        </w:rPr>
        <w:t xml:space="preserve">Drabble, J. H. “The Plantation Rubber Industry in Malaya up to 1922.” </w:t>
      </w:r>
      <w:r>
        <w:rPr>
          <w:rFonts w:ascii="Liberation Serif" w:hAnsi="Liberation Serif"/>
          <w:i/>
          <w:sz w:val="24"/>
          <w:szCs w:val="24"/>
        </w:rPr>
        <w:t xml:space="preserve">Journal of the Malaysian Branch of the Royal Asiatic Society </w:t>
      </w:r>
      <w:r>
        <w:rPr>
          <w:rFonts w:ascii="Liberation Serif" w:hAnsi="Liberation Serif"/>
          <w:sz w:val="24"/>
          <w:szCs w:val="24"/>
        </w:rPr>
        <w:t>40 no. 1 (1967)</w:t>
      </w:r>
    </w:p>
    <w:p>
      <w:pPr>
        <w:pStyle w:val="Normal"/>
        <w:tabs>
          <w:tab w:val="clear" w:pos="720"/>
        </w:tabs>
        <w:spacing w:lineRule="auto" w:line="240" w:before="0" w:after="200"/>
        <w:ind w:hanging="720" w:start="720" w:end="0"/>
        <w:rPr>
          <w:rFonts w:ascii="Liberation Serif" w:hAnsi="Liberation Serif"/>
          <w:sz w:val="24"/>
          <w:szCs w:val="24"/>
        </w:rPr>
      </w:pPr>
      <w:r>
        <w:rPr>
          <w:rFonts w:ascii="Liberation Serif" w:hAnsi="Liberation Serif"/>
          <w:sz w:val="24"/>
          <w:szCs w:val="24"/>
        </w:rPr>
        <w:t xml:space="preserve">Dunbar, Willis F. </w:t>
      </w:r>
      <w:r>
        <w:rPr>
          <w:rFonts w:ascii="Liberation Serif" w:hAnsi="Liberation Serif"/>
          <w:i/>
          <w:sz w:val="24"/>
          <w:szCs w:val="24"/>
        </w:rPr>
        <w:t>Michigan: A History of the Wolverine State</w:t>
      </w:r>
      <w:r>
        <w:rPr>
          <w:rFonts w:ascii="Liberation Serif" w:hAnsi="Liberation Serif"/>
          <w:sz w:val="24"/>
          <w:szCs w:val="24"/>
        </w:rPr>
        <w:t>. Grand Rapids, MI: Eerdmans, 1965.</w:t>
      </w:r>
    </w:p>
    <w:p>
      <w:pPr>
        <w:pStyle w:val="Normal"/>
        <w:tabs>
          <w:tab w:val="clear" w:pos="720"/>
        </w:tabs>
        <w:spacing w:lineRule="auto" w:line="240" w:before="0" w:after="200"/>
        <w:ind w:hanging="720" w:start="720" w:end="0"/>
        <w:rPr>
          <w:rFonts w:ascii="Liberation Serif" w:hAnsi="Liberation Serif"/>
          <w:sz w:val="24"/>
          <w:szCs w:val="24"/>
        </w:rPr>
      </w:pPr>
      <w:r>
        <w:rPr>
          <w:rFonts w:ascii="Liberation Serif" w:hAnsi="Liberation Serif"/>
          <w:sz w:val="24"/>
          <w:szCs w:val="24"/>
        </w:rPr>
        <w:t xml:space="preserve">Faue, Elizabeth. “Gender and the Reconstruction of Labor History: An Introduction,” </w:t>
      </w:r>
      <w:r>
        <w:rPr>
          <w:rFonts w:ascii="Liberation Serif" w:hAnsi="Liberation Serif"/>
          <w:i/>
          <w:sz w:val="24"/>
          <w:szCs w:val="24"/>
        </w:rPr>
        <w:t>Labor History</w:t>
      </w:r>
      <w:r>
        <w:rPr>
          <w:rFonts w:ascii="Liberation Serif" w:hAnsi="Liberation Serif"/>
          <w:sz w:val="24"/>
          <w:szCs w:val="24"/>
        </w:rPr>
        <w:t xml:space="preserve"> 34, no. 2-3 (1993).</w:t>
      </w:r>
    </w:p>
    <w:p>
      <w:pPr>
        <w:pStyle w:val="Normal"/>
        <w:tabs>
          <w:tab w:val="clear" w:pos="720"/>
        </w:tabs>
        <w:spacing w:lineRule="auto" w:line="240" w:before="0" w:after="200"/>
        <w:ind w:hanging="720" w:start="720" w:end="0"/>
        <w:rPr>
          <w:rFonts w:ascii="Liberation Serif" w:hAnsi="Liberation Serif"/>
          <w:sz w:val="24"/>
          <w:szCs w:val="24"/>
        </w:rPr>
      </w:pPr>
      <w:bookmarkStart w:id="5" w:name="_3dy6vkm1"/>
      <w:bookmarkEnd w:id="5"/>
      <w:r>
        <w:rPr>
          <w:rFonts w:ascii="Liberation Serif" w:hAnsi="Liberation Serif"/>
          <w:sz w:val="24"/>
          <w:szCs w:val="24"/>
        </w:rPr>
        <w:t xml:space="preserve">Federici, Sylvia. </w:t>
      </w:r>
      <w:r>
        <w:rPr>
          <w:rFonts w:ascii="Liberation Serif" w:hAnsi="Liberation Serif"/>
          <w:i/>
          <w:sz w:val="24"/>
          <w:szCs w:val="24"/>
        </w:rPr>
        <w:t>Patriarchy of the wage: Notes on Marx, Gender, and Feminism</w:t>
      </w:r>
      <w:r>
        <w:rPr>
          <w:rFonts w:ascii="Liberation Serif" w:hAnsi="Liberation Serif"/>
          <w:sz w:val="24"/>
          <w:szCs w:val="24"/>
        </w:rPr>
        <w:t>. Oakland: PM Press, 2021.</w:t>
      </w:r>
    </w:p>
    <w:p>
      <w:pPr>
        <w:pStyle w:val="Normal"/>
        <w:tabs>
          <w:tab w:val="clear" w:pos="720"/>
        </w:tabs>
        <w:spacing w:lineRule="auto" w:line="240" w:before="0" w:after="200"/>
        <w:ind w:hanging="720" w:start="720" w:end="0"/>
        <w:rPr>
          <w:rFonts w:ascii="Liberation Serif" w:hAnsi="Liberation Serif"/>
          <w:sz w:val="24"/>
          <w:szCs w:val="24"/>
        </w:rPr>
      </w:pPr>
      <w:r>
        <w:rPr>
          <w:rFonts w:ascii="Liberation Serif" w:hAnsi="Liberation Serif"/>
          <w:sz w:val="24"/>
          <w:szCs w:val="24"/>
        </w:rPr>
        <w:t xml:space="preserve">Bhattacharya, Tithi, ed. </w:t>
      </w:r>
      <w:r>
        <w:rPr>
          <w:rFonts w:ascii="Liberation Serif" w:hAnsi="Liberation Serif"/>
          <w:i/>
          <w:sz w:val="24"/>
          <w:szCs w:val="24"/>
        </w:rPr>
        <w:t xml:space="preserve">Social Reproduction Theory: Remapping Class, Recentering Oppression. </w:t>
      </w:r>
      <w:r>
        <w:rPr>
          <w:rFonts w:ascii="Liberation Serif" w:hAnsi="Liberation Serif"/>
          <w:sz w:val="24"/>
          <w:szCs w:val="24"/>
        </w:rPr>
        <w:t>London: Pluto Press, 2017.</w:t>
      </w:r>
    </w:p>
    <w:p>
      <w:pPr>
        <w:pStyle w:val="Normal"/>
        <w:tabs>
          <w:tab w:val="clear" w:pos="720"/>
        </w:tabs>
        <w:spacing w:lineRule="auto" w:line="240" w:before="0" w:after="200"/>
        <w:ind w:hanging="720" w:start="720" w:end="0"/>
        <w:rPr>
          <w:rFonts w:ascii="Liberation Serif" w:hAnsi="Liberation Serif"/>
          <w:sz w:val="24"/>
          <w:szCs w:val="24"/>
        </w:rPr>
      </w:pPr>
      <w:r>
        <w:rPr>
          <w:rFonts w:ascii="Liberation Serif" w:hAnsi="Liberation Serif"/>
          <w:sz w:val="24"/>
          <w:szCs w:val="24"/>
        </w:rPr>
        <w:t xml:space="preserve">Stoler, Laura Ann, ed. </w:t>
      </w:r>
      <w:r>
        <w:rPr>
          <w:rFonts w:ascii="Liberation Serif" w:hAnsi="Liberation Serif"/>
          <w:i/>
          <w:sz w:val="24"/>
          <w:szCs w:val="24"/>
        </w:rPr>
        <w:t>Imperial Debri.</w:t>
      </w:r>
      <w:r>
        <w:rPr>
          <w:rFonts w:ascii="Liberation Serif" w:hAnsi="Liberation Serif"/>
          <w:sz w:val="24"/>
          <w:szCs w:val="24"/>
        </w:rPr>
        <w:t xml:space="preserve"> Durham: Duke University Press, 2013. </w:t>
      </w:r>
    </w:p>
    <w:p>
      <w:pPr>
        <w:pStyle w:val="Normal"/>
        <w:tabs>
          <w:tab w:val="clear" w:pos="720"/>
        </w:tabs>
        <w:spacing w:lineRule="auto" w:line="240" w:before="0" w:after="200"/>
        <w:ind w:hanging="720" w:start="720" w:end="0"/>
        <w:rPr>
          <w:rFonts w:ascii="Liberation Serif" w:hAnsi="Liberation Serif"/>
          <w:sz w:val="24"/>
          <w:szCs w:val="24"/>
        </w:rPr>
      </w:pPr>
      <w:r>
        <w:rPr>
          <w:rFonts w:ascii="Liberation Serif" w:hAnsi="Liberation Serif"/>
          <w:sz w:val="24"/>
          <w:szCs w:val="24"/>
        </w:rPr>
        <w:t xml:space="preserve">Frank, Andre Gunder. “The Development of Underdevelopment.” </w:t>
      </w:r>
      <w:r>
        <w:rPr>
          <w:rFonts w:ascii="Liberation Serif" w:hAnsi="Liberation Serif"/>
          <w:i/>
          <w:sz w:val="24"/>
          <w:szCs w:val="24"/>
        </w:rPr>
        <w:t>Monthly Review</w:t>
      </w:r>
      <w:r>
        <w:rPr>
          <w:rFonts w:ascii="Liberation Serif" w:hAnsi="Liberation Serif"/>
          <w:sz w:val="24"/>
          <w:szCs w:val="24"/>
        </w:rPr>
        <w:t xml:space="preserve"> 18, no. 4: 1966. 17-31.</w:t>
      </w:r>
    </w:p>
    <w:p>
      <w:pPr>
        <w:pStyle w:val="Normal"/>
        <w:tabs>
          <w:tab w:val="clear" w:pos="720"/>
        </w:tabs>
        <w:spacing w:lineRule="auto" w:line="240" w:before="0" w:after="200"/>
        <w:ind w:hanging="720" w:start="720" w:end="0"/>
        <w:rPr>
          <w:rFonts w:ascii="Liberation Serif" w:hAnsi="Liberation Serif"/>
          <w:sz w:val="24"/>
          <w:szCs w:val="24"/>
        </w:rPr>
      </w:pPr>
      <w:r>
        <w:rPr>
          <w:rFonts w:ascii="Liberation Serif" w:hAnsi="Liberation Serif"/>
          <w:sz w:val="24"/>
          <w:szCs w:val="24"/>
        </w:rPr>
        <w:t xml:space="preserve">Hopkins, Terence K., and Immanuel Wallerstein, “Patterns of Development of the Modern World-System,” </w:t>
      </w:r>
      <w:r>
        <w:rPr>
          <w:rFonts w:ascii="Liberation Serif" w:hAnsi="Liberation Serif"/>
          <w:i/>
          <w:sz w:val="24"/>
          <w:szCs w:val="24"/>
        </w:rPr>
        <w:t>Review</w:t>
      </w:r>
      <w:r>
        <w:rPr>
          <w:rFonts w:ascii="Liberation Serif" w:hAnsi="Liberation Serif"/>
          <w:sz w:val="24"/>
          <w:szCs w:val="24"/>
        </w:rPr>
        <w:t xml:space="preserve"> 1, no 2: 1977.</w:t>
      </w:r>
    </w:p>
    <w:p>
      <w:pPr>
        <w:pStyle w:val="Normal"/>
        <w:tabs>
          <w:tab w:val="clear" w:pos="720"/>
        </w:tabs>
        <w:spacing w:lineRule="auto" w:line="240" w:before="0" w:after="200"/>
        <w:ind w:hanging="720" w:start="720" w:end="0"/>
        <w:rPr>
          <w:rFonts w:ascii="Liberation Serif" w:hAnsi="Liberation Serif"/>
          <w:sz w:val="24"/>
          <w:szCs w:val="24"/>
        </w:rPr>
      </w:pPr>
      <w:r>
        <w:rPr>
          <w:rFonts w:ascii="Liberation Serif" w:hAnsi="Liberation Serif"/>
          <w:sz w:val="24"/>
          <w:szCs w:val="24"/>
        </w:rPr>
        <w:t xml:space="preserve">Lichtenstein, Nelson and Stephen Meyer III, eds. </w:t>
      </w:r>
      <w:r>
        <w:rPr>
          <w:rFonts w:ascii="Liberation Serif" w:hAnsi="Liberation Serif"/>
          <w:i/>
          <w:sz w:val="24"/>
          <w:szCs w:val="24"/>
        </w:rPr>
        <w:t>On the Line: Essays in the History of Auto Work</w:t>
      </w:r>
      <w:r>
        <w:rPr>
          <w:rFonts w:ascii="Liberation Serif" w:hAnsi="Liberation Serif"/>
          <w:sz w:val="24"/>
          <w:szCs w:val="24"/>
        </w:rPr>
        <w:t>. Chicago: University of Illinois Press, 1989.</w:t>
      </w:r>
    </w:p>
    <w:p>
      <w:pPr>
        <w:pStyle w:val="Normal"/>
        <w:tabs>
          <w:tab w:val="clear" w:pos="720"/>
        </w:tabs>
        <w:spacing w:lineRule="auto" w:line="240" w:before="0" w:after="200"/>
        <w:ind w:hanging="720" w:start="720" w:end="0"/>
        <w:rPr>
          <w:rFonts w:ascii="Liberation Serif" w:hAnsi="Liberation Serif"/>
          <w:sz w:val="24"/>
          <w:szCs w:val="24"/>
        </w:rPr>
      </w:pPr>
      <w:r>
        <w:rPr>
          <w:rFonts w:ascii="Liberation Serif" w:hAnsi="Liberation Serif"/>
          <w:sz w:val="24"/>
          <w:szCs w:val="24"/>
        </w:rPr>
        <w:t xml:space="preserve">Krueger, Thomas,“American Labor Historiography, Old and New,” </w:t>
      </w:r>
      <w:r>
        <w:rPr>
          <w:rFonts w:ascii="Liberation Serif" w:hAnsi="Liberation Serif"/>
          <w:i/>
          <w:sz w:val="24"/>
          <w:szCs w:val="24"/>
        </w:rPr>
        <w:t>Journal of Social History</w:t>
      </w:r>
      <w:r>
        <w:rPr>
          <w:rFonts w:ascii="Liberation Serif" w:hAnsi="Liberation Serif"/>
          <w:sz w:val="24"/>
          <w:szCs w:val="24"/>
        </w:rPr>
        <w:t xml:space="preserve"> 4, no. 3: Spring 1971.</w:t>
      </w:r>
    </w:p>
    <w:p>
      <w:pPr>
        <w:pStyle w:val="Normal"/>
        <w:tabs>
          <w:tab w:val="clear" w:pos="720"/>
        </w:tabs>
        <w:spacing w:lineRule="auto" w:line="240" w:before="0" w:after="200"/>
        <w:ind w:hanging="720" w:start="720" w:end="0"/>
        <w:rPr>
          <w:rFonts w:ascii="Liberation Serif" w:hAnsi="Liberation Serif"/>
          <w:sz w:val="24"/>
          <w:szCs w:val="24"/>
        </w:rPr>
      </w:pPr>
      <w:r>
        <w:rPr>
          <w:rFonts w:ascii="Liberation Serif" w:hAnsi="Liberation Serif"/>
          <w:sz w:val="24"/>
          <w:szCs w:val="24"/>
        </w:rPr>
        <w:t xml:space="preserve">Lipietz, Alain. “Towards Global Fordism?” </w:t>
      </w:r>
      <w:r>
        <w:rPr>
          <w:rFonts w:ascii="Liberation Serif" w:hAnsi="Liberation Serif"/>
          <w:i/>
          <w:sz w:val="24"/>
          <w:szCs w:val="24"/>
        </w:rPr>
        <w:t>New Left Review</w:t>
      </w:r>
      <w:r>
        <w:rPr>
          <w:rFonts w:ascii="Liberation Serif" w:hAnsi="Liberation Serif"/>
          <w:sz w:val="24"/>
          <w:szCs w:val="24"/>
        </w:rPr>
        <w:t xml:space="preserve"> I, no. 132: 1982. 33-47.</w:t>
      </w:r>
    </w:p>
    <w:p>
      <w:pPr>
        <w:pStyle w:val="Normal"/>
        <w:tabs>
          <w:tab w:val="clear" w:pos="720"/>
        </w:tabs>
        <w:spacing w:lineRule="auto" w:line="240" w:before="0" w:after="200"/>
        <w:ind w:hanging="720" w:start="720" w:end="0"/>
        <w:rPr>
          <w:rFonts w:ascii="Liberation Serif" w:hAnsi="Liberation Serif"/>
          <w:sz w:val="24"/>
          <w:szCs w:val="24"/>
        </w:rPr>
      </w:pPr>
      <w:r>
        <w:rPr>
          <w:rFonts w:ascii="Liberation Serif" w:hAnsi="Liberation Serif"/>
          <w:sz w:val="24"/>
          <w:szCs w:val="24"/>
        </w:rPr>
        <w:t xml:space="preserve">Meyer III, Stephen. </w:t>
      </w:r>
      <w:r>
        <w:rPr>
          <w:rFonts w:ascii="Liberation Serif" w:hAnsi="Liberation Serif"/>
          <w:i/>
          <w:sz w:val="24"/>
          <w:szCs w:val="24"/>
        </w:rPr>
        <w:t xml:space="preserve">The Five Dollar Day: Labor Management and Social Control in the Ford Motor Company, 1908 – 1921. </w:t>
      </w:r>
      <w:r>
        <w:rPr>
          <w:rFonts w:ascii="Liberation Serif" w:hAnsi="Liberation Serif"/>
          <w:sz w:val="24"/>
          <w:szCs w:val="24"/>
        </w:rPr>
        <w:t>Albany: State University of New York Press, 1981.</w:t>
      </w:r>
    </w:p>
    <w:p>
      <w:pPr>
        <w:pStyle w:val="Normal"/>
        <w:tabs>
          <w:tab w:val="clear" w:pos="720"/>
        </w:tabs>
        <w:spacing w:lineRule="auto" w:line="240" w:before="0" w:after="200"/>
        <w:ind w:hanging="720" w:start="720" w:end="0"/>
        <w:rPr>
          <w:rFonts w:ascii="Liberation Serif" w:hAnsi="Liberation Serif"/>
          <w:sz w:val="24"/>
          <w:szCs w:val="24"/>
        </w:rPr>
      </w:pPr>
      <w:r>
        <w:rPr>
          <w:rFonts w:ascii="Liberation Serif" w:hAnsi="Liberation Serif"/>
          <w:sz w:val="24"/>
          <w:szCs w:val="24"/>
        </w:rPr>
        <w:t xml:space="preserve">Mies, Maria. </w:t>
      </w:r>
      <w:r>
        <w:rPr>
          <w:rFonts w:ascii="Liberation Serif" w:hAnsi="Liberation Serif"/>
          <w:i/>
          <w:sz w:val="24"/>
          <w:szCs w:val="24"/>
        </w:rPr>
        <w:t xml:space="preserve">Patriarchy and Accumulation on a World Scale. </w:t>
      </w:r>
      <w:r>
        <w:rPr>
          <w:rFonts w:ascii="Liberation Serif" w:hAnsi="Liberation Serif"/>
          <w:sz w:val="24"/>
          <w:szCs w:val="24"/>
        </w:rPr>
        <w:t>London: Zed Books, 1986.</w:t>
      </w:r>
    </w:p>
    <w:p>
      <w:pPr>
        <w:pStyle w:val="Normal"/>
        <w:tabs>
          <w:tab w:val="clear" w:pos="720"/>
        </w:tabs>
        <w:spacing w:lineRule="auto" w:line="240" w:before="0" w:after="200"/>
        <w:ind w:hanging="720" w:start="720" w:end="0"/>
        <w:rPr>
          <w:rFonts w:ascii="Liberation Serif" w:hAnsi="Liberation Serif"/>
          <w:sz w:val="24"/>
          <w:szCs w:val="24"/>
        </w:rPr>
      </w:pPr>
      <w:r>
        <w:rPr>
          <w:rFonts w:ascii="Liberation Serif" w:hAnsi="Liberation Serif"/>
          <w:sz w:val="24"/>
          <w:szCs w:val="24"/>
        </w:rPr>
        <w:t xml:space="preserve">Nightingale, Carl H. </w:t>
      </w:r>
      <w:r>
        <w:rPr>
          <w:rFonts w:ascii="Liberation Serif" w:hAnsi="Liberation Serif"/>
          <w:i/>
          <w:sz w:val="24"/>
          <w:szCs w:val="24"/>
        </w:rPr>
        <w:t>Segregation: A Global History of Divided Cities</w:t>
      </w:r>
      <w:r>
        <w:rPr>
          <w:rFonts w:ascii="Liberation Serif" w:hAnsi="Liberation Serif"/>
          <w:sz w:val="24"/>
          <w:szCs w:val="24"/>
        </w:rPr>
        <w:t>. Chicago: University of Chicago Press, 2012.</w:t>
      </w:r>
    </w:p>
    <w:p>
      <w:pPr>
        <w:pStyle w:val="Normal"/>
        <w:tabs>
          <w:tab w:val="clear" w:pos="720"/>
        </w:tabs>
        <w:spacing w:lineRule="auto" w:line="240" w:before="0" w:after="200"/>
        <w:ind w:hanging="720" w:start="720" w:end="0"/>
        <w:rPr>
          <w:rFonts w:ascii="Liberation Serif" w:hAnsi="Liberation Serif"/>
          <w:sz w:val="24"/>
          <w:szCs w:val="24"/>
        </w:rPr>
      </w:pPr>
      <w:r>
        <w:rPr>
          <w:rFonts w:ascii="Liberation Serif" w:hAnsi="Liberation Serif"/>
          <w:sz w:val="24"/>
          <w:szCs w:val="24"/>
        </w:rPr>
        <w:t xml:space="preserve">Payne, Corey R., Roberto Patricio Korzeniewicz, and Beverly J. Silver, eds. </w:t>
      </w:r>
      <w:r>
        <w:rPr>
          <w:rFonts w:ascii="Liberation Serif" w:hAnsi="Liberation Serif"/>
          <w:i/>
          <w:sz w:val="24"/>
          <w:szCs w:val="24"/>
        </w:rPr>
        <w:t>World-Systems Analysis at a Critical Juncture</w:t>
      </w:r>
      <w:r>
        <w:rPr>
          <w:rFonts w:ascii="Liberation Serif" w:hAnsi="Liberation Serif"/>
          <w:sz w:val="24"/>
          <w:szCs w:val="24"/>
        </w:rPr>
        <w:t>. New York: Routledge, 2023.</w:t>
      </w:r>
    </w:p>
    <w:p>
      <w:pPr>
        <w:pStyle w:val="Normal"/>
        <w:tabs>
          <w:tab w:val="clear" w:pos="720"/>
        </w:tabs>
        <w:spacing w:lineRule="auto" w:line="240" w:before="0" w:after="200"/>
        <w:ind w:hanging="720" w:start="720" w:end="0"/>
        <w:rPr>
          <w:rFonts w:ascii="Liberation Serif" w:hAnsi="Liberation Serif"/>
          <w:sz w:val="24"/>
          <w:szCs w:val="24"/>
        </w:rPr>
      </w:pPr>
      <w:bookmarkStart w:id="6" w:name="_1t3h5sf1"/>
      <w:bookmarkEnd w:id="6"/>
      <w:r>
        <w:rPr>
          <w:rFonts w:ascii="Liberation Serif" w:hAnsi="Liberation Serif"/>
          <w:sz w:val="24"/>
          <w:szCs w:val="24"/>
        </w:rPr>
        <w:t xml:space="preserve">Smith, Jones and Immanuel Wallerstein, eds. </w:t>
      </w:r>
      <w:r>
        <w:rPr>
          <w:rFonts w:ascii="Liberation Serif" w:hAnsi="Liberation Serif"/>
          <w:i/>
          <w:sz w:val="24"/>
          <w:szCs w:val="24"/>
        </w:rPr>
        <w:t>Creating and Transforming Households: the constraints of the world-economy</w:t>
      </w:r>
      <w:r>
        <w:rPr>
          <w:rFonts w:ascii="Liberation Serif" w:hAnsi="Liberation Serif"/>
          <w:sz w:val="24"/>
          <w:szCs w:val="24"/>
        </w:rPr>
        <w:t>. Cambridge University Press, 1992.</w:t>
      </w:r>
    </w:p>
    <w:p>
      <w:pPr>
        <w:pStyle w:val="Normal"/>
        <w:tabs>
          <w:tab w:val="clear" w:pos="720"/>
        </w:tabs>
        <w:spacing w:lineRule="auto" w:line="240" w:before="0" w:after="200"/>
        <w:ind w:hanging="720" w:start="720" w:end="0"/>
        <w:rPr>
          <w:rFonts w:ascii="Liberation Serif" w:hAnsi="Liberation Serif"/>
          <w:sz w:val="24"/>
          <w:szCs w:val="24"/>
        </w:rPr>
      </w:pPr>
      <w:r>
        <w:rPr>
          <w:rFonts w:ascii="Liberation Serif" w:hAnsi="Liberation Serif"/>
          <w:sz w:val="24"/>
          <w:szCs w:val="24"/>
        </w:rPr>
        <w:t xml:space="preserve">US Census Bureau. </w:t>
      </w:r>
      <w:r>
        <w:rPr>
          <w:rFonts w:ascii="Liberation Serif" w:hAnsi="Liberation Serif"/>
          <w:i/>
          <w:sz w:val="24"/>
          <w:szCs w:val="24"/>
        </w:rPr>
        <w:t xml:space="preserve">Michigan. </w:t>
      </w:r>
      <w:r>
        <w:rPr>
          <w:rFonts w:ascii="Liberation Serif" w:hAnsi="Liberation Serif"/>
          <w:sz w:val="24"/>
          <w:szCs w:val="24"/>
        </w:rPr>
        <w:t>1920</w:t>
      </w:r>
    </w:p>
    <w:p>
      <w:pPr>
        <w:pStyle w:val="Normal"/>
        <w:tabs>
          <w:tab w:val="clear" w:pos="720"/>
        </w:tabs>
        <w:spacing w:lineRule="auto" w:line="240" w:before="0" w:after="200"/>
        <w:ind w:hanging="720" w:start="720" w:end="0"/>
        <w:rPr>
          <w:rFonts w:ascii="Liberation Serif" w:hAnsi="Liberation Serif"/>
          <w:sz w:val="24"/>
          <w:szCs w:val="24"/>
        </w:rPr>
      </w:pPr>
      <w:r>
        <w:rPr>
          <w:rFonts w:ascii="Liberation Serif" w:hAnsi="Liberation Serif"/>
          <w:sz w:val="24"/>
          <w:szCs w:val="24"/>
        </w:rPr>
        <w:t xml:space="preserve">US Census Bureau. </w:t>
      </w:r>
      <w:r>
        <w:rPr>
          <w:rFonts w:ascii="Liberation Serif" w:hAnsi="Liberation Serif"/>
          <w:i/>
          <w:sz w:val="24"/>
          <w:szCs w:val="24"/>
        </w:rPr>
        <w:t>Michigan</w:t>
      </w:r>
      <w:r>
        <w:rPr>
          <w:rFonts w:ascii="Liberation Serif" w:hAnsi="Liberation Serif"/>
          <w:sz w:val="24"/>
          <w:szCs w:val="24"/>
        </w:rPr>
        <w:t>. 1930</w:t>
      </w:r>
    </w:p>
    <w:p>
      <w:pPr>
        <w:pStyle w:val="Normal"/>
        <w:tabs>
          <w:tab w:val="clear" w:pos="720"/>
        </w:tabs>
        <w:spacing w:lineRule="auto" w:line="240" w:before="0" w:after="200"/>
        <w:ind w:hanging="720" w:start="720" w:end="0"/>
        <w:rPr>
          <w:rFonts w:ascii="Liberation Serif" w:hAnsi="Liberation Serif"/>
          <w:sz w:val="24"/>
          <w:szCs w:val="24"/>
        </w:rPr>
      </w:pPr>
      <w:r>
        <w:rPr>
          <w:rFonts w:ascii="Liberation Serif" w:hAnsi="Liberation Serif"/>
          <w:sz w:val="24"/>
          <w:szCs w:val="24"/>
        </w:rPr>
        <w:t xml:space="preserve">US Census Bureau. </w:t>
      </w:r>
      <w:r>
        <w:rPr>
          <w:rFonts w:ascii="Liberation Serif" w:hAnsi="Liberation Serif"/>
          <w:i/>
          <w:sz w:val="24"/>
          <w:szCs w:val="24"/>
        </w:rPr>
        <w:t xml:space="preserve">Michigan. </w:t>
      </w:r>
      <w:r>
        <w:rPr>
          <w:rFonts w:ascii="Liberation Serif" w:hAnsi="Liberation Serif"/>
          <w:sz w:val="24"/>
          <w:szCs w:val="24"/>
        </w:rPr>
        <w:t>1940</w:t>
      </w:r>
    </w:p>
    <w:p>
      <w:pPr>
        <w:pStyle w:val="Normal"/>
        <w:tabs>
          <w:tab w:val="clear" w:pos="720"/>
        </w:tabs>
        <w:spacing w:lineRule="auto" w:line="240" w:before="0" w:after="200"/>
        <w:ind w:hanging="720" w:start="720" w:end="0"/>
        <w:rPr>
          <w:rFonts w:ascii="Liberation Serif" w:hAnsi="Liberation Serif"/>
          <w:sz w:val="24"/>
          <w:szCs w:val="24"/>
        </w:rPr>
      </w:pPr>
      <w:r>
        <w:rPr>
          <w:rFonts w:ascii="Liberation Serif" w:hAnsi="Liberation Serif"/>
          <w:sz w:val="24"/>
          <w:szCs w:val="24"/>
        </w:rPr>
        <w:t xml:space="preserve">Wallerstein, Immanuel, </w:t>
      </w:r>
      <w:r>
        <w:rPr>
          <w:rFonts w:ascii="Liberation Serif" w:hAnsi="Liberation Serif"/>
          <w:i/>
          <w:sz w:val="24"/>
          <w:szCs w:val="24"/>
        </w:rPr>
        <w:t>Historical Capitalism</w:t>
      </w:r>
      <w:r>
        <w:rPr>
          <w:rFonts w:ascii="Liberation Serif" w:hAnsi="Liberation Serif"/>
          <w:sz w:val="24"/>
          <w:szCs w:val="24"/>
        </w:rPr>
        <w:t>. London: Verso Editions, 1983.</w:t>
      </w:r>
    </w:p>
    <w:p>
      <w:pPr>
        <w:pStyle w:val="Normal"/>
        <w:tabs>
          <w:tab w:val="clear" w:pos="720"/>
        </w:tabs>
        <w:spacing w:lineRule="auto" w:line="240" w:before="0" w:after="200"/>
        <w:ind w:hanging="720" w:start="720" w:end="0"/>
        <w:rPr>
          <w:rFonts w:ascii="Liberation Serif" w:hAnsi="Liberation Serif"/>
          <w:sz w:val="24"/>
          <w:szCs w:val="24"/>
        </w:rPr>
      </w:pPr>
      <w:r>
        <w:rPr>
          <w:rFonts w:ascii="Liberation Serif" w:hAnsi="Liberation Serif"/>
          <w:sz w:val="24"/>
          <w:szCs w:val="24"/>
        </w:rPr>
        <w:t xml:space="preserve">Wallerstein, Immanuel. </w:t>
      </w:r>
      <w:r>
        <w:rPr>
          <w:rFonts w:ascii="Liberation Serif" w:hAnsi="Liberation Serif"/>
          <w:i/>
          <w:sz w:val="24"/>
          <w:szCs w:val="24"/>
        </w:rPr>
        <w:t>World-Systems Analysis: An Introduction</w:t>
      </w:r>
      <w:r>
        <w:rPr>
          <w:rFonts w:ascii="Liberation Serif" w:hAnsi="Liberation Serif"/>
          <w:sz w:val="24"/>
          <w:szCs w:val="24"/>
        </w:rPr>
        <w:t>. Durham: Duke University Press, 2004.</w:t>
      </w:r>
    </w:p>
    <w:p>
      <w:pPr>
        <w:pStyle w:val="Normal"/>
        <w:tabs>
          <w:tab w:val="clear" w:pos="720"/>
        </w:tabs>
        <w:spacing w:lineRule="auto" w:line="240" w:before="0" w:after="200"/>
        <w:ind w:hanging="720" w:start="720" w:end="0"/>
        <w:rPr>
          <w:rFonts w:ascii="Liberation Serif" w:hAnsi="Liberation Serif"/>
          <w:sz w:val="24"/>
          <w:szCs w:val="24"/>
        </w:rPr>
      </w:pPr>
      <w:r>
        <w:rPr>
          <w:rFonts w:ascii="Liberation Serif" w:hAnsi="Liberation Serif"/>
          <w:sz w:val="24"/>
          <w:szCs w:val="24"/>
        </w:rPr>
        <w:t xml:space="preserve">Watson, Daniel. “Fordism: A Review Essay.” </w:t>
      </w:r>
      <w:r>
        <w:rPr>
          <w:rFonts w:ascii="Liberation Serif" w:hAnsi="Liberation Serif"/>
          <w:i/>
          <w:sz w:val="24"/>
          <w:szCs w:val="24"/>
        </w:rPr>
        <w:t>Labor History.</w:t>
      </w:r>
      <w:r>
        <w:rPr>
          <w:rFonts w:ascii="Liberation Serif" w:hAnsi="Liberation Serif"/>
          <w:sz w:val="24"/>
          <w:szCs w:val="24"/>
        </w:rPr>
        <w:t xml:space="preserve"> Published Online Nov 14, 2018.</w:t>
      </w:r>
    </w:p>
    <w:sectPr>
      <w:headerReference w:type="even" r:id="rId2"/>
      <w:headerReference w:type="first" r:id="rId3"/>
      <w:footerReference w:type="even" r:id="rId4"/>
      <w:footerReference w:type="default" r:id="rId5"/>
      <w:footerReference w:type="first" r:id="rId6"/>
      <w:footnotePr>
        <w:numFmt w:val="decimal"/>
      </w:footnotePr>
      <w:type w:val="nextPage"/>
      <w:pgSz w:w="12240" w:h="15840"/>
      <w:pgMar w:left="1440" w:right="1440" w:gutter="0" w:header="0" w:top="1440" w:footer="1440" w:bottom="2160"/>
      <w:pgNumType w:start="1" w:fmt="decimal"/>
      <w:formProt w:val="false"/>
      <w:textDirection w:val="lrTb"/>
      <w:docGrid w:type="default" w:linePitch="100" w:charSpace="4096"/>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comment w:id="0" w:author="Unknown Author" w:date="2026-05-11T11:40:03Z" w:initials="">
    <w:p>
      <w:pPr>
        <w:spacing w:lineRule="auto" w:line="240"/>
        <w:rPr/>
      </w:pPr>
      <w:r>
        <w:rPr>
          <w:rFonts w:ascii="Liberation Serif" w:hAnsi="Liberation Serif" w:eastAsia="DejaVu Sans" w:cs="Noto Sans Arabic"/>
          <w:sz w:val="24"/>
          <w:szCs w:val="24"/>
          <w:lang w:val="en-US" w:eastAsia="en-US" w:bidi="en-US"/>
        </w:rPr>
        <w:t>Bad phrasing</w:t>
      </w:r>
    </w:p>
  </w:comment>
  <w:comment w:id="1" w:author="Unknown Author" w:date="2026-05-11T11:40:30Z" w:initials="">
    <w:p>
      <w:pPr>
        <w:spacing w:lineRule="auto" w:line="240"/>
        <w:rPr/>
      </w:pPr>
      <w:r>
        <w:rPr>
          <w:rFonts w:ascii="Liberation Serif" w:hAnsi="Liberation Serif" w:eastAsia="DejaVu Sans" w:cs="Noto Sans Arabic"/>
          <w:sz w:val="24"/>
          <w:szCs w:val="24"/>
          <w:lang w:val="en-US" w:eastAsia="en-US" w:bidi="en-US"/>
        </w:rPr>
        <w:t>consumption</w:t>
      </w:r>
    </w:p>
  </w:comment>
  <w:comment w:id="2" w:author="Kenyon Cavender" w:date="2023-11-27T17:39:59Z" w:initials="">
    <w:p>
      <w:pPr>
        <w:overflowPunct w:val="true"/>
        <w:spacing w:lineRule="auto" w:line="240"/>
        <w:rPr/>
      </w:pPr>
      <w:r>
        <w:rPr>
          <w:rFonts w:ascii="Arial" w:hAnsi="Arial" w:eastAsia="Arial" w:cs="Arial"/>
          <w:b w:val="false"/>
          <w:i w:val="false"/>
          <w:caps w:val="false"/>
          <w:smallCaps w:val="false"/>
          <w:strike w:val="false"/>
          <w:dstrike w:val="false"/>
          <w:color w:val="000000"/>
          <w:position w:val="0"/>
          <w:sz w:val="22"/>
          <w:sz w:val="22"/>
          <w:szCs w:val="22"/>
          <w:u w:val="none"/>
          <w:vertAlign w:val="baseline"/>
          <w:lang w:val="en-US" w:eastAsia="en-US" w:bidi="en-US"/>
        </w:rPr>
        <w:t>weird internal shift</w:t>
      </w:r>
    </w:p>
  </w:comment>
  <w:comment w:id="3" w:author="Kenyon Cavender" w:date="2023-10-05T16:52:05Z" w:initials="">
    <w:p>
      <w:pPr>
        <w:overflowPunct w:val="true"/>
        <w:spacing w:lineRule="auto" w:line="240"/>
        <w:rPr/>
      </w:pPr>
      <w:r>
        <w:rPr>
          <w:rFonts w:ascii="Arial" w:hAnsi="Arial" w:eastAsia="Arial" w:cs="Arial"/>
          <w:b w:val="false"/>
          <w:i w:val="false"/>
          <w:caps w:val="false"/>
          <w:smallCaps w:val="false"/>
          <w:strike w:val="false"/>
          <w:dstrike w:val="false"/>
          <w:color w:val="000000"/>
          <w:position w:val="0"/>
          <w:sz w:val="22"/>
          <w:sz w:val="22"/>
          <w:szCs w:val="22"/>
          <w:u w:val="none"/>
          <w:vertAlign w:val="baseline"/>
          <w:lang w:val="en-US" w:eastAsia="en-US" w:bidi="en-US"/>
        </w:rPr>
        <w:t>maybe move this to next paragraph</w:t>
      </w:r>
    </w:p>
  </w:comment>
  <w:comment w:id="4" w:author="Kenyon Cavender" w:date="2023-10-10T13:51:10Z" w:initials="">
    <w:p>
      <w:pPr>
        <w:overflowPunct w:val="true"/>
        <w:spacing w:lineRule="auto" w:line="240"/>
        <w:rPr/>
      </w:pPr>
      <w:r>
        <w:rPr>
          <w:rFonts w:ascii="Arial" w:hAnsi="Arial" w:eastAsia="Arial" w:cs="Arial"/>
          <w:b w:val="false"/>
          <w:i w:val="false"/>
          <w:caps w:val="false"/>
          <w:smallCaps w:val="false"/>
          <w:strike w:val="false"/>
          <w:dstrike w:val="false"/>
          <w:color w:val="000000"/>
          <w:position w:val="0"/>
          <w:sz w:val="22"/>
          <w:sz w:val="22"/>
          <w:szCs w:val="22"/>
          <w:u w:val="none"/>
          <w:vertAlign w:val="baseline"/>
          <w:lang w:val="en-US" w:eastAsia="en-US" w:bidi="en-US"/>
        </w:rPr>
        <w:t>do a little better job of situating this historically</w:t>
      </w:r>
    </w:p>
  </w:comment>
  <w:comment w:id="5" w:author="Kenyon Cavender" w:date="2023-10-10T13:54:15Z" w:initials="">
    <w:p>
      <w:pPr>
        <w:overflowPunct w:val="true"/>
        <w:spacing w:lineRule="auto" w:line="240"/>
        <w:rPr/>
      </w:pPr>
      <w:r>
        <w:rPr>
          <w:rFonts w:ascii="Arial" w:hAnsi="Arial" w:eastAsia="Arial" w:cs="Arial"/>
          <w:b w:val="false"/>
          <w:i w:val="false"/>
          <w:caps w:val="false"/>
          <w:smallCaps w:val="false"/>
          <w:strike w:val="false"/>
          <w:dstrike w:val="false"/>
          <w:color w:val="000000"/>
          <w:position w:val="0"/>
          <w:sz w:val="22"/>
          <w:sz w:val="22"/>
          <w:szCs w:val="22"/>
          <w:u w:val="none"/>
          <w:vertAlign w:val="baseline"/>
          <w:lang w:val="en-US" w:eastAsia="en-US" w:bidi="en-US"/>
        </w:rPr>
        <w:t>maybe introduce 'mode of consumption' here? remove it from the preceding paragraphs</w:t>
      </w:r>
    </w:p>
  </w:comment>
  <w:comment w:id="7" w:author="Kenyon Cavender" w:date="2023-10-16T16:54:54Z" w:initials="">
    <w:p>
      <w:pPr>
        <w:overflowPunct w:val="true"/>
        <w:spacing w:lineRule="auto" w:line="240"/>
        <w:rPr/>
      </w:pPr>
      <w:r>
        <w:rPr>
          <w:rFonts w:ascii="Arial" w:hAnsi="Arial" w:eastAsia="Arial" w:cs="Arial"/>
          <w:b w:val="false"/>
          <w:i w:val="false"/>
          <w:caps w:val="false"/>
          <w:smallCaps w:val="false"/>
          <w:strike w:val="false"/>
          <w:dstrike w:val="false"/>
          <w:color w:val="000000"/>
          <w:position w:val="0"/>
          <w:sz w:val="22"/>
          <w:sz w:val="22"/>
          <w:szCs w:val="22"/>
          <w:u w:val="none"/>
          <w:vertAlign w:val="baseline"/>
          <w:lang w:val="en-US" w:eastAsia="en-US" w:bidi="en-US"/>
        </w:rPr>
        <w:t>I think I need to clarify what exactly Aglietta means by 'regime of accumulation': a structural relationship between production and consumption.</w:t>
      </w:r>
    </w:p>
  </w:comment>
  <w:comment w:id="6" w:author="Kenyon Cavender" w:date="2024-01-26T18:29:12Z" w:initials="">
    <w:p>
      <w:pPr>
        <w:overflowPunct w:val="true"/>
        <w:spacing w:lineRule="auto" w:line="240"/>
        <w:rPr/>
      </w:pPr>
      <w:r>
        <w:rPr>
          <w:rFonts w:ascii="Arial" w:hAnsi="Arial" w:eastAsia="Arial" w:cs="Arial"/>
          <w:b w:val="false"/>
          <w:i w:val="false"/>
          <w:caps w:val="false"/>
          <w:smallCaps w:val="false"/>
          <w:strike w:val="false"/>
          <w:dstrike w:val="false"/>
          <w:color w:val="000000"/>
          <w:position w:val="0"/>
          <w:sz w:val="22"/>
          <w:sz w:val="22"/>
          <w:szCs w:val="22"/>
          <w:u w:val="none"/>
          <w:vertAlign w:val="baseline"/>
          <w:lang w:val="en-US" w:eastAsia="en-US" w:bidi="en-US"/>
        </w:rPr>
        <w:t>particular and temporarily stable configurations of the productive relations</w:t>
      </w:r>
    </w:p>
  </w:comment>
  <w:comment w:id="8" w:author="Unknown Author" w:date="2025-06-15T21:37:03Z" w:initials="">
    <w:p>
      <w:pPr>
        <w:overflowPunct w:val="true"/>
        <w:spacing w:lineRule="auto" w:line="240"/>
        <w:rPr/>
      </w:pPr>
      <w:r>
        <w:rPr>
          <w:rFonts w:ascii="Liberation Serif" w:hAnsi="Liberation Serif" w:eastAsia="DejaVu Sans" w:cs="Noto Sans Arabic"/>
          <w:i/>
          <w:sz w:val="16"/>
          <w:szCs w:val="24"/>
          <w:lang w:val="en-US" w:eastAsia="en-US" w:bidi="en-US"/>
        </w:rPr>
        <w:t>Reply to Kenyon Cavender (01/26/2024, 18:29): "..."</w:t>
      </w:r>
    </w:p>
    <w:p>
      <w:pPr>
        <w:overflowPunct w:val="true"/>
        <w:spacing w:lineRule="auto" w:line="240"/>
        <w:rPr/>
      </w:pPr>
      <w:r>
        <w:rPr>
          <w:rFonts w:ascii="Liberation Serif" w:hAnsi="Liberation Serif" w:eastAsia="DejaVu Sans" w:cs="Noto Sans Arabic"/>
          <w:sz w:val="24"/>
          <w:szCs w:val="24"/>
          <w:lang w:val="en-US" w:eastAsia="en-US" w:bidi="en-US"/>
        </w:rPr>
        <w:t>I sort of just leave this here and don’t pick it up late in the paper</w:t>
      </w:r>
    </w:p>
  </w:comment>
  <w:comment w:id="10" w:author="Kenyon Cavender" w:date="2023-10-18T17:35:42Z" w:initials="">
    <w:p>
      <w:pPr>
        <w:overflowPunct w:val="true"/>
        <w:spacing w:lineRule="auto" w:line="240"/>
        <w:rPr/>
      </w:pPr>
      <w:r>
        <w:rPr>
          <w:rFonts w:ascii="Arial" w:hAnsi="Arial" w:eastAsia="Arial" w:cs="Arial"/>
          <w:b w:val="false"/>
          <w:i w:val="false"/>
          <w:caps w:val="false"/>
          <w:smallCaps w:val="false"/>
          <w:strike w:val="false"/>
          <w:dstrike w:val="false"/>
          <w:color w:val="000000"/>
          <w:position w:val="0"/>
          <w:sz w:val="22"/>
          <w:sz w:val="22"/>
          <w:szCs w:val="22"/>
          <w:u w:val="none"/>
          <w:vertAlign w:val="baseline"/>
          <w:lang w:val="en-US" w:eastAsia="en-US" w:bidi="en-US"/>
        </w:rPr>
        <w:t>do we actually take this up, or is this the question that the paper sets up so that my research can answer it?</w:t>
      </w:r>
    </w:p>
  </w:comment>
  <w:comment w:id="9" w:author="Kenyon Cavender" w:date="2023-10-18T17:48:20Z" w:initials="">
    <w:p>
      <w:pPr>
        <w:overflowPunct w:val="true"/>
        <w:spacing w:lineRule="auto" w:line="240"/>
        <w:rPr/>
      </w:pPr>
      <w:r>
        <w:rPr>
          <w:rFonts w:ascii="Arial" w:hAnsi="Arial" w:eastAsia="Arial" w:cs="Arial"/>
          <w:b w:val="false"/>
          <w:i w:val="false"/>
          <w:caps w:val="false"/>
          <w:smallCaps w:val="false"/>
          <w:strike w:val="false"/>
          <w:dstrike w:val="false"/>
          <w:color w:val="000000"/>
          <w:position w:val="0"/>
          <w:sz w:val="22"/>
          <w:sz w:val="22"/>
          <w:szCs w:val="22"/>
          <w:u w:val="none"/>
          <w:vertAlign w:val="baseline"/>
          <w:lang w:val="en-US" w:eastAsia="en-US" w:bidi="en-US"/>
        </w:rPr>
        <w:t>we are turning to the labor history of fordism</w:t>
      </w:r>
    </w:p>
  </w:comment>
  <w:comment w:id="12" w:author="Kenyon Cavender" w:date="2023-10-23T17:01:49Z" w:initials="">
    <w:p>
      <w:pPr>
        <w:overflowPunct w:val="true"/>
        <w:spacing w:lineRule="auto" w:line="240"/>
        <w:rPr/>
      </w:pPr>
      <w:r>
        <w:rPr>
          <w:rFonts w:ascii="Arial" w:hAnsi="Arial" w:eastAsia="Arial" w:cs="Arial"/>
          <w:b w:val="false"/>
          <w:i w:val="false"/>
          <w:caps w:val="false"/>
          <w:smallCaps w:val="false"/>
          <w:strike w:val="false"/>
          <w:dstrike w:val="false"/>
          <w:color w:val="000000"/>
          <w:position w:val="0"/>
          <w:sz w:val="22"/>
          <w:sz w:val="22"/>
          <w:szCs w:val="22"/>
          <w:u w:val="none"/>
          <w:vertAlign w:val="baseline"/>
          <w:lang w:val="en-US" w:eastAsia="en-US" w:bidi="en-US"/>
        </w:rPr>
        <w:t>this section is effectively the lit review that needs to be complicated by global questions, and by housing</w:t>
      </w:r>
    </w:p>
  </w:comment>
  <w:comment w:id="11" w:author="Kenyon Cavender" w:date="2023-10-23T17:04:36Z" w:initials="">
    <w:p>
      <w:pPr>
        <w:overflowPunct w:val="true"/>
        <w:spacing w:lineRule="auto" w:line="240"/>
        <w:rPr/>
      </w:pPr>
      <w:r>
        <w:rPr>
          <w:rFonts w:ascii="Arial" w:hAnsi="Arial" w:eastAsia="Arial" w:cs="Arial"/>
          <w:b w:val="false"/>
          <w:i w:val="false"/>
          <w:caps w:val="false"/>
          <w:smallCaps w:val="false"/>
          <w:strike w:val="false"/>
          <w:dstrike w:val="false"/>
          <w:color w:val="000000"/>
          <w:position w:val="0"/>
          <w:sz w:val="22"/>
          <w:sz w:val="22"/>
          <w:szCs w:val="22"/>
          <w:u w:val="none"/>
          <w:vertAlign w:val="baseline"/>
          <w:lang w:val="en-US" w:eastAsia="en-US" w:bidi="en-US"/>
        </w:rPr>
        <w:t>what of the state?</w:t>
      </w:r>
    </w:p>
  </w:comment>
  <w:comment w:id="13" w:author="Unknown Author" w:date="2025-06-15T21:42:06Z" w:initials="">
    <w:p>
      <w:pPr>
        <w:overflowPunct w:val="true"/>
        <w:spacing w:lineRule="auto" w:line="240"/>
        <w:rPr/>
      </w:pPr>
      <w:r>
        <w:rPr>
          <w:rFonts w:ascii="Liberation Serif" w:hAnsi="Liberation Serif" w:eastAsia="DejaVu Sans" w:cs="Noto Sans Arabic"/>
          <w:sz w:val="24"/>
          <w:szCs w:val="24"/>
          <w:lang w:val="en-US" w:eastAsia="en-US" w:bidi="en-US"/>
        </w:rPr>
        <w:t>Elaborate here</w:t>
      </w:r>
    </w:p>
  </w:comment>
  <w:comment w:id="14" w:author="Unknown Author" w:date="2025-06-15T21:43:23Z" w:initials="">
    <w:p>
      <w:pPr>
        <w:overflowPunct w:val="true"/>
        <w:spacing w:lineRule="auto" w:line="240"/>
        <w:rPr/>
      </w:pPr>
      <w:r>
        <w:rPr>
          <w:rFonts w:ascii="Liberation Serif" w:hAnsi="Liberation Serif" w:eastAsia="DejaVu Sans" w:cs="Noto Sans Arabic"/>
          <w:sz w:val="24"/>
          <w:szCs w:val="24"/>
          <w:lang w:val="en-US" w:eastAsia="en-US" w:bidi="en-US"/>
        </w:rPr>
        <w:t>Who is common</w:t>
      </w:r>
    </w:p>
  </w:comment>
  <w:comment w:id="15" w:author="Unknown Author" w:date="2025-06-15T21:47:07Z" w:initials="">
    <w:p>
      <w:pPr>
        <w:overflowPunct w:val="true"/>
        <w:spacing w:lineRule="auto" w:line="240"/>
        <w:rPr/>
      </w:pPr>
      <w:r>
        <w:rPr>
          <w:rFonts w:ascii="Liberation Serif" w:hAnsi="Liberation Serif" w:eastAsia="DejaVu Sans" w:cs="Noto Sans Arabic"/>
          <w:sz w:val="24"/>
          <w:szCs w:val="24"/>
          <w:lang w:val="en-US" w:eastAsia="en-US" w:bidi="en-US"/>
        </w:rPr>
        <w:t>Write more of srt and wsa</w:t>
      </w:r>
    </w:p>
    <w:p>
      <w:pPr>
        <w:overflowPunct w:val="true"/>
        <w:spacing w:lineRule="auto" w:line="240"/>
        <w:rPr/>
      </w:pPr>
      <w:r>
        <w:rPr>
          <w:rFonts w:ascii="Liberation Serif" w:hAnsi="Liberation Serif" w:eastAsia="DejaVu Sans" w:cs="Noto Sans Arabic"/>
          <w:sz w:val="24"/>
          <w:szCs w:val="24"/>
          <w:lang w:val="en-US" w:eastAsia="en-US" w:bidi="en-US"/>
        </w:rPr>
      </w:r>
    </w:p>
  </w:comment>
  <w:comment w:id="16" w:author="Kenyon Cavender" w:date="2023-11-01T19:33:45Z" w:initials="">
    <w:p>
      <w:pPr>
        <w:overflowPunct w:val="true"/>
        <w:spacing w:lineRule="auto" w:line="240"/>
        <w:rPr/>
      </w:pPr>
      <w:r>
        <w:rPr>
          <w:rFonts w:ascii="Arial" w:hAnsi="Arial" w:eastAsia="Arial" w:cs="Arial"/>
          <w:b w:val="false"/>
          <w:i w:val="false"/>
          <w:caps w:val="false"/>
          <w:smallCaps w:val="false"/>
          <w:strike w:val="false"/>
          <w:dstrike w:val="false"/>
          <w:color w:val="000000"/>
          <w:position w:val="0"/>
          <w:sz w:val="22"/>
          <w:sz w:val="22"/>
          <w:szCs w:val="22"/>
          <w:u w:val="none"/>
          <w:vertAlign w:val="baseline"/>
          <w:lang w:val="en-US" w:eastAsia="en-US" w:bidi="en-US"/>
        </w:rPr>
        <w:t>we need to situate fordism globally, show how it dominated the south, and make these explicit in the case of brazilian rubber</w:t>
      </w:r>
    </w:p>
  </w:comment>
  <w:comment w:id="17" w:author="Kenyon Cavender" w:date="2024-02-16T17:42:24Z" w:initials="">
    <w:p>
      <w:pPr>
        <w:overflowPunct w:val="true"/>
        <w:spacing w:lineRule="auto" w:line="240"/>
        <w:rPr/>
      </w:pPr>
      <w:r>
        <w:rPr>
          <w:rFonts w:ascii="Arial" w:hAnsi="Arial" w:eastAsia="Arial" w:cs="Arial"/>
          <w:b w:val="false"/>
          <w:i w:val="false"/>
          <w:caps w:val="false"/>
          <w:smallCaps w:val="false"/>
          <w:strike w:val="false"/>
          <w:dstrike w:val="false"/>
          <w:color w:val="000000"/>
          <w:position w:val="0"/>
          <w:sz w:val="22"/>
          <w:sz w:val="22"/>
          <w:szCs w:val="22"/>
          <w:u w:val="none"/>
          <w:vertAlign w:val="baseline"/>
          <w:lang w:val="en-US" w:eastAsia="en-US" w:bidi="en-US"/>
        </w:rPr>
        <w:t>added something abt gunder frank</w:t>
      </w:r>
    </w:p>
  </w:comment>
  <w:comment w:id="19" w:author="Kenyon Cavender" w:date="2024-01-26T18:44:28Z" w:initials="">
    <w:p>
      <w:pPr>
        <w:overflowPunct w:val="true"/>
        <w:spacing w:lineRule="auto" w:line="240"/>
        <w:rPr/>
      </w:pPr>
      <w:r>
        <w:rPr>
          <w:rFonts w:ascii="Arial" w:hAnsi="Arial" w:eastAsia="Arial" w:cs="Arial"/>
          <w:b w:val="false"/>
          <w:i w:val="false"/>
          <w:caps w:val="false"/>
          <w:smallCaps w:val="false"/>
          <w:strike w:val="false"/>
          <w:dstrike w:val="false"/>
          <w:color w:val="000000"/>
          <w:position w:val="0"/>
          <w:sz w:val="22"/>
          <w:sz w:val="22"/>
          <w:szCs w:val="22"/>
          <w:u w:val="none"/>
          <w:vertAlign w:val="baseline"/>
          <w:lang w:val="en-US" w:eastAsia="en-US" w:bidi="en-US"/>
        </w:rPr>
        <w:t>use this as an entry into the discussion ravi wants</w:t>
      </w:r>
    </w:p>
  </w:comment>
  <w:comment w:id="20" w:author="Kenyon Cavender" w:date="2024-01-28T15:39:12Z" w:initials="">
    <w:p>
      <w:pPr>
        <w:overflowPunct w:val="true"/>
        <w:spacing w:lineRule="auto" w:line="240"/>
        <w:rPr/>
      </w:pPr>
      <w:r>
        <w:rPr>
          <w:rFonts w:ascii="Arial" w:hAnsi="Arial" w:eastAsia="Arial" w:cs="Arial"/>
          <w:b w:val="false"/>
          <w:i w:val="false"/>
          <w:caps w:val="false"/>
          <w:smallCaps w:val="false"/>
          <w:strike w:val="false"/>
          <w:dstrike w:val="false"/>
          <w:color w:val="000000"/>
          <w:position w:val="0"/>
          <w:sz w:val="22"/>
          <w:sz w:val="22"/>
          <w:szCs w:val="22"/>
          <w:u w:val="none"/>
          <w:vertAlign w:val="baseline"/>
          <w:lang w:val="en-US" w:eastAsia="en-US" w:bidi="en-US"/>
        </w:rPr>
        <w:t>commodity chains and the state</w:t>
      </w:r>
    </w:p>
  </w:comment>
  <w:comment w:id="21" w:author="Kenyon Cavender" w:date="2024-01-30T15:33:06Z" w:initials="">
    <w:p>
      <w:pPr>
        <w:overflowPunct w:val="true"/>
        <w:spacing w:lineRule="auto" w:line="240"/>
        <w:rPr/>
      </w:pPr>
      <w:r>
        <w:rPr>
          <w:rFonts w:ascii="Arial" w:hAnsi="Arial" w:eastAsia="Arial" w:cs="Arial"/>
          <w:b w:val="false"/>
          <w:i w:val="false"/>
          <w:caps w:val="false"/>
          <w:smallCaps w:val="false"/>
          <w:strike w:val="false"/>
          <w:dstrike w:val="false"/>
          <w:color w:val="000000"/>
          <w:position w:val="0"/>
          <w:sz w:val="22"/>
          <w:sz w:val="22"/>
          <w:szCs w:val="22"/>
          <w:u w:val="none"/>
          <w:vertAlign w:val="baseline"/>
          <w:lang w:val="en-US" w:eastAsia="en-US" w:bidi="en-US"/>
        </w:rPr>
        <w:t>figure out how to cite this</w:t>
      </w:r>
    </w:p>
  </w:comment>
  <w:comment w:id="18" w:author="Kenyon Cavender" w:date="2024-01-30T15:35:23Z" w:initials="">
    <w:p>
      <w:pPr>
        <w:overflowPunct w:val="true"/>
        <w:spacing w:lineRule="auto" w:line="240"/>
        <w:rPr/>
      </w:pPr>
      <w:r>
        <w:rPr>
          <w:rFonts w:ascii="Arial" w:hAnsi="Arial" w:eastAsia="Arial" w:cs="Arial"/>
          <w:b w:val="false"/>
          <w:i w:val="false"/>
          <w:caps w:val="false"/>
          <w:smallCaps w:val="false"/>
          <w:strike w:val="false"/>
          <w:dstrike w:val="false"/>
          <w:color w:val="000000"/>
          <w:position w:val="0"/>
          <w:sz w:val="22"/>
          <w:sz w:val="22"/>
          <w:szCs w:val="22"/>
          <w:u w:val="none"/>
          <w:vertAlign w:val="baseline"/>
          <w:lang w:val="en-US" w:eastAsia="en-US" w:bidi="en-US"/>
        </w:rPr>
        <w:t>added to discuss commodity chains</w:t>
      </w:r>
    </w:p>
  </w:comment>
  <w:comment w:id="22" w:author="Kenyon Cavender" w:date="2024-02-19T16:54:22Z" w:initials="">
    <w:p>
      <w:pPr>
        <w:overflowPunct w:val="true"/>
        <w:spacing w:lineRule="auto" w:line="240"/>
        <w:rPr/>
      </w:pPr>
      <w:r>
        <w:rPr>
          <w:rFonts w:ascii="Arial" w:hAnsi="Arial" w:eastAsia="Arial" w:cs="Arial"/>
          <w:b w:val="false"/>
          <w:i w:val="false"/>
          <w:caps w:val="false"/>
          <w:smallCaps w:val="false"/>
          <w:strike w:val="false"/>
          <w:dstrike w:val="false"/>
          <w:color w:val="000000"/>
          <w:position w:val="0"/>
          <w:sz w:val="22"/>
          <w:sz w:val="22"/>
          <w:szCs w:val="22"/>
          <w:u w:val="none"/>
          <w:vertAlign w:val="baseline"/>
          <w:lang w:val="en-US" w:eastAsia="en-US" w:bidi="en-US"/>
        </w:rPr>
        <w:t>added in this draft</w:t>
      </w:r>
    </w:p>
  </w:comment>
  <w:comment w:id="23" w:author="Kenyon Cavender" w:date="2023-11-01T19:27:43Z" w:initials="">
    <w:p>
      <w:pPr>
        <w:overflowPunct w:val="true"/>
        <w:spacing w:lineRule="auto" w:line="240"/>
        <w:rPr/>
      </w:pPr>
      <w:r>
        <w:rPr>
          <w:rFonts w:ascii="Arial" w:hAnsi="Arial" w:eastAsia="Arial" w:cs="Arial"/>
          <w:b w:val="false"/>
          <w:i w:val="false"/>
          <w:caps w:val="false"/>
          <w:smallCaps w:val="false"/>
          <w:strike w:val="false"/>
          <w:dstrike w:val="false"/>
          <w:color w:val="000000"/>
          <w:position w:val="0"/>
          <w:sz w:val="22"/>
          <w:sz w:val="22"/>
          <w:szCs w:val="22"/>
          <w:u w:val="none"/>
          <w:vertAlign w:val="baseline"/>
          <w:lang w:val="en-US" w:eastAsia="en-US" w:bidi="en-US"/>
        </w:rPr>
        <w:t>brazil vs amazon - make this correct everywhere</w:t>
      </w:r>
    </w:p>
  </w:comment>
  <w:comment w:id="24" w:author="Unknown Author" w:date="2026-05-11T11:49:25Z" w:initials="">
    <w:p>
      <w:pPr>
        <w:spacing w:lineRule="auto" w:line="240"/>
        <w:rPr/>
      </w:pPr>
      <w:r>
        <w:rPr>
          <w:rFonts w:ascii="Liberation Serif" w:hAnsi="Liberation Serif" w:eastAsia="DejaVu Sans" w:cs="Noto Sans Arabic"/>
          <w:sz w:val="24"/>
          <w:szCs w:val="24"/>
          <w:lang w:val="en-US" w:eastAsia="en-US" w:bidi="en-US"/>
        </w:rPr>
        <w:t>hmmmmm</w:t>
      </w:r>
    </w:p>
  </w:comment>
  <w:comment w:id="25" w:author="Kenyon Cavender" w:date="2023-12-04T19:18:36Z" w:initials="">
    <w:p>
      <w:pPr>
        <w:overflowPunct w:val="true"/>
        <w:spacing w:lineRule="auto" w:line="240"/>
        <w:rPr/>
      </w:pPr>
      <w:r>
        <w:rPr>
          <w:rFonts w:ascii="Arial" w:hAnsi="Arial" w:eastAsia="Arial" w:cs="Arial"/>
          <w:b w:val="false"/>
          <w:i w:val="false"/>
          <w:caps w:val="false"/>
          <w:smallCaps w:val="false"/>
          <w:strike w:val="false"/>
          <w:dstrike w:val="false"/>
          <w:color w:val="000000"/>
          <w:position w:val="0"/>
          <w:sz w:val="22"/>
          <w:sz w:val="22"/>
          <w:szCs w:val="22"/>
          <w:u w:val="none"/>
          <w:vertAlign w:val="baseline"/>
          <w:lang w:val="en-US" w:eastAsia="en-US" w:bidi="en-US"/>
        </w:rPr>
        <w:t>find</w:t>
      </w:r>
    </w:p>
  </w:comment>
  <w:comment w:id="26" w:author="Kenyon Cavender" w:date="2024-02-21T19:22:34Z" w:initials="">
    <w:p>
      <w:pPr>
        <w:overflowPunct w:val="true"/>
        <w:spacing w:lineRule="auto" w:line="240"/>
        <w:rPr/>
      </w:pPr>
      <w:r>
        <w:rPr>
          <w:rFonts w:ascii="Arial" w:hAnsi="Arial" w:eastAsia="Arial" w:cs="Arial"/>
          <w:b w:val="false"/>
          <w:i w:val="false"/>
          <w:caps w:val="false"/>
          <w:smallCaps w:val="false"/>
          <w:strike w:val="false"/>
          <w:dstrike w:val="false"/>
          <w:color w:val="000000"/>
          <w:position w:val="0"/>
          <w:sz w:val="22"/>
          <w:sz w:val="22"/>
          <w:szCs w:val="22"/>
          <w:u w:val="none"/>
          <w:vertAlign w:val="baseline"/>
          <w:lang w:val="en-US" w:eastAsia="en-US" w:bidi="en-US"/>
        </w:rPr>
        <w:t>added for gender in periphery</w:t>
      </w:r>
    </w:p>
  </w:comment>
  <w:comment w:id="27" w:author="Kenyon Cavender" w:date="2024-02-21T19:37:25Z" w:initials="">
    <w:p>
      <w:pPr>
        <w:overflowPunct w:val="true"/>
        <w:spacing w:lineRule="auto" w:line="240"/>
        <w:rPr/>
      </w:pPr>
      <w:r>
        <w:rPr>
          <w:rFonts w:ascii="Arial" w:hAnsi="Arial" w:eastAsia="Arial" w:cs="Arial"/>
          <w:b w:val="false"/>
          <w:i w:val="false"/>
          <w:caps w:val="false"/>
          <w:smallCaps w:val="false"/>
          <w:strike w:val="false"/>
          <w:dstrike w:val="false"/>
          <w:color w:val="000000"/>
          <w:position w:val="0"/>
          <w:sz w:val="22"/>
          <w:sz w:val="22"/>
          <w:szCs w:val="22"/>
          <w:u w:val="none"/>
          <w:vertAlign w:val="baseline"/>
          <w:lang w:val="en-US" w:eastAsia="en-US" w:bidi="en-US"/>
        </w:rPr>
        <w:t>a little bit about migrant labor in malaya</w:t>
      </w:r>
    </w:p>
  </w:comment>
  <w:comment w:id="28" w:author="Kenyon Cavender" w:date="2023-12-04T19:45:21Z" w:initials="">
    <w:p>
      <w:pPr>
        <w:overflowPunct w:val="true"/>
        <w:spacing w:lineRule="auto" w:line="240"/>
        <w:rPr/>
      </w:pPr>
      <w:r>
        <w:rPr>
          <w:rFonts w:ascii="Arial" w:hAnsi="Arial" w:eastAsia="Arial" w:cs="Arial"/>
          <w:b w:val="false"/>
          <w:i w:val="false"/>
          <w:caps w:val="false"/>
          <w:smallCaps w:val="false"/>
          <w:strike w:val="false"/>
          <w:dstrike w:val="false"/>
          <w:color w:val="000000"/>
          <w:position w:val="0"/>
          <w:sz w:val="22"/>
          <w:sz w:val="22"/>
          <w:szCs w:val="22"/>
          <w:u w:val="none"/>
          <w:vertAlign w:val="baseline"/>
          <w:lang w:val="en-US" w:eastAsia="en-US" w:bidi="en-US"/>
        </w:rPr>
        <w:t>how often do I say this?</w:t>
      </w:r>
    </w:p>
  </w:comment>
</w:comments>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rial">
    <w:charset w:val="01" w:characterSet="utf-8"/>
    <w:family w:val="roman"/>
    <w:pitch w:val="variable"/>
  </w:font>
  <w:font w:name="Liberation Sans">
    <w:altName w:val="Arial"/>
    <w:charset w:val="01" w:characterSet="utf-8"/>
    <w:family w:val="roman"/>
    <w:pitch w:val="variable"/>
  </w:font>
  <w:font w:name="Times New Roman">
    <w:charset w:val="01" w:characterSet="utf-8"/>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bookmarkStart w:id="7" w:name="PageNumWizard_FOOTER_Default_Page_Style4"/>
    <w:r>
      <w:rPr/>
      <w:fldChar w:fldCharType="begin"/>
    </w:r>
    <w:r>
      <w:rPr/>
      <w:instrText xml:space="preserve"> PAGE </w:instrText>
    </w:r>
    <w:r>
      <w:rPr/>
      <w:fldChar w:fldCharType="separate"/>
    </w:r>
    <w:r>
      <w:rPr/>
      <w:t>39</w:t>
    </w:r>
    <w:r>
      <w:rPr/>
      <w:fldChar w:fldCharType="end"/>
    </w:r>
    <w:bookmarkEnd w:id="7"/>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bookmarkStart w:id="8" w:name="PageNumWizard_FOOTER_Default_Page_Style4"/>
    <w:r>
      <w:rPr/>
      <w:fldChar w:fldCharType="begin"/>
    </w:r>
    <w:r>
      <w:rPr/>
      <w:instrText xml:space="preserve"> PAGE </w:instrText>
    </w:r>
    <w:r>
      <w:rPr/>
      <w:fldChar w:fldCharType="separate"/>
    </w:r>
    <w:r>
      <w:rPr/>
      <w:t>39</w:t>
    </w:r>
    <w:r>
      <w:rPr/>
      <w:fldChar w:fldCharType="end"/>
    </w:r>
    <w:bookmarkEnd w:id="8"/>
  </w:p>
</w:ftr>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pPr>
        <w:rPr>
          <w:sz w:val="12"/>
        </w:rPr>
      </w:pPr>
      <w:r/>
    </w:p>
  </w:footnote>
  <w:footnote w:id="1" w:type="continuationSeparator">
    <w:p>
      <w:pPr>
        <w:rPr>
          <w:sz w:val="12"/>
        </w:rPr>
      </w:pPr>
      <w:r/>
    </w:p>
  </w:footnote>
  <w:footnote w:id="2">
    <w:p>
      <w:pPr>
        <w:pStyle w:val="FootnoteText"/>
        <w:rPr/>
      </w:pPr>
      <w:r>
        <w:rPr>
          <w:rStyle w:val="FootnoteCharacters"/>
        </w:rPr>
        <w:footnoteRef/>
      </w:r>
      <w:r>
        <w:rPr/>
        <w:t>Clarke, Simon. 1990. “What in the F—’s name is Fordism.” Paper presented at British Sociological Association Conference, University of Surrey</w:t>
      </w:r>
    </w:p>
  </w:footnote>
  <w:footnote w:id="3">
    <w:p>
      <w:pPr>
        <w:pStyle w:val="FootnoteText"/>
        <w:rPr>
          <w:rFonts w:ascii="Liberation Serif" w:hAnsi="Liberation Serif"/>
        </w:rPr>
      </w:pPr>
      <w:r>
        <w:rPr>
          <w:rStyle w:val="FootnoteCharacters"/>
        </w:rPr>
        <w:footnoteRef/>
      </w:r>
      <w:r>
        <w:rPr>
          <w:rFonts w:eastAsia="Times New Roman" w:cs="Times New Roman"/>
          <w:sz w:val="20"/>
          <w:szCs w:val="20"/>
        </w:rPr>
        <w:t xml:space="preserve">Watson, Daniel. 2018. “Fordism: A Review Essay.” </w:t>
      </w:r>
      <w:r>
        <w:rPr>
          <w:rFonts w:eastAsia="Times New Roman" w:cs="Times New Roman"/>
          <w:i/>
          <w:sz w:val="20"/>
          <w:szCs w:val="20"/>
        </w:rPr>
        <w:t>Labor History.</w:t>
      </w:r>
      <w:r>
        <w:rPr>
          <w:rFonts w:eastAsia="Times New Roman" w:cs="Times New Roman"/>
          <w:sz w:val="20"/>
          <w:szCs w:val="20"/>
        </w:rPr>
        <w:t xml:space="preserve"> 2</w:t>
      </w:r>
    </w:p>
  </w:footnote>
  <w:footnote w:id="4">
    <w:p>
      <w:pPr>
        <w:pStyle w:val="FootnoteText"/>
        <w:rPr>
          <w:rFonts w:ascii="Liberation Serif" w:hAnsi="Liberation Serif"/>
        </w:rPr>
      </w:pPr>
      <w:r>
        <w:rPr>
          <w:rStyle w:val="FootnoteCharacters"/>
        </w:rPr>
        <w:footnoteRef/>
      </w:r>
      <w:r>
        <w:rPr>
          <w:rFonts w:eastAsia="Times New Roman" w:cs="Times New Roman"/>
          <w:sz w:val="20"/>
          <w:szCs w:val="20"/>
        </w:rPr>
        <w:t xml:space="preserve">Alain Lipietz. 1982. “Towards Global Fordism?” </w:t>
      </w:r>
      <w:r>
        <w:rPr>
          <w:rFonts w:eastAsia="Times New Roman" w:cs="Times New Roman"/>
          <w:i/>
          <w:sz w:val="20"/>
          <w:szCs w:val="20"/>
        </w:rPr>
        <w:t>New Left Review</w:t>
      </w:r>
      <w:r>
        <w:rPr>
          <w:rFonts w:eastAsia="Times New Roman" w:cs="Times New Roman"/>
          <w:sz w:val="20"/>
          <w:szCs w:val="20"/>
        </w:rPr>
        <w:t xml:space="preserve"> I:132. 33-47.</w:t>
      </w:r>
    </w:p>
  </w:footnote>
  <w:footnote w:id="5">
    <w:p>
      <w:pPr>
        <w:pStyle w:val="FootnoteText"/>
        <w:rPr>
          <w:rFonts w:ascii="Liberation Serif" w:hAnsi="Liberation Serif"/>
        </w:rPr>
      </w:pPr>
      <w:r>
        <w:rPr>
          <w:rStyle w:val="FootnoteCharacters"/>
        </w:rPr>
        <w:footnoteRef/>
      </w:r>
      <w:r>
        <w:rPr>
          <w:rFonts w:eastAsia="Times New Roman" w:cs="Times New Roman"/>
          <w:sz w:val="20"/>
          <w:szCs w:val="20"/>
        </w:rPr>
        <w:t xml:space="preserve">Alfred D. Chandler. 1977. </w:t>
      </w:r>
      <w:r>
        <w:rPr>
          <w:rFonts w:eastAsia="Times New Roman" w:cs="Times New Roman"/>
          <w:i/>
          <w:sz w:val="20"/>
          <w:szCs w:val="20"/>
        </w:rPr>
        <w:t>The Visible Hand: The Managerial Revolution in American Business</w:t>
      </w:r>
      <w:r>
        <w:rPr>
          <w:rFonts w:eastAsia="Times New Roman" w:cs="Times New Roman"/>
          <w:sz w:val="20"/>
          <w:szCs w:val="20"/>
        </w:rPr>
        <w:t>. Cambridge: Harvard University Press.</w:t>
      </w:r>
    </w:p>
  </w:footnote>
  <w:footnote w:id="6">
    <w:p>
      <w:pPr>
        <w:pStyle w:val="FootnoteText"/>
        <w:rPr>
          <w:rFonts w:ascii="Liberation Serif" w:hAnsi="Liberation Serif"/>
        </w:rPr>
      </w:pPr>
      <w:r>
        <w:rPr>
          <w:rStyle w:val="FootnoteCharacters"/>
        </w:rPr>
        <w:footnoteRef/>
      </w:r>
      <w:r>
        <w:rPr>
          <w:rFonts w:eastAsia="Times New Roman" w:cs="Times New Roman"/>
          <w:sz w:val="20"/>
          <w:szCs w:val="20"/>
        </w:rPr>
        <w:t xml:space="preserve">Giovanni Arrighi. 2009. </w:t>
      </w:r>
      <w:r>
        <w:rPr>
          <w:rFonts w:eastAsia="Times New Roman" w:cs="Times New Roman"/>
          <w:i/>
          <w:sz w:val="20"/>
          <w:szCs w:val="20"/>
        </w:rPr>
        <w:t>The Long Twentieth Century: Money, Power, and the Origins of Our Time</w:t>
      </w:r>
      <w:r>
        <w:rPr>
          <w:rFonts w:eastAsia="Times New Roman" w:cs="Times New Roman"/>
          <w:sz w:val="20"/>
          <w:szCs w:val="20"/>
        </w:rPr>
        <w:t>, London and New York: Verso Books, 247.</w:t>
      </w:r>
    </w:p>
  </w:footnote>
  <w:footnote w:id="7">
    <w:p>
      <w:pPr>
        <w:pStyle w:val="FootnoteText"/>
        <w:rPr>
          <w:rFonts w:ascii="Liberation Serif" w:hAnsi="Liberation Serif"/>
        </w:rPr>
      </w:pPr>
      <w:r>
        <w:rPr>
          <w:rStyle w:val="FootnoteCharacters"/>
        </w:rPr>
        <w:footnoteRef/>
      </w:r>
      <w:r>
        <w:rPr>
          <w:rFonts w:eastAsia="Times New Roman" w:cs="Times New Roman"/>
          <w:sz w:val="20"/>
          <w:szCs w:val="20"/>
        </w:rPr>
        <w:t xml:space="preserve">Terence K. Hopkins and Immanuel Wallerstein. 1977. “Patterns of Development of the Modern World-System,” </w:t>
      </w:r>
      <w:r>
        <w:rPr>
          <w:rFonts w:eastAsia="Times New Roman" w:cs="Times New Roman"/>
          <w:i/>
          <w:sz w:val="20"/>
          <w:szCs w:val="20"/>
        </w:rPr>
        <w:t>Review</w:t>
      </w:r>
      <w:r>
        <w:rPr>
          <w:rFonts w:eastAsia="Times New Roman" w:cs="Times New Roman"/>
          <w:sz w:val="20"/>
          <w:szCs w:val="20"/>
        </w:rPr>
        <w:t xml:space="preserve"> 1:2. 128.</w:t>
      </w:r>
    </w:p>
  </w:footnote>
  <w:footnote w:id="8">
    <w:p>
      <w:pPr>
        <w:pStyle w:val="FootnoteText"/>
        <w:rPr/>
      </w:pPr>
      <w:r>
        <w:rPr>
          <w:rStyle w:val="FootnoteCharacters"/>
        </w:rPr>
        <w:footnoteRef/>
      </w:r>
      <w:r>
        <w:rPr/>
        <w:t>Hopkins and Wallerstein, “Patterns of Development,” 128</w:t>
      </w:r>
    </w:p>
  </w:footnote>
  <w:footnote w:id="9">
    <w:p>
      <w:pPr>
        <w:pStyle w:val="FootnoteText"/>
        <w:rPr>
          <w:rFonts w:ascii="Liberation Serif" w:hAnsi="Liberation Serif"/>
        </w:rPr>
      </w:pPr>
      <w:r>
        <w:rPr>
          <w:rStyle w:val="FootnoteCharacters"/>
        </w:rPr>
        <w:footnoteRef/>
      </w:r>
      <w:r>
        <w:rPr>
          <w:rFonts w:eastAsia="Times New Roman" w:cs="Times New Roman"/>
          <w:sz w:val="20"/>
          <w:szCs w:val="20"/>
        </w:rPr>
        <w:t xml:space="preserve">Aglietta, Michel. 1979. </w:t>
      </w:r>
      <w:r>
        <w:rPr>
          <w:rFonts w:eastAsia="Times New Roman" w:cs="Times New Roman"/>
          <w:i/>
          <w:sz w:val="20"/>
          <w:szCs w:val="20"/>
        </w:rPr>
        <w:t>A Theory of Capitalist Regulation</w:t>
      </w:r>
      <w:r>
        <w:rPr>
          <w:rFonts w:eastAsia="Times New Roman" w:cs="Times New Roman"/>
          <w:sz w:val="20"/>
          <w:szCs w:val="20"/>
        </w:rPr>
        <w:t>. London: NLB</w:t>
      </w:r>
    </w:p>
  </w:footnote>
  <w:footnote w:id="10">
    <w:p>
      <w:pPr>
        <w:pStyle w:val="FootnoteText"/>
        <w:rPr>
          <w:rFonts w:ascii="Liberation Serif" w:hAnsi="Liberation Serif"/>
        </w:rPr>
      </w:pPr>
      <w:r>
        <w:rPr>
          <w:rStyle w:val="FootnoteCharacters"/>
        </w:rPr>
        <w:footnoteRef/>
      </w:r>
      <w:r>
        <w:rPr>
          <w:rFonts w:eastAsia="Times New Roman" w:cs="Times New Roman"/>
          <w:sz w:val="20"/>
          <w:szCs w:val="20"/>
        </w:rPr>
        <w:t xml:space="preserve">Aglietta, </w:t>
      </w:r>
      <w:r>
        <w:rPr>
          <w:rFonts w:eastAsia="Times New Roman" w:cs="Times New Roman"/>
          <w:i/>
          <w:sz w:val="20"/>
          <w:szCs w:val="20"/>
        </w:rPr>
        <w:t>Capitalist Regulation</w:t>
      </w:r>
      <w:r>
        <w:rPr>
          <w:rFonts w:eastAsia="Times New Roman" w:cs="Times New Roman"/>
          <w:sz w:val="20"/>
          <w:szCs w:val="20"/>
        </w:rPr>
        <w:t>, 12</w:t>
      </w:r>
    </w:p>
  </w:footnote>
  <w:footnote w:id="11">
    <w:p>
      <w:pPr>
        <w:pStyle w:val="FootnoteText"/>
        <w:rPr>
          <w:rFonts w:ascii="Liberation Serif" w:hAnsi="Liberation Serif"/>
        </w:rPr>
      </w:pPr>
      <w:r>
        <w:rPr>
          <w:rStyle w:val="FootnoteCharacters"/>
        </w:rPr>
        <w:footnoteRef/>
      </w:r>
      <w:r>
        <w:rPr>
          <w:rFonts w:eastAsia="Times New Roman" w:cs="Times New Roman"/>
          <w:sz w:val="20"/>
          <w:szCs w:val="20"/>
        </w:rPr>
        <w:t xml:space="preserve">Aglietta, </w:t>
      </w:r>
      <w:r>
        <w:rPr>
          <w:rFonts w:eastAsia="Times New Roman" w:cs="Times New Roman"/>
          <w:i/>
          <w:sz w:val="20"/>
          <w:szCs w:val="20"/>
        </w:rPr>
        <w:t>Capitalist Regulation</w:t>
      </w:r>
      <w:r>
        <w:rPr>
          <w:rFonts w:eastAsia="Times New Roman" w:cs="Times New Roman"/>
          <w:sz w:val="20"/>
          <w:szCs w:val="20"/>
        </w:rPr>
        <w:t>, 13</w:t>
      </w:r>
    </w:p>
  </w:footnote>
  <w:footnote w:id="12">
    <w:p>
      <w:pPr>
        <w:pStyle w:val="FootnoteText"/>
        <w:rPr>
          <w:rFonts w:ascii="Liberation Serif" w:hAnsi="Liberation Serif"/>
        </w:rPr>
      </w:pPr>
      <w:r>
        <w:rPr>
          <w:rStyle w:val="FootnoteCharacters"/>
        </w:rPr>
        <w:footnoteRef/>
      </w:r>
      <w:r>
        <w:rPr>
          <w:rFonts w:eastAsia="Times New Roman" w:cs="Times New Roman"/>
          <w:sz w:val="20"/>
          <w:szCs w:val="20"/>
        </w:rPr>
        <w:t xml:space="preserve">Aglietta, </w:t>
      </w:r>
      <w:r>
        <w:rPr>
          <w:rFonts w:eastAsia="Times New Roman" w:cs="Times New Roman"/>
          <w:i/>
          <w:sz w:val="20"/>
          <w:szCs w:val="20"/>
        </w:rPr>
        <w:t>Capitalist Regulation</w:t>
      </w:r>
      <w:r>
        <w:rPr>
          <w:rFonts w:eastAsia="Times New Roman" w:cs="Times New Roman"/>
          <w:sz w:val="20"/>
          <w:szCs w:val="20"/>
        </w:rPr>
        <w:t>, 71</w:t>
      </w:r>
    </w:p>
  </w:footnote>
  <w:footnote w:id="13">
    <w:p>
      <w:pPr>
        <w:pStyle w:val="FootnoteText"/>
        <w:rPr>
          <w:rFonts w:ascii="Liberation Serif" w:hAnsi="Liberation Serif"/>
        </w:rPr>
      </w:pPr>
      <w:r>
        <w:rPr>
          <w:rStyle w:val="FootnoteCharacters"/>
        </w:rPr>
        <w:footnoteRef/>
      </w:r>
      <w:r>
        <w:rPr>
          <w:rFonts w:eastAsia="Times New Roman" w:cs="Times New Roman"/>
          <w:sz w:val="20"/>
          <w:szCs w:val="20"/>
        </w:rPr>
        <w:t xml:space="preserve">Aglietta, </w:t>
      </w:r>
      <w:r>
        <w:rPr>
          <w:rFonts w:eastAsia="Times New Roman" w:cs="Times New Roman"/>
          <w:i/>
          <w:sz w:val="20"/>
          <w:szCs w:val="20"/>
        </w:rPr>
        <w:t>Capitalist Regulation</w:t>
      </w:r>
      <w:r>
        <w:rPr>
          <w:rFonts w:eastAsia="Times New Roman" w:cs="Times New Roman"/>
          <w:sz w:val="20"/>
          <w:szCs w:val="20"/>
        </w:rPr>
        <w:t>, 117</w:t>
      </w:r>
    </w:p>
  </w:footnote>
  <w:footnote w:id="14">
    <w:p>
      <w:pPr>
        <w:pStyle w:val="FootnoteText"/>
        <w:rPr>
          <w:rFonts w:ascii="Liberation Serif" w:hAnsi="Liberation Serif"/>
        </w:rPr>
      </w:pPr>
      <w:r>
        <w:rPr>
          <w:rStyle w:val="FootnoteCharacters"/>
        </w:rPr>
        <w:footnoteRef/>
      </w:r>
      <w:r>
        <w:rPr>
          <w:rFonts w:eastAsia="Times New Roman" w:cs="Times New Roman"/>
          <w:sz w:val="20"/>
          <w:szCs w:val="20"/>
        </w:rPr>
        <w:t xml:space="preserve">Aglietta, </w:t>
      </w:r>
      <w:r>
        <w:rPr>
          <w:rFonts w:eastAsia="Times New Roman" w:cs="Times New Roman"/>
          <w:i/>
          <w:sz w:val="20"/>
          <w:szCs w:val="20"/>
        </w:rPr>
        <w:t>Capitalist Regulation</w:t>
      </w:r>
      <w:r>
        <w:rPr>
          <w:rFonts w:eastAsia="Times New Roman" w:cs="Times New Roman"/>
          <w:sz w:val="20"/>
          <w:szCs w:val="20"/>
        </w:rPr>
        <w:t>, 118</w:t>
      </w:r>
    </w:p>
  </w:footnote>
  <w:footnote w:id="15">
    <w:p>
      <w:pPr>
        <w:pStyle w:val="FootnoteText"/>
        <w:rPr>
          <w:rFonts w:ascii="Liberation Serif" w:hAnsi="Liberation Serif"/>
        </w:rPr>
      </w:pPr>
      <w:r>
        <w:rPr>
          <w:rStyle w:val="FootnoteCharacters"/>
        </w:rPr>
        <w:footnoteRef/>
      </w:r>
      <w:r>
        <w:rPr>
          <w:rFonts w:eastAsia="Times New Roman" w:cs="Times New Roman"/>
          <w:sz w:val="20"/>
          <w:szCs w:val="20"/>
        </w:rPr>
        <w:t xml:space="preserve">Aglietta, </w:t>
      </w:r>
      <w:r>
        <w:rPr>
          <w:rFonts w:eastAsia="Times New Roman" w:cs="Times New Roman"/>
          <w:i/>
          <w:sz w:val="20"/>
          <w:szCs w:val="20"/>
        </w:rPr>
        <w:t>Capitalist Regulation,</w:t>
      </w:r>
      <w:r>
        <w:rPr>
          <w:rFonts w:eastAsia="Times New Roman" w:cs="Times New Roman"/>
          <w:sz w:val="20"/>
          <w:szCs w:val="20"/>
        </w:rPr>
        <w:t xml:space="preserve"> 118</w:t>
      </w:r>
    </w:p>
  </w:footnote>
  <w:footnote w:id="16">
    <w:p>
      <w:pPr>
        <w:pStyle w:val="FootnoteText"/>
        <w:rPr>
          <w:rFonts w:ascii="Liberation Serif" w:hAnsi="Liberation Serif"/>
        </w:rPr>
      </w:pPr>
      <w:r>
        <w:rPr>
          <w:rStyle w:val="FootnoteCharacters"/>
        </w:rPr>
        <w:footnoteRef/>
      </w:r>
      <w:r>
        <w:rPr>
          <w:rFonts w:eastAsia="Times New Roman" w:cs="Times New Roman"/>
          <w:sz w:val="20"/>
          <w:szCs w:val="20"/>
        </w:rPr>
        <w:t xml:space="preserve">Aglietta, </w:t>
      </w:r>
      <w:r>
        <w:rPr>
          <w:rFonts w:eastAsia="Times New Roman" w:cs="Times New Roman"/>
          <w:i/>
          <w:sz w:val="20"/>
          <w:szCs w:val="20"/>
        </w:rPr>
        <w:t>Capitalist Regulation</w:t>
      </w:r>
      <w:r>
        <w:rPr>
          <w:rFonts w:eastAsia="Times New Roman" w:cs="Times New Roman"/>
          <w:sz w:val="20"/>
          <w:szCs w:val="20"/>
        </w:rPr>
        <w:t>, 119</w:t>
      </w:r>
    </w:p>
  </w:footnote>
  <w:footnote w:id="17">
    <w:p>
      <w:pPr>
        <w:pStyle w:val="FootnoteText"/>
        <w:rPr>
          <w:rFonts w:ascii="Liberation Serif" w:hAnsi="Liberation Serif"/>
        </w:rPr>
      </w:pPr>
      <w:r>
        <w:rPr>
          <w:rStyle w:val="FootnoteCharacters"/>
        </w:rPr>
        <w:footnoteRef/>
      </w:r>
      <w:r>
        <w:rPr>
          <w:rFonts w:eastAsia="Times New Roman" w:cs="Times New Roman"/>
          <w:sz w:val="20"/>
          <w:szCs w:val="20"/>
        </w:rPr>
        <w:t xml:space="preserve">Aglietta, </w:t>
      </w:r>
      <w:r>
        <w:rPr>
          <w:rFonts w:eastAsia="Times New Roman" w:cs="Times New Roman"/>
          <w:i/>
          <w:sz w:val="20"/>
          <w:szCs w:val="20"/>
        </w:rPr>
        <w:t>Capitalist Regulation</w:t>
      </w:r>
      <w:r>
        <w:rPr>
          <w:rFonts w:eastAsia="Times New Roman" w:cs="Times New Roman"/>
          <w:sz w:val="20"/>
          <w:szCs w:val="20"/>
        </w:rPr>
        <w:t>, 159</w:t>
      </w:r>
    </w:p>
  </w:footnote>
  <w:footnote w:id="18">
    <w:p>
      <w:pPr>
        <w:pStyle w:val="FootnoteText"/>
        <w:rPr>
          <w:rFonts w:ascii="Liberation Serif" w:hAnsi="Liberation Serif"/>
        </w:rPr>
      </w:pPr>
      <w:r>
        <w:rPr>
          <w:rStyle w:val="FootnoteCharacters"/>
        </w:rPr>
        <w:footnoteRef/>
      </w:r>
      <w:r>
        <w:rPr>
          <w:rFonts w:eastAsia="Times New Roman" w:cs="Times New Roman"/>
          <w:sz w:val="20"/>
          <w:szCs w:val="20"/>
        </w:rPr>
        <w:t xml:space="preserve">Aglietta, </w:t>
      </w:r>
      <w:r>
        <w:rPr>
          <w:rFonts w:eastAsia="Times New Roman" w:cs="Times New Roman"/>
          <w:i/>
          <w:sz w:val="20"/>
          <w:szCs w:val="20"/>
        </w:rPr>
        <w:t>Capitalist Regulation,</w:t>
      </w:r>
      <w:r>
        <w:rPr>
          <w:rFonts w:eastAsia="Times New Roman" w:cs="Times New Roman"/>
          <w:sz w:val="20"/>
          <w:szCs w:val="20"/>
        </w:rPr>
        <w:t xml:space="preserve"> 137</w:t>
      </w:r>
    </w:p>
  </w:footnote>
  <w:footnote w:id="19">
    <w:p>
      <w:pPr>
        <w:pStyle w:val="FootnoteText"/>
        <w:rPr>
          <w:rFonts w:ascii="Liberation Serif" w:hAnsi="Liberation Serif"/>
        </w:rPr>
      </w:pPr>
      <w:r>
        <w:rPr>
          <w:rStyle w:val="FootnoteCharacters"/>
        </w:rPr>
        <w:footnoteRef/>
      </w:r>
      <w:r>
        <w:rPr>
          <w:rFonts w:eastAsia="Times New Roman" w:cs="Times New Roman"/>
          <w:sz w:val="20"/>
          <w:szCs w:val="20"/>
        </w:rPr>
        <w:t xml:space="preserve">Clarke, Simon. 1988. “Overaccumulation, Class Struggle and the Regulation Approach.” </w:t>
      </w:r>
      <w:r>
        <w:rPr>
          <w:rFonts w:eastAsia="Times New Roman" w:cs="Times New Roman"/>
          <w:i/>
          <w:sz w:val="20"/>
          <w:szCs w:val="20"/>
        </w:rPr>
        <w:t xml:space="preserve"> Capital &amp; Class</w:t>
      </w:r>
      <w:r>
        <w:rPr>
          <w:rFonts w:eastAsia="Times New Roman" w:cs="Times New Roman"/>
          <w:sz w:val="20"/>
          <w:szCs w:val="20"/>
        </w:rPr>
        <w:t xml:space="preserve">. Vol 12:3. </w:t>
      </w:r>
    </w:p>
  </w:footnote>
  <w:footnote w:id="20">
    <w:p>
      <w:pPr>
        <w:pStyle w:val="FootnoteText"/>
        <w:rPr/>
      </w:pPr>
      <w:r>
        <w:rPr>
          <w:rStyle w:val="FootnoteCharacters"/>
        </w:rPr>
        <w:footnoteRef/>
      </w:r>
      <w:r>
        <w:rPr/>
        <w:t>Clarke, “Overaccumulation” 14-15</w:t>
      </w:r>
    </w:p>
  </w:footnote>
  <w:footnote w:id="21">
    <w:p>
      <w:pPr>
        <w:pStyle w:val="FootnoteText"/>
        <w:rPr/>
      </w:pPr>
      <w:r>
        <w:rPr>
          <w:rStyle w:val="FootnoteCharacters"/>
        </w:rPr>
        <w:footnoteRef/>
      </w:r>
      <w:r>
        <w:rPr/>
        <w:t>Clarke, “Overaccumulation” 18</w:t>
      </w:r>
    </w:p>
  </w:footnote>
  <w:footnote w:id="22">
    <w:p>
      <w:pPr>
        <w:pStyle w:val="FootnoteText"/>
        <w:rPr/>
      </w:pPr>
      <w:r>
        <w:rPr>
          <w:rStyle w:val="FootnoteCharacters"/>
        </w:rPr>
        <w:footnoteRef/>
      </w:r>
      <w:r>
        <w:rPr/>
        <w:t>Clarke, “Overaccumulation” 16</w:t>
      </w:r>
    </w:p>
  </w:footnote>
  <w:footnote w:id="23">
    <w:p>
      <w:pPr>
        <w:pStyle w:val="FootnoteText"/>
        <w:rPr>
          <w:rFonts w:ascii="Liberation Serif" w:hAnsi="Liberation Serif"/>
        </w:rPr>
      </w:pPr>
      <w:r>
        <w:rPr>
          <w:rStyle w:val="FootnoteCharacters"/>
        </w:rPr>
        <w:footnoteRef/>
      </w:r>
      <w:r>
        <w:rPr>
          <w:rFonts w:eastAsia="Times New Roman" w:cs="Times New Roman"/>
          <w:sz w:val="20"/>
          <w:szCs w:val="20"/>
        </w:rPr>
        <w:t xml:space="preserve">Aglietta, </w:t>
      </w:r>
      <w:r>
        <w:rPr>
          <w:rFonts w:eastAsia="Times New Roman" w:cs="Times New Roman"/>
          <w:i/>
          <w:sz w:val="20"/>
          <w:szCs w:val="20"/>
        </w:rPr>
        <w:t>Capitalist Regulation</w:t>
      </w:r>
      <w:r>
        <w:rPr>
          <w:rFonts w:eastAsia="Times New Roman" w:cs="Times New Roman"/>
          <w:sz w:val="20"/>
          <w:szCs w:val="20"/>
        </w:rPr>
        <w:t>, 32</w:t>
      </w:r>
    </w:p>
  </w:footnote>
  <w:footnote w:id="24">
    <w:p>
      <w:pPr>
        <w:pStyle w:val="FootnoteText"/>
        <w:rPr>
          <w:rFonts w:ascii="Liberation Serif" w:hAnsi="Liberation Serif"/>
        </w:rPr>
      </w:pPr>
      <w:r>
        <w:rPr>
          <w:rStyle w:val="FootnoteCharacters"/>
        </w:rPr>
        <w:footnoteRef/>
      </w:r>
      <w:r>
        <w:rPr>
          <w:rFonts w:eastAsia="Times New Roman" w:cs="Times New Roman"/>
          <w:sz w:val="20"/>
          <w:szCs w:val="20"/>
        </w:rPr>
        <w:t xml:space="preserve">Aglietta, </w:t>
      </w:r>
      <w:r>
        <w:rPr>
          <w:rFonts w:eastAsia="Times New Roman" w:cs="Times New Roman"/>
          <w:i/>
          <w:sz w:val="20"/>
          <w:szCs w:val="20"/>
        </w:rPr>
        <w:t>Capitalist Regulation,</w:t>
      </w:r>
      <w:r>
        <w:rPr>
          <w:rFonts w:eastAsia="Times New Roman" w:cs="Times New Roman"/>
          <w:sz w:val="20"/>
          <w:szCs w:val="20"/>
        </w:rPr>
        <w:t xml:space="preserve"> 32</w:t>
      </w:r>
    </w:p>
  </w:footnote>
  <w:footnote w:id="25">
    <w:p>
      <w:pPr>
        <w:pStyle w:val="FootnoteText"/>
        <w:rPr>
          <w:rFonts w:ascii="Liberation Serif" w:hAnsi="Liberation Serif"/>
        </w:rPr>
      </w:pPr>
      <w:r>
        <w:rPr>
          <w:rStyle w:val="FootnoteCharacters"/>
        </w:rPr>
        <w:footnoteRef/>
      </w:r>
      <w:r>
        <w:rPr>
          <w:rFonts w:eastAsia="Times New Roman" w:cs="Times New Roman"/>
          <w:sz w:val="20"/>
          <w:szCs w:val="20"/>
        </w:rPr>
        <w:t xml:space="preserve">Nelson Lichtenstein. 1989. “Introduction,” in </w:t>
      </w:r>
      <w:r>
        <w:rPr>
          <w:rFonts w:eastAsia="Times New Roman" w:cs="Times New Roman"/>
          <w:i/>
          <w:sz w:val="20"/>
          <w:szCs w:val="20"/>
        </w:rPr>
        <w:t>On the Line: Essays in the History of Auto Work</w:t>
      </w:r>
      <w:r>
        <w:rPr>
          <w:rFonts w:eastAsia="Times New Roman" w:cs="Times New Roman"/>
          <w:sz w:val="20"/>
          <w:szCs w:val="20"/>
        </w:rPr>
        <w:t>,</w:t>
      </w:r>
      <w:r>
        <w:rPr>
          <w:rFonts w:eastAsia="Times New Roman" w:cs="Times New Roman"/>
          <w:i/>
          <w:sz w:val="20"/>
          <w:szCs w:val="20"/>
        </w:rPr>
        <w:t xml:space="preserve"> </w:t>
      </w:r>
      <w:r>
        <w:rPr>
          <w:rFonts w:eastAsia="Times New Roman" w:cs="Times New Roman"/>
          <w:sz w:val="20"/>
          <w:szCs w:val="20"/>
        </w:rPr>
        <w:t>eds. Nelson Lichtenstein and Stephen Meyer. Chicago: University of Illinois Press. 5.</w:t>
      </w:r>
    </w:p>
  </w:footnote>
  <w:footnote w:id="26">
    <w:p>
      <w:pPr>
        <w:pStyle w:val="FootnoteText"/>
        <w:rPr/>
      </w:pPr>
      <w:r>
        <w:rPr>
          <w:rStyle w:val="FootnoteCharacters"/>
        </w:rPr>
        <w:footnoteRef/>
      </w:r>
      <w:r>
        <w:rPr/>
        <w:t>Lichtenstein, “Introduction,” 5.</w:t>
      </w:r>
    </w:p>
  </w:footnote>
  <w:footnote w:id="27">
    <w:p>
      <w:pPr>
        <w:pStyle w:val="FootnoteText"/>
        <w:rPr>
          <w:rFonts w:ascii="Liberation Serif" w:hAnsi="Liberation Serif"/>
        </w:rPr>
      </w:pPr>
      <w:r>
        <w:rPr>
          <w:rStyle w:val="FootnoteCharacters"/>
        </w:rPr>
        <w:footnoteRef/>
      </w:r>
      <w:r>
        <w:rPr>
          <w:rFonts w:eastAsia="Times New Roman" w:cs="Times New Roman"/>
          <w:sz w:val="20"/>
          <w:szCs w:val="20"/>
        </w:rPr>
        <w:t xml:space="preserve">Thomas Klug. 1989. “Employers’ Strategies in the Detroit Labor Market, 1900-1929,” in </w:t>
      </w:r>
      <w:r>
        <w:rPr>
          <w:rFonts w:eastAsia="Times New Roman" w:cs="Times New Roman"/>
          <w:i/>
          <w:sz w:val="20"/>
          <w:szCs w:val="20"/>
        </w:rPr>
        <w:t>On the Line: Essays in the History of Auto Work</w:t>
      </w:r>
      <w:r>
        <w:rPr>
          <w:rFonts w:eastAsia="Times New Roman" w:cs="Times New Roman"/>
          <w:sz w:val="20"/>
          <w:szCs w:val="20"/>
        </w:rPr>
        <w:t>,</w:t>
      </w:r>
      <w:r>
        <w:rPr>
          <w:rFonts w:eastAsia="Times New Roman" w:cs="Times New Roman"/>
          <w:i/>
          <w:sz w:val="20"/>
          <w:szCs w:val="20"/>
        </w:rPr>
        <w:t xml:space="preserve"> </w:t>
      </w:r>
      <w:r>
        <w:rPr>
          <w:rFonts w:eastAsia="Times New Roman" w:cs="Times New Roman"/>
          <w:sz w:val="20"/>
          <w:szCs w:val="20"/>
        </w:rPr>
        <w:t>eds. Nelson Lichtenstein and Stephen Meyer. Chicago: University of Illinois Press.</w:t>
      </w:r>
      <w:r>
        <w:rPr>
          <w:rFonts w:eastAsia="Times New Roman" w:cs="Times New Roman"/>
          <w:i/>
          <w:sz w:val="20"/>
          <w:szCs w:val="20"/>
        </w:rPr>
        <w:t xml:space="preserve"> </w:t>
      </w:r>
      <w:r>
        <w:rPr>
          <w:rFonts w:eastAsia="Times New Roman" w:cs="Times New Roman"/>
          <w:sz w:val="20"/>
          <w:szCs w:val="20"/>
        </w:rPr>
        <w:t>44.</w:t>
      </w:r>
    </w:p>
  </w:footnote>
  <w:footnote w:id="28">
    <w:p>
      <w:pPr>
        <w:pStyle w:val="FootnoteText"/>
        <w:rPr/>
      </w:pPr>
      <w:r>
        <w:rPr>
          <w:rStyle w:val="FootnoteCharacters"/>
        </w:rPr>
        <w:footnoteRef/>
      </w:r>
      <w:r>
        <w:rPr>
          <w:rFonts w:eastAsia="Times New Roman" w:cs="Times New Roman" w:ascii="Times New Roman" w:hAnsi="Times New Roman"/>
          <w:sz w:val="20"/>
          <w:szCs w:val="20"/>
        </w:rPr>
        <w:t>Klug, “Employers’ Strategies,”</w:t>
      </w:r>
      <w:r>
        <w:rPr>
          <w:rFonts w:eastAsia="Times New Roman" w:cs="Times New Roman" w:ascii="Times New Roman" w:hAnsi="Times New Roman"/>
          <w:i/>
          <w:sz w:val="20"/>
          <w:szCs w:val="20"/>
        </w:rPr>
        <w:t xml:space="preserve"> </w:t>
      </w:r>
      <w:r>
        <w:rPr>
          <w:rFonts w:eastAsia="Times New Roman" w:cs="Times New Roman" w:ascii="Times New Roman" w:hAnsi="Times New Roman"/>
          <w:sz w:val="20"/>
          <w:szCs w:val="20"/>
        </w:rPr>
        <w:t>48.</w:t>
      </w:r>
    </w:p>
  </w:footnote>
  <w:footnote w:id="29">
    <w:p>
      <w:pPr>
        <w:pStyle w:val="FootnoteText"/>
        <w:rPr/>
      </w:pPr>
      <w:r>
        <w:rPr>
          <w:rStyle w:val="FootnoteCharacters"/>
        </w:rPr>
        <w:footnoteRef/>
      </w:r>
      <w:r>
        <w:rPr/>
        <w:t>Klug, “Employers’ Strategies,” 48.</w:t>
      </w:r>
    </w:p>
  </w:footnote>
  <w:footnote w:id="30">
    <w:p>
      <w:pPr>
        <w:pStyle w:val="FootnoteText"/>
        <w:rPr/>
      </w:pPr>
      <w:r>
        <w:rPr>
          <w:rStyle w:val="FootnoteCharacters"/>
        </w:rPr>
        <w:footnoteRef/>
      </w:r>
      <w:r>
        <w:rPr/>
        <w:t>Klug, “Employers’ Strategies,” 49.</w:t>
      </w:r>
    </w:p>
  </w:footnote>
  <w:footnote w:id="31">
    <w:p>
      <w:pPr>
        <w:pStyle w:val="FootnoteText"/>
        <w:rPr>
          <w:rFonts w:ascii="Liberation Serif" w:hAnsi="Liberation Serif"/>
        </w:rPr>
      </w:pPr>
      <w:r>
        <w:rPr>
          <w:rStyle w:val="FootnoteCharacters"/>
        </w:rPr>
        <w:footnoteRef/>
      </w:r>
      <w:r>
        <w:rPr>
          <w:rFonts w:eastAsia="Times New Roman" w:cs="Times New Roman"/>
          <w:sz w:val="20"/>
          <w:szCs w:val="20"/>
        </w:rPr>
        <w:t xml:space="preserve">Dunbar, </w:t>
      </w:r>
      <w:r>
        <w:rPr>
          <w:rFonts w:eastAsia="Times New Roman" w:cs="Times New Roman"/>
          <w:i/>
          <w:sz w:val="20"/>
          <w:szCs w:val="20"/>
        </w:rPr>
        <w:t>Michigan: A History of the Wolverine State</w:t>
      </w:r>
      <w:r>
        <w:rPr>
          <w:rFonts w:eastAsia="Times New Roman" w:cs="Times New Roman"/>
          <w:sz w:val="20"/>
          <w:szCs w:val="20"/>
        </w:rPr>
        <w:t>, 552.</w:t>
      </w:r>
    </w:p>
  </w:footnote>
  <w:footnote w:id="32">
    <w:p>
      <w:pPr>
        <w:pStyle w:val="FootnoteText"/>
        <w:rPr>
          <w:rFonts w:ascii="Liberation Serif" w:hAnsi="Liberation Serif"/>
        </w:rPr>
      </w:pPr>
      <w:r>
        <w:rPr>
          <w:rStyle w:val="FootnoteCharacters"/>
        </w:rPr>
        <w:footnoteRef/>
      </w:r>
      <w:r>
        <w:rPr>
          <w:rFonts w:eastAsia="Times New Roman" w:cs="Times New Roman"/>
          <w:sz w:val="20"/>
          <w:szCs w:val="20"/>
        </w:rPr>
        <w:t xml:space="preserve">Berman and Montgomery quoted in Thomas Krueger. 1971 “American Labor Historiography, Old and New,” </w:t>
      </w:r>
      <w:r>
        <w:rPr>
          <w:rFonts w:eastAsia="Times New Roman" w:cs="Times New Roman"/>
          <w:i/>
          <w:sz w:val="20"/>
          <w:szCs w:val="20"/>
        </w:rPr>
        <w:t>Journal of Social History</w:t>
      </w:r>
      <w:r>
        <w:rPr>
          <w:rFonts w:eastAsia="Times New Roman" w:cs="Times New Roman"/>
          <w:sz w:val="20"/>
          <w:szCs w:val="20"/>
        </w:rPr>
        <w:t xml:space="preserve"> 4:3. 281-2</w:t>
      </w:r>
    </w:p>
  </w:footnote>
  <w:footnote w:id="33">
    <w:p>
      <w:pPr>
        <w:pStyle w:val="FootnoteText"/>
        <w:rPr/>
      </w:pPr>
      <w:r>
        <w:rPr>
          <w:rStyle w:val="FootnoteCharacters"/>
        </w:rPr>
        <w:footnoteRef/>
      </w:r>
      <w:r>
        <w:rPr/>
        <w:t>Krueger, “American Labor,” 283.</w:t>
      </w:r>
    </w:p>
  </w:footnote>
  <w:footnote w:id="34">
    <w:p>
      <w:pPr>
        <w:pStyle w:val="FootnoteText"/>
        <w:rPr/>
      </w:pPr>
      <w:r>
        <w:rPr>
          <w:rStyle w:val="FootnoteCharacters"/>
        </w:rPr>
        <w:footnoteRef/>
      </w:r>
      <w:r>
        <w:rPr/>
        <w:t>Krueger, “American Labor,” 284.</w:t>
      </w:r>
    </w:p>
  </w:footnote>
  <w:footnote w:id="35">
    <w:p>
      <w:pPr>
        <w:pStyle w:val="FootnoteText"/>
        <w:rPr>
          <w:rFonts w:ascii="Liberation Serif" w:hAnsi="Liberation Serif"/>
        </w:rPr>
      </w:pPr>
      <w:r>
        <w:rPr>
          <w:rStyle w:val="FootnoteCharacters"/>
        </w:rPr>
        <w:footnoteRef/>
      </w:r>
      <w:bookmarkStart w:id="9" w:name="_3dy6vkm_Copy_1"/>
      <w:bookmarkEnd w:id="9"/>
      <w:r>
        <w:rPr>
          <w:rFonts w:eastAsia="Times New Roman" w:cs="Times New Roman"/>
          <w:sz w:val="20"/>
          <w:szCs w:val="20"/>
        </w:rPr>
        <w:t xml:space="preserve">Silvia Federici, 2021. </w:t>
      </w:r>
      <w:r>
        <w:rPr>
          <w:rFonts w:eastAsia="Times New Roman" w:cs="Times New Roman"/>
          <w:i/>
          <w:sz w:val="20"/>
          <w:szCs w:val="20"/>
        </w:rPr>
        <w:t>Patriarchy of the wage: Notes on Marx, Gender, and Feminism</w:t>
      </w:r>
      <w:r>
        <w:rPr>
          <w:rFonts w:eastAsia="Times New Roman" w:cs="Times New Roman"/>
          <w:sz w:val="20"/>
          <w:szCs w:val="20"/>
        </w:rPr>
        <w:t>. Oakland: PM Press, 2021. 11-12.</w:t>
      </w:r>
    </w:p>
  </w:footnote>
  <w:footnote w:id="36">
    <w:p>
      <w:pPr>
        <w:pStyle w:val="FootnoteText"/>
        <w:rPr>
          <w:rFonts w:ascii="Liberation Serif" w:hAnsi="Liberation Serif"/>
        </w:rPr>
      </w:pPr>
      <w:r>
        <w:rPr>
          <w:rStyle w:val="FootnoteCharacters"/>
        </w:rPr>
        <w:footnoteRef/>
      </w:r>
      <w:r>
        <w:rPr>
          <w:rFonts w:eastAsia="Times New Roman" w:cs="Times New Roman"/>
          <w:sz w:val="20"/>
          <w:szCs w:val="20"/>
        </w:rPr>
        <w:t xml:space="preserve">Elizabeth Faue. 1993.  “Gender and the Reconstruction of Labor History: An Introduction,” </w:t>
      </w:r>
      <w:r>
        <w:rPr>
          <w:rFonts w:eastAsia="Times New Roman" w:cs="Times New Roman"/>
          <w:i/>
          <w:sz w:val="20"/>
          <w:szCs w:val="20"/>
        </w:rPr>
        <w:t>Labor History</w:t>
      </w:r>
      <w:r>
        <w:rPr>
          <w:rFonts w:eastAsia="Times New Roman" w:cs="Times New Roman"/>
          <w:sz w:val="20"/>
          <w:szCs w:val="20"/>
        </w:rPr>
        <w:t xml:space="preserve"> 34:2-3. 171.</w:t>
      </w:r>
    </w:p>
  </w:footnote>
  <w:footnote w:id="37">
    <w:p>
      <w:pPr>
        <w:pStyle w:val="FootnoteText"/>
        <w:rPr>
          <w:rFonts w:ascii="Liberation Serif" w:hAnsi="Liberation Serif"/>
        </w:rPr>
      </w:pPr>
      <w:r>
        <w:rPr>
          <w:rStyle w:val="FootnoteCharacters"/>
        </w:rPr>
        <w:footnoteRef/>
      </w:r>
      <w:r>
        <w:rPr>
          <w:rFonts w:eastAsia="Times New Roman" w:cs="Times New Roman"/>
          <w:sz w:val="20"/>
          <w:szCs w:val="20"/>
        </w:rPr>
        <w:t xml:space="preserve">Immanuel Wallerstein. 1983. </w:t>
      </w:r>
      <w:r>
        <w:rPr>
          <w:rFonts w:eastAsia="Times New Roman" w:cs="Times New Roman"/>
          <w:i/>
          <w:sz w:val="20"/>
          <w:szCs w:val="20"/>
        </w:rPr>
        <w:t>Historical Capitalism</w:t>
      </w:r>
      <w:r>
        <w:rPr>
          <w:rFonts w:eastAsia="Times New Roman" w:cs="Times New Roman"/>
          <w:sz w:val="20"/>
          <w:szCs w:val="20"/>
        </w:rPr>
        <w:t>. London: Verso Editions. 23.</w:t>
      </w:r>
    </w:p>
  </w:footnote>
  <w:footnote w:id="38">
    <w:p>
      <w:pPr>
        <w:pStyle w:val="FootnoteText"/>
        <w:rPr>
          <w:rFonts w:ascii="Liberation Serif" w:hAnsi="Liberation Serif"/>
        </w:rPr>
      </w:pPr>
      <w:r>
        <w:rPr>
          <w:rStyle w:val="FootnoteCharacters"/>
        </w:rPr>
        <w:footnoteRef/>
      </w:r>
      <w:r>
        <w:rPr>
          <w:rFonts w:eastAsia="Times New Roman" w:cs="Times New Roman"/>
          <w:sz w:val="20"/>
          <w:szCs w:val="20"/>
        </w:rPr>
        <w:t xml:space="preserve">Nancy Fraser. 2017. “Crisis of Care? On the Social-Reproductive Contradictions of Contemporary Capitalism” in </w:t>
      </w:r>
      <w:r>
        <w:rPr>
          <w:rFonts w:eastAsia="Times New Roman" w:cs="Times New Roman"/>
          <w:i/>
          <w:sz w:val="20"/>
          <w:szCs w:val="20"/>
        </w:rPr>
        <w:t xml:space="preserve">Social Reproduction Theory: Remapping Class, Recentering Oppression. </w:t>
      </w:r>
      <w:r>
        <w:rPr>
          <w:rFonts w:eastAsia="Times New Roman" w:cs="Times New Roman"/>
          <w:sz w:val="20"/>
          <w:szCs w:val="20"/>
        </w:rPr>
        <w:t>ed. Tithi Bhattacharya. London: Pluto Press. 23.</w:t>
      </w:r>
    </w:p>
  </w:footnote>
  <w:footnote w:id="39">
    <w:p>
      <w:pPr>
        <w:pStyle w:val="FootnoteText"/>
        <w:rPr>
          <w:rFonts w:ascii="Liberation Serif" w:hAnsi="Liberation Serif"/>
        </w:rPr>
      </w:pPr>
      <w:r>
        <w:rPr>
          <w:rStyle w:val="FootnoteCharacters"/>
        </w:rPr>
        <w:footnoteRef/>
      </w:r>
      <w:bookmarkStart w:id="10" w:name="_1t3h5sf_Copy_1"/>
      <w:bookmarkEnd w:id="10"/>
      <w:r>
        <w:rPr>
          <w:rFonts w:eastAsia="Times New Roman" w:cs="Times New Roman"/>
          <w:sz w:val="20"/>
          <w:szCs w:val="20"/>
        </w:rPr>
        <w:t xml:space="preserve">Kathleen Stanley and Joan Smith. 1992. “The Detroit Story: the crucible of Fordism,” in </w:t>
      </w:r>
      <w:r>
        <w:rPr>
          <w:rFonts w:eastAsia="Times New Roman" w:cs="Times New Roman"/>
          <w:i/>
          <w:sz w:val="20"/>
          <w:szCs w:val="20"/>
        </w:rPr>
        <w:t>Creating and Transforming Households: the constraints of the world-economy</w:t>
      </w:r>
      <w:r>
        <w:rPr>
          <w:rFonts w:eastAsia="Times New Roman" w:cs="Times New Roman"/>
          <w:sz w:val="20"/>
          <w:szCs w:val="20"/>
        </w:rPr>
        <w:t>, eds. Joan Smith and Immanuel Wallerstein. Cambridge University Press. 36.</w:t>
      </w:r>
    </w:p>
  </w:footnote>
  <w:footnote w:id="40">
    <w:p>
      <w:pPr>
        <w:pStyle w:val="FootnoteText"/>
        <w:rPr/>
      </w:pPr>
      <w:r>
        <w:rPr>
          <w:rStyle w:val="FootnoteCharacters"/>
        </w:rPr>
        <w:footnoteRef/>
      </w:r>
      <w:r>
        <w:rPr/>
        <w:t>Stanley and Smith, “The Detroit Story,” 37.</w:t>
      </w:r>
    </w:p>
  </w:footnote>
  <w:footnote w:id="41">
    <w:p>
      <w:pPr>
        <w:pStyle w:val="FootnoteText"/>
        <w:rPr/>
      </w:pPr>
      <w:r>
        <w:rPr>
          <w:rStyle w:val="FootnoteCharacters"/>
        </w:rPr>
        <w:footnoteRef/>
      </w:r>
      <w:r>
        <w:rPr/>
        <w:t>Stanley and Smith, “The Detroit Story,” 38.</w:t>
      </w:r>
    </w:p>
  </w:footnote>
  <w:footnote w:id="42">
    <w:p>
      <w:pPr>
        <w:pStyle w:val="FootnoteText"/>
        <w:rPr/>
      </w:pPr>
      <w:r>
        <w:rPr>
          <w:rStyle w:val="FootnoteCharacters"/>
        </w:rPr>
        <w:footnoteRef/>
      </w:r>
      <w:r>
        <w:rPr/>
        <w:t>Stanley and Smith, “The Detroit Story,” 39.</w:t>
      </w:r>
    </w:p>
  </w:footnote>
  <w:footnote w:id="43">
    <w:p>
      <w:pPr>
        <w:pStyle w:val="FootnoteText"/>
        <w:rPr/>
      </w:pPr>
      <w:r>
        <w:rPr>
          <w:rStyle w:val="FootnoteCharacters"/>
        </w:rPr>
        <w:footnoteRef/>
      </w:r>
      <w:r>
        <w:rPr/>
        <w:t>Stanley and Smith, “The Detroit Story,” 38.</w:t>
      </w:r>
    </w:p>
  </w:footnote>
  <w:footnote w:id="44">
    <w:p>
      <w:pPr>
        <w:pStyle w:val="FootnoteText"/>
        <w:rPr/>
      </w:pPr>
      <w:r>
        <w:rPr>
          <w:rStyle w:val="FootnoteCharacters"/>
        </w:rPr>
        <w:footnoteRef/>
      </w:r>
      <w:r>
        <w:rPr/>
        <w:t>Stanley and Smith, “The Detroit Story,” 34.</w:t>
      </w:r>
    </w:p>
  </w:footnote>
  <w:footnote w:id="45">
    <w:p>
      <w:pPr>
        <w:pStyle w:val="FootnoteText"/>
        <w:rPr>
          <w:rFonts w:ascii="Liberation Serif" w:hAnsi="Liberation Serif"/>
        </w:rPr>
      </w:pPr>
      <w:r>
        <w:rPr>
          <w:rStyle w:val="FootnoteCharacters"/>
        </w:rPr>
        <w:footnoteRef/>
      </w:r>
      <w:r>
        <w:rPr>
          <w:rFonts w:eastAsia="Times New Roman" w:cs="Times New Roman"/>
          <w:sz w:val="20"/>
          <w:szCs w:val="20"/>
        </w:rPr>
        <w:t xml:space="preserve">US Census Bureau. </w:t>
      </w:r>
      <w:r>
        <w:rPr>
          <w:rFonts w:eastAsia="Times New Roman" w:cs="Times New Roman"/>
          <w:i/>
          <w:sz w:val="20"/>
          <w:szCs w:val="20"/>
        </w:rPr>
        <w:t xml:space="preserve">Michigan. </w:t>
      </w:r>
      <w:r>
        <w:rPr>
          <w:rFonts w:eastAsia="Times New Roman" w:cs="Times New Roman"/>
          <w:sz w:val="20"/>
          <w:szCs w:val="20"/>
        </w:rPr>
        <w:t>1940</w:t>
      </w:r>
    </w:p>
  </w:footnote>
  <w:footnote w:id="46">
    <w:p>
      <w:pPr>
        <w:pStyle w:val="FootnoteText"/>
        <w:rPr>
          <w:rFonts w:ascii="Liberation Serif" w:hAnsi="Liberation Serif"/>
        </w:rPr>
      </w:pPr>
      <w:r>
        <w:rPr>
          <w:rStyle w:val="FootnoteCharacters"/>
        </w:rPr>
        <w:footnoteRef/>
      </w:r>
      <w:r>
        <w:rPr>
          <w:rFonts w:eastAsia="Times New Roman" w:cs="Times New Roman"/>
          <w:sz w:val="20"/>
          <w:szCs w:val="20"/>
        </w:rPr>
        <w:t xml:space="preserve">US Census Bureau. </w:t>
      </w:r>
      <w:r>
        <w:rPr>
          <w:rFonts w:eastAsia="Times New Roman" w:cs="Times New Roman"/>
          <w:i/>
          <w:sz w:val="20"/>
          <w:szCs w:val="20"/>
        </w:rPr>
        <w:t>Michigan</w:t>
      </w:r>
      <w:r>
        <w:rPr>
          <w:rFonts w:eastAsia="Times New Roman" w:cs="Times New Roman"/>
          <w:sz w:val="20"/>
          <w:szCs w:val="20"/>
        </w:rPr>
        <w:t>. 1930</w:t>
      </w:r>
    </w:p>
  </w:footnote>
  <w:footnote w:id="47">
    <w:p>
      <w:pPr>
        <w:pStyle w:val="FootnoteText"/>
        <w:rPr>
          <w:rFonts w:ascii="Liberation Serif" w:hAnsi="Liberation Serif"/>
        </w:rPr>
      </w:pPr>
      <w:r>
        <w:rPr>
          <w:rStyle w:val="FootnoteCharacters"/>
        </w:rPr>
        <w:footnoteRef/>
      </w:r>
      <w:r>
        <w:rPr>
          <w:rFonts w:eastAsia="Times New Roman" w:cs="Times New Roman"/>
          <w:sz w:val="20"/>
          <w:szCs w:val="20"/>
        </w:rPr>
        <w:t xml:space="preserve">Wallerstein, Immanuel. 2004. </w:t>
      </w:r>
      <w:r>
        <w:rPr>
          <w:rFonts w:eastAsia="Times New Roman" w:cs="Times New Roman"/>
          <w:i/>
          <w:sz w:val="20"/>
          <w:szCs w:val="20"/>
        </w:rPr>
        <w:t>World-Systems Analysis: An Introduction</w:t>
      </w:r>
      <w:r>
        <w:rPr>
          <w:rFonts w:eastAsia="Times New Roman" w:cs="Times New Roman"/>
          <w:sz w:val="20"/>
          <w:szCs w:val="20"/>
        </w:rPr>
        <w:t>. Durham: Duke University Press. 60</w:t>
      </w:r>
    </w:p>
  </w:footnote>
  <w:footnote w:id="48">
    <w:p>
      <w:pPr>
        <w:pStyle w:val="FootnoteText"/>
        <w:rPr>
          <w:rFonts w:ascii="Liberation Serif" w:hAnsi="Liberation Serif"/>
        </w:rPr>
      </w:pPr>
      <w:r>
        <w:rPr>
          <w:rStyle w:val="FootnoteCharacters"/>
        </w:rPr>
        <w:footnoteRef/>
      </w:r>
      <w:r>
        <w:rPr>
          <w:rFonts w:eastAsia="Times New Roman" w:cs="Times New Roman"/>
          <w:sz w:val="20"/>
          <w:szCs w:val="20"/>
        </w:rPr>
        <w:t xml:space="preserve">Andre Gunder Frank. 1966. “The Development of Underdevelopment.” </w:t>
      </w:r>
      <w:r>
        <w:rPr>
          <w:rFonts w:eastAsia="Times New Roman" w:cs="Times New Roman"/>
          <w:i/>
          <w:sz w:val="20"/>
          <w:szCs w:val="20"/>
        </w:rPr>
        <w:t>Monthly Review</w:t>
      </w:r>
      <w:r>
        <w:rPr>
          <w:rFonts w:eastAsia="Times New Roman" w:cs="Times New Roman"/>
          <w:sz w:val="20"/>
          <w:szCs w:val="20"/>
        </w:rPr>
        <w:t>. 18:4. 17-31.</w:t>
      </w:r>
    </w:p>
  </w:footnote>
  <w:footnote w:id="49">
    <w:p>
      <w:pPr>
        <w:pStyle w:val="FootnoteText"/>
        <w:rPr/>
      </w:pPr>
      <w:r>
        <w:rPr>
          <w:rStyle w:val="FootnoteCharacters"/>
        </w:rPr>
        <w:footnoteRef/>
      </w:r>
      <w:r>
        <w:rPr/>
        <w:t>Frank. “The Development of Underdevelopment.” 21.</w:t>
      </w:r>
    </w:p>
  </w:footnote>
  <w:footnote w:id="50">
    <w:p>
      <w:pPr>
        <w:pStyle w:val="FootnoteText"/>
        <w:rPr>
          <w:rFonts w:ascii="Liberation Serif" w:hAnsi="Liberation Serif"/>
        </w:rPr>
      </w:pPr>
      <w:r>
        <w:rPr>
          <w:rStyle w:val="FootnoteCharacters"/>
        </w:rPr>
        <w:footnoteRef/>
      </w:r>
      <w:r>
        <w:rPr>
          <w:rFonts w:eastAsia="Times New Roman" w:cs="Times New Roman"/>
          <w:sz w:val="20"/>
          <w:szCs w:val="20"/>
        </w:rPr>
        <w:t xml:space="preserve">Amin, Samir. 1971. </w:t>
      </w:r>
      <w:r>
        <w:rPr>
          <w:rFonts w:eastAsia="Times New Roman" w:cs="Times New Roman"/>
          <w:i/>
          <w:sz w:val="20"/>
          <w:szCs w:val="20"/>
        </w:rPr>
        <w:t>Accumulation on a World Scale</w:t>
      </w:r>
      <w:r>
        <w:rPr>
          <w:rFonts w:eastAsia="Times New Roman" w:cs="Times New Roman"/>
          <w:sz w:val="20"/>
          <w:szCs w:val="20"/>
        </w:rPr>
        <w:t>. Monthly Review Press. 13</w:t>
      </w:r>
    </w:p>
  </w:footnote>
  <w:footnote w:id="51">
    <w:p>
      <w:pPr>
        <w:pStyle w:val="FootnoteText"/>
        <w:rPr>
          <w:rFonts w:ascii="Liberation Serif" w:hAnsi="Liberation Serif"/>
        </w:rPr>
      </w:pPr>
      <w:r>
        <w:rPr>
          <w:rStyle w:val="FootnoteCharacters"/>
        </w:rPr>
        <w:footnoteRef/>
      </w:r>
      <w:r>
        <w:rPr>
          <w:rFonts w:eastAsia="Times New Roman" w:cs="Times New Roman"/>
          <w:sz w:val="20"/>
          <w:szCs w:val="20"/>
        </w:rPr>
        <w:t xml:space="preserve">Amin, </w:t>
      </w:r>
      <w:r>
        <w:rPr>
          <w:rFonts w:eastAsia="Times New Roman" w:cs="Times New Roman"/>
          <w:i/>
          <w:sz w:val="20"/>
          <w:szCs w:val="20"/>
        </w:rPr>
        <w:t>Accumulation,</w:t>
      </w:r>
      <w:r>
        <w:rPr>
          <w:rFonts w:eastAsia="Times New Roman" w:cs="Times New Roman"/>
          <w:sz w:val="20"/>
          <w:szCs w:val="20"/>
        </w:rPr>
        <w:t xml:space="preserve"> 18</w:t>
      </w:r>
    </w:p>
  </w:footnote>
  <w:footnote w:id="52">
    <w:p>
      <w:pPr>
        <w:pStyle w:val="FootnoteText"/>
        <w:rPr>
          <w:rFonts w:ascii="Liberation Serif" w:hAnsi="Liberation Serif"/>
        </w:rPr>
      </w:pPr>
      <w:r>
        <w:rPr>
          <w:rStyle w:val="FootnoteCharacters"/>
        </w:rPr>
        <w:footnoteRef/>
      </w:r>
      <w:r>
        <w:rPr>
          <w:rFonts w:eastAsia="Times New Roman" w:cs="Times New Roman"/>
          <w:sz w:val="20"/>
          <w:szCs w:val="20"/>
        </w:rPr>
        <w:t xml:space="preserve">Amin, </w:t>
      </w:r>
      <w:r>
        <w:rPr>
          <w:rFonts w:eastAsia="Times New Roman" w:cs="Times New Roman"/>
          <w:i/>
          <w:sz w:val="20"/>
          <w:szCs w:val="20"/>
        </w:rPr>
        <w:t xml:space="preserve">Accumulation, </w:t>
      </w:r>
      <w:r>
        <w:rPr>
          <w:rFonts w:eastAsia="Times New Roman" w:cs="Times New Roman"/>
          <w:sz w:val="20"/>
          <w:szCs w:val="20"/>
        </w:rPr>
        <w:t>16</w:t>
      </w:r>
    </w:p>
  </w:footnote>
  <w:footnote w:id="53">
    <w:p>
      <w:pPr>
        <w:pStyle w:val="FootnoteText"/>
        <w:rPr>
          <w:rFonts w:ascii="Liberation Serif" w:hAnsi="Liberation Serif"/>
        </w:rPr>
      </w:pPr>
      <w:r>
        <w:rPr>
          <w:rStyle w:val="FootnoteCharacters"/>
        </w:rPr>
        <w:footnoteRef/>
      </w:r>
      <w:r>
        <w:rPr>
          <w:rFonts w:eastAsia="Times New Roman" w:cs="Times New Roman"/>
          <w:sz w:val="20"/>
          <w:szCs w:val="20"/>
        </w:rPr>
        <w:t xml:space="preserve">Amin, </w:t>
      </w:r>
      <w:r>
        <w:rPr>
          <w:rFonts w:eastAsia="Times New Roman" w:cs="Times New Roman"/>
          <w:i/>
          <w:sz w:val="20"/>
          <w:szCs w:val="20"/>
        </w:rPr>
        <w:t xml:space="preserve">Accumulation, </w:t>
      </w:r>
      <w:r>
        <w:rPr>
          <w:rFonts w:eastAsia="Times New Roman" w:cs="Times New Roman"/>
          <w:sz w:val="20"/>
          <w:szCs w:val="20"/>
        </w:rPr>
        <w:t>16</w:t>
      </w:r>
    </w:p>
  </w:footnote>
  <w:footnote w:id="54">
    <w:p>
      <w:pPr>
        <w:pStyle w:val="FootnoteText"/>
        <w:rPr>
          <w:rFonts w:ascii="Liberation Serif" w:hAnsi="Liberation Serif"/>
        </w:rPr>
      </w:pPr>
      <w:r>
        <w:rPr>
          <w:rStyle w:val="FootnoteCharacters"/>
        </w:rPr>
        <w:footnoteRef/>
      </w:r>
      <w:r>
        <w:rPr>
          <w:rFonts w:eastAsia="Times New Roman" w:cs="Times New Roman"/>
          <w:sz w:val="20"/>
          <w:szCs w:val="20"/>
        </w:rPr>
        <w:t xml:space="preserve">Hopkins, Terence K., Immanuel Wallerstein. 1977. “Patterns of Development of the Modern World-System.” </w:t>
      </w:r>
      <w:r>
        <w:rPr>
          <w:rFonts w:eastAsia="Times New Roman" w:cs="Times New Roman"/>
          <w:i/>
          <w:sz w:val="20"/>
          <w:szCs w:val="20"/>
        </w:rPr>
        <w:t>Review (Fernand Braudel Center).</w:t>
      </w:r>
      <w:r>
        <w:rPr>
          <w:rFonts w:eastAsia="Times New Roman" w:cs="Times New Roman"/>
          <w:sz w:val="20"/>
          <w:szCs w:val="20"/>
        </w:rPr>
        <w:t xml:space="preserve"> 111</w:t>
      </w:r>
    </w:p>
  </w:footnote>
  <w:footnote w:id="55">
    <w:p>
      <w:pPr>
        <w:pStyle w:val="FootnoteText"/>
        <w:rPr/>
      </w:pPr>
      <w:r>
        <w:rPr>
          <w:rStyle w:val="FootnoteCharacters"/>
        </w:rPr>
        <w:footnoteRef/>
      </w:r>
      <w:r>
        <w:rPr/>
        <w:t>Hopkins, Wallerstein, 1977, 112</w:t>
      </w:r>
    </w:p>
  </w:footnote>
  <w:footnote w:id="56">
    <w:p>
      <w:pPr>
        <w:pStyle w:val="FootnoteText"/>
        <w:rPr>
          <w:rFonts w:ascii="Liberation Serif" w:hAnsi="Liberation Serif"/>
        </w:rPr>
      </w:pPr>
      <w:r>
        <w:rPr>
          <w:rStyle w:val="FootnoteCharacters"/>
        </w:rPr>
        <w:footnoteRef/>
      </w:r>
      <w:r>
        <w:rPr>
          <w:rFonts w:eastAsia="Times New Roman" w:cs="Times New Roman"/>
          <w:sz w:val="20"/>
          <w:szCs w:val="20"/>
        </w:rPr>
        <w:t xml:space="preserve">Bunker, Stephen G., and Paul S. Ciccantell. 2005. </w:t>
      </w:r>
      <w:r>
        <w:rPr>
          <w:rFonts w:eastAsia="Times New Roman" w:cs="Times New Roman"/>
          <w:i/>
          <w:sz w:val="20"/>
          <w:szCs w:val="20"/>
        </w:rPr>
        <w:t>Globalization and the Race for Resources</w:t>
      </w:r>
      <w:r>
        <w:rPr>
          <w:rFonts w:eastAsia="Times New Roman" w:cs="Times New Roman"/>
          <w:sz w:val="20"/>
          <w:szCs w:val="20"/>
        </w:rPr>
        <w:t>. Baltimore: Johns Hopkins University Press. 19</w:t>
      </w:r>
    </w:p>
  </w:footnote>
  <w:footnote w:id="57">
    <w:p>
      <w:pPr>
        <w:pStyle w:val="FootnoteText"/>
        <w:rPr>
          <w:rFonts w:ascii="Liberation Serif" w:hAnsi="Liberation Serif"/>
        </w:rPr>
      </w:pPr>
      <w:r>
        <w:rPr>
          <w:rStyle w:val="FootnoteCharacters"/>
        </w:rPr>
        <w:footnoteRef/>
      </w:r>
      <w:r>
        <w:rPr>
          <w:rFonts w:eastAsia="Times New Roman" w:cs="Times New Roman"/>
          <w:sz w:val="20"/>
          <w:szCs w:val="20"/>
        </w:rPr>
        <w:t xml:space="preserve">Smith, David A., Paul S. Ciccantell, and Elizabeth A. Sowers. 2023. “Reconstructing Commodity Chain Analysis as World-Systems Analysis,” in </w:t>
      </w:r>
      <w:r>
        <w:rPr>
          <w:rFonts w:eastAsia="Times New Roman" w:cs="Times New Roman"/>
          <w:i/>
          <w:sz w:val="20"/>
          <w:szCs w:val="20"/>
        </w:rPr>
        <w:t>World-Systems Analysis at a Critical Juncture</w:t>
      </w:r>
      <w:r>
        <w:rPr>
          <w:rFonts w:eastAsia="Times New Roman" w:cs="Times New Roman"/>
          <w:sz w:val="20"/>
          <w:szCs w:val="20"/>
        </w:rPr>
        <w:t>, eds. Corey R. Payne, Roberto Patricio Korzeniewicz, and Beverly J. Silver, New York: Routledge. 62</w:t>
      </w:r>
    </w:p>
  </w:footnote>
  <w:footnote w:id="58">
    <w:p>
      <w:pPr>
        <w:pStyle w:val="FootnoteText"/>
        <w:rPr>
          <w:rFonts w:ascii="Liberation Serif" w:hAnsi="Liberation Serif"/>
        </w:rPr>
      </w:pPr>
      <w:r>
        <w:rPr>
          <w:rStyle w:val="FootnoteCharacters"/>
        </w:rPr>
        <w:footnoteRef/>
      </w:r>
      <w:r>
        <w:rPr/>
        <w:t>Smith et al, “Reconstructing Commodity Chain Analysis,” 62</w:t>
      </w:r>
    </w:p>
  </w:footnote>
  <w:footnote w:id="59">
    <w:p>
      <w:pPr>
        <w:pStyle w:val="FootnoteText"/>
        <w:rPr>
          <w:rFonts w:ascii="Liberation Serif" w:hAnsi="Liberation Serif"/>
        </w:rPr>
      </w:pPr>
      <w:r>
        <w:rPr>
          <w:rStyle w:val="FootnoteCharacters"/>
        </w:rPr>
        <w:footnoteRef/>
      </w:r>
      <w:r>
        <w:rPr>
          <w:rFonts w:eastAsia="Times New Roman" w:cs="Times New Roman"/>
          <w:sz w:val="20"/>
          <w:szCs w:val="20"/>
        </w:rPr>
        <w:t xml:space="preserve">Grandin, Greg. 2013. “Empire’s Ruins: Detroit to the Amazon.” in </w:t>
      </w:r>
      <w:r>
        <w:rPr>
          <w:rFonts w:eastAsia="Times New Roman" w:cs="Times New Roman"/>
          <w:i/>
          <w:sz w:val="20"/>
          <w:szCs w:val="20"/>
        </w:rPr>
        <w:t>Imperial Debris</w:t>
      </w:r>
      <w:r>
        <w:rPr>
          <w:rFonts w:eastAsia="Times New Roman" w:cs="Times New Roman"/>
          <w:sz w:val="20"/>
          <w:szCs w:val="20"/>
        </w:rPr>
        <w:t>, ed. Ann Laura Stoler. Durham: Duke University Press. 118</w:t>
      </w:r>
    </w:p>
  </w:footnote>
  <w:footnote w:id="60">
    <w:p>
      <w:pPr>
        <w:pStyle w:val="FootnoteText"/>
        <w:rPr>
          <w:rFonts w:ascii="Liberation Serif" w:hAnsi="Liberation Serif"/>
        </w:rPr>
      </w:pPr>
      <w:r>
        <w:rPr>
          <w:rStyle w:val="FootnoteCharacters"/>
        </w:rPr>
        <w:footnoteRef/>
      </w:r>
      <w:r>
        <w:rPr>
          <w:rFonts w:eastAsia="Times New Roman" w:cs="Times New Roman"/>
          <w:sz w:val="20"/>
          <w:szCs w:val="20"/>
        </w:rPr>
        <w:t xml:space="preserve">Coates, Austin. 1987. </w:t>
      </w:r>
      <w:r>
        <w:rPr>
          <w:rFonts w:eastAsia="Times New Roman" w:cs="Times New Roman"/>
          <w:i/>
          <w:sz w:val="20"/>
          <w:szCs w:val="20"/>
        </w:rPr>
        <w:t>Commerce in Rubber: The First 250 Years</w:t>
      </w:r>
      <w:r>
        <w:rPr>
          <w:rFonts w:eastAsia="Times New Roman" w:cs="Times New Roman"/>
          <w:sz w:val="20"/>
          <w:szCs w:val="20"/>
        </w:rPr>
        <w:t>. Oxford: Oxford University Press. 49</w:t>
      </w:r>
    </w:p>
  </w:footnote>
  <w:footnote w:id="61">
    <w:p>
      <w:pPr>
        <w:pStyle w:val="FootnoteText"/>
        <w:rPr>
          <w:rFonts w:ascii="Liberation Serif" w:hAnsi="Liberation Serif"/>
        </w:rPr>
      </w:pPr>
      <w:r>
        <w:rPr>
          <w:rStyle w:val="FootnoteCharacters"/>
        </w:rPr>
        <w:footnoteRef/>
      </w:r>
      <w:r>
        <w:rPr>
          <w:rFonts w:eastAsia="Times New Roman" w:cs="Times New Roman"/>
          <w:sz w:val="20"/>
          <w:szCs w:val="20"/>
        </w:rPr>
        <w:t xml:space="preserve">Coates, </w:t>
      </w:r>
      <w:r>
        <w:rPr>
          <w:rFonts w:eastAsia="Times New Roman" w:cs="Times New Roman"/>
          <w:i/>
          <w:sz w:val="20"/>
          <w:szCs w:val="20"/>
        </w:rPr>
        <w:t>Commerce in Rubber</w:t>
      </w:r>
      <w:r>
        <w:rPr>
          <w:rFonts w:eastAsia="Times New Roman" w:cs="Times New Roman"/>
          <w:sz w:val="20"/>
          <w:szCs w:val="20"/>
        </w:rPr>
        <w:t>, 134</w:t>
      </w:r>
    </w:p>
  </w:footnote>
  <w:footnote w:id="62">
    <w:p>
      <w:pPr>
        <w:pStyle w:val="FootnoteText"/>
        <w:rPr>
          <w:rFonts w:ascii="Liberation Serif" w:hAnsi="Liberation Serif"/>
        </w:rPr>
      </w:pPr>
      <w:r>
        <w:rPr>
          <w:rStyle w:val="FootnoteCharacters"/>
        </w:rPr>
        <w:footnoteRef/>
      </w:r>
      <w:r>
        <w:rPr>
          <w:rFonts w:eastAsia="Times New Roman" w:cs="Times New Roman"/>
          <w:sz w:val="20"/>
          <w:szCs w:val="20"/>
        </w:rPr>
        <w:t xml:space="preserve">Bunker and Ciccantell, </w:t>
      </w:r>
      <w:r>
        <w:rPr>
          <w:rFonts w:eastAsia="Times New Roman" w:cs="Times New Roman"/>
          <w:i/>
          <w:sz w:val="20"/>
          <w:szCs w:val="20"/>
        </w:rPr>
        <w:t>Globalization</w:t>
      </w:r>
      <w:r>
        <w:rPr>
          <w:rFonts w:eastAsia="Times New Roman" w:cs="Times New Roman"/>
          <w:sz w:val="20"/>
          <w:szCs w:val="20"/>
        </w:rPr>
        <w:t>, 39</w:t>
      </w:r>
    </w:p>
  </w:footnote>
  <w:footnote w:id="63">
    <w:p>
      <w:pPr>
        <w:pStyle w:val="FootnoteText"/>
        <w:rPr>
          <w:rFonts w:ascii="Liberation Serif" w:hAnsi="Liberation Serif"/>
        </w:rPr>
      </w:pPr>
      <w:r>
        <w:rPr>
          <w:rStyle w:val="FootnoteCharacters"/>
        </w:rPr>
        <w:footnoteRef/>
      </w:r>
      <w:r>
        <w:rPr>
          <w:rFonts w:eastAsia="Times New Roman" w:cs="Times New Roman"/>
          <w:sz w:val="20"/>
          <w:szCs w:val="20"/>
        </w:rPr>
        <w:t xml:space="preserve">Coates, </w:t>
      </w:r>
      <w:r>
        <w:rPr>
          <w:rFonts w:eastAsia="Times New Roman" w:cs="Times New Roman"/>
          <w:i/>
          <w:sz w:val="20"/>
          <w:szCs w:val="20"/>
        </w:rPr>
        <w:t>Commerce in Rubber</w:t>
      </w:r>
      <w:r>
        <w:rPr>
          <w:rFonts w:eastAsia="Times New Roman" w:cs="Times New Roman"/>
          <w:sz w:val="20"/>
          <w:szCs w:val="20"/>
        </w:rPr>
        <w:t>, 115</w:t>
      </w:r>
    </w:p>
  </w:footnote>
  <w:footnote w:id="64">
    <w:p>
      <w:pPr>
        <w:pStyle w:val="FootnoteText"/>
        <w:rPr>
          <w:rFonts w:ascii="Liberation Serif" w:hAnsi="Liberation Serif"/>
        </w:rPr>
      </w:pPr>
      <w:r>
        <w:rPr>
          <w:rStyle w:val="FootnoteCharacters"/>
        </w:rPr>
        <w:footnoteRef/>
      </w:r>
      <w:r>
        <w:rPr>
          <w:rFonts w:eastAsia="Times New Roman" w:cs="Times New Roman"/>
          <w:sz w:val="20"/>
          <w:szCs w:val="20"/>
        </w:rPr>
        <w:t xml:space="preserve">Coates, </w:t>
      </w:r>
      <w:r>
        <w:rPr>
          <w:rFonts w:eastAsia="Times New Roman" w:cs="Times New Roman"/>
          <w:i/>
          <w:sz w:val="20"/>
          <w:szCs w:val="20"/>
        </w:rPr>
        <w:t>Commerce in Rubber</w:t>
      </w:r>
      <w:r>
        <w:rPr>
          <w:rFonts w:eastAsia="Times New Roman" w:cs="Times New Roman"/>
          <w:sz w:val="20"/>
          <w:szCs w:val="20"/>
        </w:rPr>
        <w:t>, 94</w:t>
      </w:r>
    </w:p>
  </w:footnote>
  <w:footnote w:id="65">
    <w:p>
      <w:pPr>
        <w:pStyle w:val="FootnoteText"/>
        <w:rPr>
          <w:rFonts w:ascii="Liberation Serif" w:hAnsi="Liberation Serif"/>
        </w:rPr>
      </w:pPr>
      <w:r>
        <w:rPr>
          <w:rStyle w:val="FootnoteCharacters"/>
        </w:rPr>
        <w:footnoteRef/>
      </w:r>
      <w:r>
        <w:rPr>
          <w:rFonts w:eastAsia="Times New Roman" w:cs="Times New Roman"/>
          <w:sz w:val="20"/>
          <w:szCs w:val="20"/>
        </w:rPr>
        <w:t xml:space="preserve">Coomes, Oliver T. and Bradford L. Barham. 1994. “The Amazon Rubber Boom: Labor Control, Resistance, and Failed Plantation Development Revisited.” </w:t>
      </w:r>
      <w:r>
        <w:rPr>
          <w:rFonts w:eastAsia="Times New Roman" w:cs="Times New Roman"/>
          <w:i/>
          <w:sz w:val="20"/>
          <w:szCs w:val="20"/>
        </w:rPr>
        <w:t>Hispanic American Historical Review.</w:t>
      </w:r>
      <w:r>
        <w:rPr>
          <w:rFonts w:eastAsia="Times New Roman" w:cs="Times New Roman"/>
          <w:sz w:val="20"/>
          <w:szCs w:val="20"/>
        </w:rPr>
        <w:t xml:space="preserve"> Vol 74:2</w:t>
      </w:r>
    </w:p>
  </w:footnote>
  <w:footnote w:id="66">
    <w:p>
      <w:pPr>
        <w:pStyle w:val="FootnoteText"/>
        <w:rPr/>
      </w:pPr>
      <w:r>
        <w:rPr>
          <w:rStyle w:val="FootnoteCharacters"/>
        </w:rPr>
        <w:footnoteRef/>
      </w:r>
      <w:r>
        <w:rPr/>
        <w:t>Coomes and Barham. “The Amazon Rubber Boom”</w:t>
      </w:r>
    </w:p>
  </w:footnote>
  <w:footnote w:id="67">
    <w:p>
      <w:pPr>
        <w:pStyle w:val="FootnoteText"/>
        <w:rPr>
          <w:rFonts w:ascii="Liberation Serif" w:hAnsi="Liberation Serif"/>
        </w:rPr>
      </w:pPr>
      <w:r>
        <w:rPr>
          <w:rStyle w:val="FootnoteCharacters"/>
        </w:rPr>
        <w:footnoteRef/>
      </w:r>
      <w:r>
        <w:rPr>
          <w:rFonts w:eastAsia="Times New Roman" w:cs="Times New Roman"/>
          <w:sz w:val="20"/>
          <w:szCs w:val="20"/>
        </w:rPr>
        <w:t xml:space="preserve">Coates, </w:t>
      </w:r>
      <w:r>
        <w:rPr>
          <w:rFonts w:eastAsia="Times New Roman" w:cs="Times New Roman"/>
          <w:i/>
          <w:sz w:val="20"/>
          <w:szCs w:val="20"/>
        </w:rPr>
        <w:t>Commerce in Rubber</w:t>
      </w:r>
      <w:r>
        <w:rPr>
          <w:rFonts w:eastAsia="Times New Roman" w:cs="Times New Roman"/>
          <w:sz w:val="20"/>
          <w:szCs w:val="20"/>
        </w:rPr>
        <w:t>, 162</w:t>
      </w:r>
    </w:p>
  </w:footnote>
  <w:footnote w:id="68">
    <w:p>
      <w:pPr>
        <w:pStyle w:val="FootnoteText"/>
        <w:rPr/>
      </w:pPr>
      <w:r>
        <w:rPr>
          <w:rStyle w:val="FootnoteCharacters"/>
        </w:rPr>
        <w:footnoteRef/>
      </w:r>
      <w:r>
        <w:rPr/>
        <w:t>Coomes and Barham, “The Amazon Rubber Boom”. 242</w:t>
      </w:r>
    </w:p>
  </w:footnote>
  <w:footnote w:id="69">
    <w:p>
      <w:pPr>
        <w:pStyle w:val="FootnoteText"/>
        <w:rPr>
          <w:rFonts w:ascii="Liberation Serif" w:hAnsi="Liberation Serif"/>
        </w:rPr>
      </w:pPr>
      <w:r>
        <w:rPr>
          <w:rStyle w:val="FootnoteCharacters"/>
        </w:rPr>
        <w:footnoteRef/>
      </w:r>
      <w:r>
        <w:rPr>
          <w:rFonts w:eastAsia="Times New Roman" w:cs="Times New Roman"/>
          <w:sz w:val="20"/>
          <w:szCs w:val="20"/>
        </w:rPr>
        <w:t xml:space="preserve">de Mello, Louise Cardoso and Sven Van Melkebeke. 2019. “From the Amazon to the Congo Valley,” in </w:t>
      </w:r>
      <w:r>
        <w:rPr>
          <w:rFonts w:eastAsia="Times New Roman" w:cs="Times New Roman"/>
          <w:i/>
          <w:sz w:val="20"/>
          <w:szCs w:val="20"/>
        </w:rPr>
        <w:t>Commodity Frontiers and Global Capitalist Expansion.</w:t>
      </w:r>
      <w:r>
        <w:rPr>
          <w:rFonts w:eastAsia="Times New Roman" w:cs="Times New Roman"/>
          <w:sz w:val="20"/>
          <w:szCs w:val="20"/>
        </w:rPr>
        <w:t xml:space="preserve"> Ed. Sabrina Joseph. Palgrave MacMillan. 148</w:t>
      </w:r>
    </w:p>
  </w:footnote>
  <w:footnote w:id="70">
    <w:p>
      <w:pPr>
        <w:pStyle w:val="FootnoteText"/>
        <w:rPr/>
      </w:pPr>
      <w:r>
        <w:rPr>
          <w:rStyle w:val="FootnoteCharacters"/>
        </w:rPr>
        <w:footnoteRef/>
      </w:r>
      <w:r>
        <w:rPr/>
        <w:t>de Mello and Melkebeke, “From the Amazon to the Congo Valley,” 143</w:t>
      </w:r>
    </w:p>
  </w:footnote>
  <w:footnote w:id="71">
    <w:p>
      <w:pPr>
        <w:pStyle w:val="FootnoteText"/>
        <w:rPr/>
      </w:pPr>
      <w:r>
        <w:rPr>
          <w:rStyle w:val="FootnoteCharacters"/>
        </w:rPr>
        <w:footnoteRef/>
      </w:r>
      <w:r>
        <w:rPr/>
        <w:t>de Mello and Melkebeke, “From the Amazon to the Congo Valley,” 147</w:t>
      </w:r>
    </w:p>
  </w:footnote>
  <w:footnote w:id="72">
    <w:p>
      <w:pPr>
        <w:pStyle w:val="FootnoteText"/>
        <w:rPr/>
      </w:pPr>
      <w:r>
        <w:rPr>
          <w:rStyle w:val="FootnoteCharacters"/>
        </w:rPr>
        <w:footnoteRef/>
      </w:r>
      <w:r>
        <w:rPr/>
        <w:t>de Mello and Melkebeke, “From the Amazon to the Congo Valley,” 152,3</w:t>
      </w:r>
    </w:p>
  </w:footnote>
  <w:footnote w:id="73">
    <w:p>
      <w:pPr>
        <w:pStyle w:val="FootnoteText"/>
        <w:rPr/>
      </w:pPr>
      <w:r>
        <w:rPr>
          <w:rStyle w:val="FootnoteCharacters"/>
        </w:rPr>
        <w:footnoteRef/>
      </w:r>
      <w:r>
        <w:rPr/>
        <w:t xml:space="preserve">de Mello and Melkebeke, “From the Amazon to the Congo Valley,” 153 </w:t>
      </w:r>
    </w:p>
  </w:footnote>
  <w:footnote w:id="74">
    <w:p>
      <w:pPr>
        <w:pStyle w:val="FootnoteText"/>
        <w:rPr>
          <w:rFonts w:ascii="Liberation Serif" w:hAnsi="Liberation Serif"/>
        </w:rPr>
      </w:pPr>
      <w:r>
        <w:rPr>
          <w:rStyle w:val="FootnoteCharacters"/>
        </w:rPr>
        <w:footnoteRef/>
      </w:r>
      <w:r>
        <w:rPr>
          <w:rFonts w:eastAsia="Times New Roman" w:cs="Times New Roman"/>
          <w:sz w:val="20"/>
          <w:szCs w:val="20"/>
        </w:rPr>
        <w:t xml:space="preserve">Mies, Maria. 1986. </w:t>
      </w:r>
      <w:r>
        <w:rPr>
          <w:rFonts w:eastAsia="Times New Roman" w:cs="Times New Roman"/>
          <w:i/>
          <w:sz w:val="20"/>
          <w:szCs w:val="20"/>
        </w:rPr>
        <w:t xml:space="preserve">Patriarchy and Accumulation on a World Scale. </w:t>
      </w:r>
      <w:r>
        <w:rPr>
          <w:rFonts w:eastAsia="Times New Roman" w:cs="Times New Roman"/>
          <w:sz w:val="20"/>
          <w:szCs w:val="20"/>
        </w:rPr>
        <w:t>London: Zed Books. 91</w:t>
      </w:r>
    </w:p>
  </w:footnote>
  <w:footnote w:id="75">
    <w:p>
      <w:pPr>
        <w:pStyle w:val="FootnoteText"/>
        <w:rPr>
          <w:rFonts w:ascii="Liberation Serif" w:hAnsi="Liberation Serif"/>
        </w:rPr>
      </w:pPr>
      <w:r>
        <w:rPr>
          <w:rStyle w:val="FootnoteCharacters"/>
        </w:rPr>
        <w:footnoteRef/>
      </w:r>
      <w:r>
        <w:rPr>
          <w:rFonts w:eastAsia="Times New Roman" w:cs="Times New Roman"/>
          <w:sz w:val="20"/>
          <w:szCs w:val="20"/>
        </w:rPr>
        <w:t xml:space="preserve">Mies, Maria. </w:t>
      </w:r>
      <w:r>
        <w:rPr>
          <w:rFonts w:eastAsia="Times New Roman" w:cs="Times New Roman"/>
          <w:i/>
          <w:sz w:val="20"/>
          <w:szCs w:val="20"/>
        </w:rPr>
        <w:t>Patriarchy and Accumulation</w:t>
      </w:r>
      <w:r>
        <w:rPr>
          <w:rFonts w:eastAsia="Times New Roman" w:cs="Times New Roman"/>
          <w:sz w:val="20"/>
          <w:szCs w:val="20"/>
        </w:rPr>
        <w:t>. 91</w:t>
      </w:r>
    </w:p>
  </w:footnote>
  <w:footnote w:id="76">
    <w:p>
      <w:pPr>
        <w:pStyle w:val="FootnoteText"/>
        <w:rPr/>
      </w:pPr>
      <w:r>
        <w:rPr>
          <w:rStyle w:val="FootnoteCharacters"/>
        </w:rPr>
        <w:footnoteRef/>
      </w:r>
      <w:r>
        <w:rPr/>
        <w:t>de Mello and Melkebeke, “From the Amazon to the Congo Valley,” 145,6</w:t>
      </w:r>
    </w:p>
  </w:footnote>
  <w:footnote w:id="77">
    <w:p>
      <w:pPr>
        <w:pStyle w:val="FootnoteText"/>
        <w:rPr/>
      </w:pPr>
      <w:r>
        <w:rPr>
          <w:rStyle w:val="FootnoteCharacters"/>
        </w:rPr>
        <w:footnoteRef/>
      </w:r>
      <w:r>
        <w:rPr/>
        <w:t>de Mello and Melkebeke, “From the Amazon to the Congo Valley,” 160</w:t>
      </w:r>
    </w:p>
  </w:footnote>
  <w:footnote w:id="78">
    <w:p>
      <w:pPr>
        <w:pStyle w:val="FootnoteText"/>
        <w:rPr/>
      </w:pPr>
      <w:r>
        <w:rPr>
          <w:rStyle w:val="FootnoteCharacters"/>
        </w:rPr>
        <w:footnoteRef/>
      </w:r>
      <w:r>
        <w:rPr/>
        <w:t>de Mello and Melkebeke, “From the Amazon to the Congo Valley,” 161</w:t>
      </w:r>
    </w:p>
  </w:footnote>
  <w:footnote w:id="79">
    <w:p>
      <w:pPr>
        <w:pStyle w:val="FootnoteText"/>
        <w:rPr>
          <w:rFonts w:ascii="Liberation Serif" w:hAnsi="Liberation Serif"/>
        </w:rPr>
      </w:pPr>
      <w:r>
        <w:rPr>
          <w:rStyle w:val="FootnoteCharacters"/>
        </w:rPr>
        <w:footnoteRef/>
      </w:r>
      <w:r>
        <w:rPr>
          <w:rFonts w:eastAsia="Times New Roman" w:cs="Times New Roman"/>
          <w:sz w:val="20"/>
          <w:szCs w:val="20"/>
        </w:rPr>
        <w:t xml:space="preserve">Drabble, J. H. 1967. “The Plantation Rubber Industry in Malaya up to 1922.” </w:t>
      </w:r>
      <w:r>
        <w:rPr>
          <w:rFonts w:eastAsia="Times New Roman" w:cs="Times New Roman"/>
          <w:i/>
          <w:sz w:val="20"/>
          <w:szCs w:val="20"/>
        </w:rPr>
        <w:t>Journal of the Malaysian Branch of the Royal Asiatic Society.</w:t>
      </w:r>
      <w:r>
        <w:rPr>
          <w:rFonts w:eastAsia="Times New Roman" w:cs="Times New Roman"/>
          <w:sz w:val="20"/>
          <w:szCs w:val="20"/>
        </w:rPr>
        <w:t xml:space="preserve"> Vol 40:1. 54</w:t>
      </w:r>
    </w:p>
  </w:footnote>
  <w:footnote w:id="80">
    <w:p>
      <w:pPr>
        <w:pStyle w:val="FootnoteText"/>
        <w:rPr>
          <w:rFonts w:ascii="Liberation Serif" w:hAnsi="Liberation Serif"/>
        </w:rPr>
      </w:pPr>
      <w:r>
        <w:rPr>
          <w:rStyle w:val="FootnoteCharacters"/>
        </w:rPr>
        <w:footnoteRef/>
      </w:r>
      <w:r>
        <w:rPr/>
        <w:t xml:space="preserve">Drabble, “Plantation Rubber Industry,” 59 </w:t>
      </w:r>
    </w:p>
  </w:footnote>
  <w:footnote w:id="81">
    <w:p>
      <w:pPr>
        <w:pStyle w:val="FootnoteText"/>
        <w:rPr>
          <w:rFonts w:ascii="Liberation Serif" w:hAnsi="Liberation Serif"/>
        </w:rPr>
      </w:pPr>
      <w:r>
        <w:rPr>
          <w:rStyle w:val="FootnoteCharacters"/>
        </w:rPr>
        <w:footnoteRef/>
      </w:r>
      <w:r>
        <w:rPr>
          <w:rFonts w:eastAsia="Times New Roman" w:cs="Times New Roman"/>
          <w:sz w:val="20"/>
          <w:szCs w:val="20"/>
        </w:rPr>
        <w:t xml:space="preserve">Parmer, </w:t>
      </w:r>
      <w:r>
        <w:rPr>
          <w:rFonts w:eastAsia="Times New Roman" w:cs="Times New Roman"/>
          <w:i/>
          <w:sz w:val="20"/>
          <w:szCs w:val="20"/>
        </w:rPr>
        <w:t>Colonial Labor Policy</w:t>
      </w:r>
      <w:r>
        <w:rPr>
          <w:rFonts w:eastAsia="Times New Roman" w:cs="Times New Roman"/>
          <w:sz w:val="20"/>
          <w:szCs w:val="20"/>
        </w:rPr>
        <w:t>, 16</w:t>
      </w:r>
    </w:p>
  </w:footnote>
  <w:footnote w:id="82">
    <w:p>
      <w:pPr>
        <w:pStyle w:val="FootnoteText"/>
        <w:rPr>
          <w:rFonts w:ascii="Liberation Serif" w:hAnsi="Liberation Serif"/>
        </w:rPr>
      </w:pPr>
      <w:r>
        <w:rPr>
          <w:rStyle w:val="FootnoteCharacters"/>
        </w:rPr>
        <w:footnoteRef/>
      </w:r>
      <w:r>
        <w:rPr>
          <w:rFonts w:eastAsia="Times New Roman" w:cs="Times New Roman"/>
          <w:sz w:val="20"/>
          <w:szCs w:val="20"/>
        </w:rPr>
        <w:t xml:space="preserve">Parmer, </w:t>
      </w:r>
      <w:r>
        <w:rPr>
          <w:rFonts w:eastAsia="Times New Roman" w:cs="Times New Roman"/>
          <w:i/>
          <w:sz w:val="20"/>
          <w:szCs w:val="20"/>
        </w:rPr>
        <w:t>Colonial Labor Policy</w:t>
      </w:r>
      <w:r>
        <w:rPr>
          <w:rFonts w:eastAsia="Times New Roman" w:cs="Times New Roman"/>
          <w:sz w:val="20"/>
          <w:szCs w:val="20"/>
        </w:rPr>
        <w:t>, 168-9</w:t>
      </w:r>
    </w:p>
  </w:footnote>
  <w:footnote w:id="83">
    <w:p>
      <w:pPr>
        <w:pStyle w:val="FootnoteText"/>
        <w:rPr>
          <w:rFonts w:ascii="Liberation Serif" w:hAnsi="Liberation Serif"/>
        </w:rPr>
      </w:pPr>
      <w:r>
        <w:rPr>
          <w:rStyle w:val="FootnoteCharacters"/>
        </w:rPr>
        <w:footnoteRef/>
      </w:r>
      <w:r>
        <w:rPr>
          <w:rFonts w:eastAsia="Times New Roman" w:cs="Times New Roman"/>
          <w:sz w:val="20"/>
          <w:szCs w:val="20"/>
        </w:rPr>
        <w:t xml:space="preserve">Parmer, </w:t>
      </w:r>
      <w:r>
        <w:rPr>
          <w:rFonts w:eastAsia="Times New Roman" w:cs="Times New Roman"/>
          <w:i/>
          <w:sz w:val="20"/>
          <w:szCs w:val="20"/>
        </w:rPr>
        <w:t>Colonial Labor Policy</w:t>
      </w:r>
      <w:r>
        <w:rPr>
          <w:rFonts w:eastAsia="Times New Roman" w:cs="Times New Roman"/>
          <w:sz w:val="20"/>
          <w:szCs w:val="20"/>
        </w:rPr>
        <w:t>, 177</w:t>
      </w:r>
    </w:p>
  </w:footnote>
  <w:footnote w:id="84">
    <w:p>
      <w:pPr>
        <w:pStyle w:val="FootnoteText"/>
        <w:rPr>
          <w:rFonts w:ascii="Liberation Serif" w:hAnsi="Liberation Serif"/>
        </w:rPr>
      </w:pPr>
      <w:r>
        <w:rPr>
          <w:rStyle w:val="FootnoteCharacters"/>
        </w:rPr>
        <w:footnoteRef/>
      </w:r>
      <w:r>
        <w:rPr>
          <w:rFonts w:eastAsia="Times New Roman" w:cs="Times New Roman"/>
          <w:sz w:val="20"/>
          <w:szCs w:val="20"/>
        </w:rPr>
        <w:t xml:space="preserve">Parmer, </w:t>
      </w:r>
      <w:r>
        <w:rPr>
          <w:rFonts w:eastAsia="Times New Roman" w:cs="Times New Roman"/>
          <w:i/>
          <w:sz w:val="20"/>
          <w:szCs w:val="20"/>
        </w:rPr>
        <w:t>Colonial Labor Policy</w:t>
      </w:r>
      <w:r>
        <w:rPr>
          <w:rFonts w:eastAsia="Times New Roman" w:cs="Times New Roman"/>
          <w:sz w:val="20"/>
          <w:szCs w:val="20"/>
        </w:rPr>
        <w:t>, 177-8</w:t>
      </w:r>
    </w:p>
  </w:footnote>
  <w:footnote w:id="85">
    <w:p>
      <w:pPr>
        <w:pStyle w:val="FootnoteText"/>
        <w:rPr/>
      </w:pPr>
      <w:r>
        <w:rPr>
          <w:rStyle w:val="FootnoteCharacters"/>
        </w:rPr>
        <w:footnoteRef/>
      </w:r>
      <w:r>
        <w:rPr/>
        <w:t xml:space="preserve">de Mello and Melkebeke, “From the Amazon to the Congo Valley,” 151 </w:t>
      </w:r>
    </w:p>
  </w:footnote>
</w:footnote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file>

<file path=word/settings.xml><?xml version="1.0" encoding="utf-8"?>
<w:settings xmlns:w="http://schemas.openxmlformats.org/wordprocessingml/2006/main">
  <w:zoom w:percent="75"/>
  <w:defaultTabStop w:val="720"/>
  <w:autoHyphenation w:val="true"/>
  <w:footnotePr>
    <w:numFmt w:val="decimal"/>
    <w:footnote w:id="0"/>
    <w:footnote w:id="1"/>
  </w:footnotePr>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US" w:eastAsia="zh-CN" w:bidi="hi-IN"/>
      </w:rPr>
    </w:rPrDefault>
    <w:pPrDefault>
      <w:pPr>
        <w:suppressAutoHyphens w:val="true"/>
      </w:pPr>
    </w:pPrDefault>
  </w:docDefaults>
  <w:style w:type="paragraph" w:styleId="Normal">
    <w:name w:val="Normal"/>
    <w:qFormat/>
    <w:pPr>
      <w:widowControl w:val="false"/>
      <w:suppressAutoHyphens w:val="true"/>
      <w:overflowPunct w:val="false"/>
      <w:bidi w:val="0"/>
      <w:spacing w:lineRule="auto" w:line="276" w:before="0" w:after="0"/>
      <w:jc w:val="start"/>
    </w:pPr>
    <w:rPr>
      <w:rFonts w:ascii="Arial" w:hAnsi="Arial" w:eastAsia="Arial" w:cs="Arial"/>
      <w:color w:val="auto"/>
      <w:kern w:val="0"/>
      <w:sz w:val="22"/>
      <w:szCs w:val="22"/>
      <w:lang w:val="en-US" w:eastAsia="zh-CN" w:bidi="hi-IN"/>
    </w:rPr>
  </w:style>
  <w:style w:type="paragraph" w:styleId="Heading1">
    <w:name w:val="Heading 1"/>
    <w:basedOn w:val="normal1"/>
    <w:next w:val="Normal"/>
    <w:qFormat/>
    <w:pPr>
      <w:keepNext w:val="true"/>
      <w:keepLines/>
    </w:pPr>
    <w:rPr>
      <w:i/>
    </w:rPr>
  </w:style>
  <w:style w:type="paragraph" w:styleId="Heading2">
    <w:name w:val="Heading 2"/>
    <w:basedOn w:val="normal1"/>
    <w:next w:val="Normal"/>
    <w:qFormat/>
    <w:pPr>
      <w:keepNext w:val="true"/>
      <w:keepLines/>
      <w:pageBreakBefore w:val="false"/>
      <w:spacing w:lineRule="auto" w:line="240" w:before="360" w:after="120"/>
    </w:pPr>
    <w:rPr>
      <w:b w:val="false"/>
      <w:sz w:val="32"/>
      <w:szCs w:val="32"/>
    </w:rPr>
  </w:style>
  <w:style w:type="paragraph" w:styleId="Heading3">
    <w:name w:val="Heading 3"/>
    <w:basedOn w:val="normal1"/>
    <w:next w:val="Normal"/>
    <w:qFormat/>
    <w:pPr>
      <w:keepNext w:val="true"/>
      <w:keepLines/>
      <w:pageBreakBefore w:val="false"/>
      <w:spacing w:lineRule="auto" w:line="240" w:before="320" w:after="80"/>
    </w:pPr>
    <w:rPr>
      <w:b w:val="false"/>
      <w:color w:val="434343"/>
      <w:sz w:val="28"/>
      <w:szCs w:val="28"/>
    </w:rPr>
  </w:style>
  <w:style w:type="paragraph" w:styleId="Heading4">
    <w:name w:val="Heading 4"/>
    <w:basedOn w:val="normal1"/>
    <w:next w:val="Normal"/>
    <w:qFormat/>
    <w:pPr>
      <w:keepNext w:val="true"/>
      <w:keepLines/>
      <w:pageBreakBefore w:val="false"/>
      <w:spacing w:lineRule="auto" w:line="240" w:before="280" w:after="80"/>
    </w:pPr>
    <w:rPr>
      <w:color w:val="666666"/>
      <w:sz w:val="24"/>
      <w:szCs w:val="24"/>
    </w:rPr>
  </w:style>
  <w:style w:type="paragraph" w:styleId="Heading5">
    <w:name w:val="Heading 5"/>
    <w:basedOn w:val="normal1"/>
    <w:next w:val="Normal"/>
    <w:qFormat/>
    <w:pPr>
      <w:keepNext w:val="true"/>
      <w:keepLines/>
      <w:pageBreakBefore w:val="false"/>
      <w:spacing w:lineRule="auto" w:line="240" w:before="240" w:after="80"/>
    </w:pPr>
    <w:rPr>
      <w:color w:val="666666"/>
      <w:sz w:val="22"/>
      <w:szCs w:val="22"/>
    </w:rPr>
  </w:style>
  <w:style w:type="paragraph" w:styleId="Heading6">
    <w:name w:val="Heading 6"/>
    <w:basedOn w:val="normal1"/>
    <w:next w:val="Normal"/>
    <w:qFormat/>
    <w:pPr>
      <w:keepNext w:val="true"/>
      <w:keepLines/>
      <w:pageBreakBefore w:val="false"/>
      <w:spacing w:lineRule="auto" w:line="240" w:before="240" w:after="80"/>
    </w:pPr>
    <w:rPr>
      <w:i/>
      <w:color w:val="666666"/>
      <w:sz w:val="22"/>
      <w:szCs w:val="22"/>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NumberingSymbols">
    <w:name w:val="Numbering Symbols"/>
    <w:qFormat/>
    <w:rPr/>
  </w:style>
  <w:style w:type="paragraph" w:styleId="Heading">
    <w:name w:val="Heading"/>
    <w:basedOn w:val="Normal"/>
    <w:next w:val="BodyText"/>
    <w:qFormat/>
    <w:pPr>
      <w:keepNext w:val="true"/>
      <w:spacing w:before="240" w:after="120"/>
    </w:pPr>
    <w:rPr>
      <w:rFonts w:ascii="Liberation Sans" w:hAnsi="Liberation Sans" w:eastAsia="Linux Libertine G" w:cs="Linux Libertine G"/>
      <w:sz w:val="28"/>
      <w:szCs w:val="28"/>
    </w:rPr>
  </w:style>
  <w:style w:type="paragraph" w:styleId="BodyText">
    <w:name w:val="Body Text"/>
    <w:basedOn w:val="Normal"/>
    <w:pPr>
      <w:spacing w:lineRule="auto" w:line="276" w:before="0" w:after="140"/>
    </w:pPr>
    <w:rPr/>
  </w:style>
  <w:style w:type="paragraph" w:styleId="List">
    <w:name w:val="List"/>
    <w:basedOn w:val="BodyText"/>
    <w:pPr/>
    <w:rPr/>
  </w:style>
  <w:style w:type="paragraph" w:styleId="Caption">
    <w:name w:val="Caption"/>
    <w:basedOn w:val="Normal"/>
    <w:qFormat/>
    <w:pPr>
      <w:suppressLineNumbers/>
      <w:spacing w:before="120" w:after="120"/>
    </w:pPr>
    <w:rPr>
      <w:i/>
      <w:iCs/>
      <w:sz w:val="24"/>
      <w:szCs w:val="24"/>
    </w:rPr>
  </w:style>
  <w:style w:type="paragraph" w:styleId="Index">
    <w:name w:val="Index"/>
    <w:basedOn w:val="Normal"/>
    <w:qFormat/>
    <w:pPr>
      <w:suppressLineNumbers/>
    </w:pPr>
    <w:rPr/>
  </w:style>
  <w:style w:type="paragraph" w:styleId="normal1">
    <w:name w:val="normal1"/>
    <w:qFormat/>
    <w:pPr>
      <w:widowControl/>
      <w:suppressAutoHyphens w:val="true"/>
      <w:overflowPunct w:val="false"/>
      <w:bidi w:val="0"/>
      <w:spacing w:before="0" w:after="0"/>
      <w:jc w:val="start"/>
    </w:pPr>
    <w:rPr>
      <w:rFonts w:ascii="Arial" w:hAnsi="Arial" w:eastAsia="Arial" w:cs="Arial"/>
      <w:color w:val="auto"/>
      <w:kern w:val="0"/>
      <w:sz w:val="22"/>
      <w:szCs w:val="22"/>
      <w:lang w:val="en-US" w:eastAsia="zh-CN" w:bidi="hi-IN"/>
    </w:rPr>
  </w:style>
  <w:style w:type="paragraph" w:styleId="Title">
    <w:name w:val="Title"/>
    <w:basedOn w:val="normal1"/>
    <w:next w:val="Normal"/>
    <w:qFormat/>
    <w:pPr>
      <w:keepNext w:val="true"/>
      <w:keepLines/>
      <w:pageBreakBefore w:val="false"/>
      <w:spacing w:lineRule="auto" w:line="240" w:before="0" w:after="60"/>
    </w:pPr>
    <w:rPr>
      <w:sz w:val="52"/>
      <w:szCs w:val="52"/>
    </w:rPr>
  </w:style>
  <w:style w:type="paragraph" w:styleId="Subtitle">
    <w:name w:val="Subtitle"/>
    <w:basedOn w:val="normal1"/>
    <w:next w:val="Normal"/>
    <w:qFormat/>
    <w:pPr>
      <w:keepNext w:val="true"/>
      <w:keepLines/>
      <w:pageBreakBefore w:val="false"/>
      <w:spacing w:lineRule="auto" w:line="240" w:before="0" w:after="320"/>
    </w:pPr>
    <w:rPr>
      <w:rFonts w:ascii="Arial" w:hAnsi="Arial" w:eastAsia="Arial" w:cs="Arial"/>
      <w:i w:val="false"/>
      <w:color w:val="666666"/>
      <w:sz w:val="30"/>
      <w:szCs w:val="30"/>
    </w:rPr>
  </w:style>
  <w:style w:type="paragraph" w:styleId="FootnoteText">
    <w:name w:val="Footnote Text"/>
    <w:basedOn w:val="Normal"/>
    <w:pPr>
      <w:tabs>
        <w:tab w:val="clear" w:pos="720"/>
      </w:tabs>
      <w:spacing w:lineRule="auto" w:line="240"/>
      <w:ind w:hanging="0"/>
    </w:pPr>
    <w:rPr>
      <w:rFonts w:ascii="Liberation Serif" w:hAnsi="Liberation Serif"/>
      <w:b w:val="false"/>
      <w:sz w:val="20"/>
    </w:rPr>
  </w:style>
  <w:style w:type="paragraph" w:styleId="HeaderandFooter">
    <w:name w:val="Header and Footer"/>
    <w:basedOn w:val="Normal"/>
    <w:qFormat/>
    <w:pPr>
      <w:suppressLineNumbers/>
      <w:tabs>
        <w:tab w:val="clear" w:pos="720"/>
        <w:tab w:val="center" w:pos="4986" w:leader="none"/>
        <w:tab w:val="right" w:pos="9972" w:leader="none"/>
      </w:tabs>
    </w:pPr>
    <w:rPr/>
  </w:style>
  <w:style w:type="paragraph" w:styleId="Header">
    <w:name w:val="Header"/>
    <w:basedOn w:val="Normal"/>
    <w:pPr/>
    <w:rPr/>
  </w:style>
  <w:style w:type="paragraph" w:styleId="Footer">
    <w:name w:val="Footer"/>
    <w:basedOn w:val="Normal"/>
    <w:pPr/>
    <w:rPr/>
  </w:style>
  <w:style w:type="paragraph" w:styleId="EndnoteText">
    <w:name w:val="Endnote Text"/>
    <w:basedOn w:val="Normal"/>
    <w:pPr>
      <w:suppressLineNumbers/>
      <w:ind w:hanging="340" w:start="340"/>
    </w:pPr>
    <w:rPr>
      <w:sz w:val="20"/>
      <w:szCs w:val="20"/>
    </w:rPr>
  </w:style>
  <w:style w:type="paragraph" w:styleId="Comment">
    <w:name w:val="Comment"/>
    <w:basedOn w:val="Normal"/>
    <w:qFormat/>
    <w:pPr/>
    <w:rPr>
      <w:sz w:val="20"/>
      <w:szCs w:val="20"/>
    </w:rPr>
  </w:style>
  <w:style w:type="numbering" w:styleId="Numbering123">
    <w:name w:val="Numbering 123"/>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footer" Target="footer1.xml"/><Relationship Id="rId5" Type="http://schemas.openxmlformats.org/officeDocument/2006/relationships/footer" Target="footer2.xml"/><Relationship Id="rId6" Type="http://schemas.openxmlformats.org/officeDocument/2006/relationships/footer" Target="footer3.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15</TotalTime>
  <Application>LibreOffice/24.2.7.2$Linux_X86_64 LibreOffice_project/420$Build-2</Application>
  <AppVersion>15.0000</AppVersion>
  <Pages>46</Pages>
  <Words>11753</Words>
  <Characters>64344</Characters>
  <CharactersWithSpaces>75933</CharactersWithSpaces>
  <Paragraphs>211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dcterms:modified xsi:type="dcterms:W3CDTF">2026-05-11T11:51:12Z</dcterms:modified>
  <cp:revision>5</cp:revision>
  <dc:subject/>
  <dc:title/>
</cp:coreProperties>
</file>

<file path=docProps/custom.xml><?xml version="1.0" encoding="utf-8"?>
<Properties xmlns="http://schemas.openxmlformats.org/officeDocument/2006/custom-properties" xmlns:vt="http://schemas.openxmlformats.org/officeDocument/2006/docPropsVTypes"/>
</file>