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480" w:before="0" w:after="0"/>
        <w:ind w:hanging="0" w:start="0" w:end="0"/>
        <w:rPr>
          <w:b/>
          <w:bCs/>
          <w:i w:val="false"/>
          <w:i w:val="false"/>
          <w:iCs w:val="false"/>
        </w:rPr>
      </w:pPr>
      <w:bookmarkStart w:id="0" w:name="_wn5wa6q13dn"/>
      <w:bookmarkEnd w:id="0"/>
      <w:r>
        <w:rPr>
          <w:rFonts w:ascii="Liberation Serif" w:hAnsi="Liberation Serif"/>
          <w:b/>
          <w:bCs/>
          <w:i w:val="false"/>
          <w:iCs w:val="false"/>
          <w:sz w:val="24"/>
          <w:szCs w:val="24"/>
        </w:rPr>
        <w:t>Fordism (1703)</w:t>
      </w:r>
    </w:p>
    <w:p>
      <w:pPr>
        <w:pStyle w:val="Normal"/>
        <w:bidi w:val="0"/>
        <w:spacing w:lineRule="auto" w:line="480" w:before="0" w:after="0"/>
        <w:ind w:hanging="0" w:start="0" w:end="0"/>
        <w:jc w:val="start"/>
        <w:rPr>
          <w:b w:val="false"/>
          <w:bCs w:val="false"/>
          <w:i w:val="false"/>
          <w:i w:val="false"/>
          <w:iCs w:val="false"/>
          <w:highlight w:val="none"/>
          <w:shd w:fill="FFFF00" w:val="clear"/>
        </w:rPr>
      </w:pPr>
      <w:r>
        <w:rPr>
          <w:b w:val="false"/>
          <w:bCs w:val="false"/>
          <w:i w:val="false"/>
          <w:iCs w:val="false"/>
          <w:sz w:val="24"/>
          <w:szCs w:val="24"/>
          <w:shd w:fill="FFFF00" w:val="clear"/>
        </w:rPr>
        <w:t>[question of what motivates the workers - wages and force]</w:t>
      </w:r>
    </w:p>
    <w:p>
      <w:pPr>
        <w:pStyle w:val="Normal"/>
        <w:bidi w:val="0"/>
        <w:spacing w:lineRule="auto" w:line="480" w:before="0" w:after="0"/>
        <w:ind w:firstLine="720" w:start="0" w:end="0"/>
        <w:jc w:val="start"/>
        <w:rPr>
          <w:rFonts w:ascii="Liberation Serif" w:hAnsi="Liberation Serif"/>
          <w:sz w:val="24"/>
          <w:szCs w:val="24"/>
        </w:rPr>
      </w:pPr>
      <w:r>
        <w:rPr>
          <w:sz w:val="24"/>
          <w:szCs w:val="24"/>
        </w:rPr>
        <w:t>It would be controversial to identify ‘Fordism’ as such solely with the practices of the Ford Motor Company and its competitors in the auto industry. Certainly there is a relationship between Ford and Fordism, but they are not identical. And if we take the ‘world of production’ to mean all production practices across the globe, then characterizing it as ‘Fordist’ is certainly untenable - although it may be dominated by Fordism in a certain sense. For the time being, let us set aside the question of the ‘world of production’ and try to clarify just what is meant by the word ‘Fordism’.</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popular imagination, Fordism comprises two moments of personal genius: Henry Ford’s implementation of the automated assembly line and his institution of a family wage with the Five Dollar Day. Faced with the mutually exacerbating problems of rising demand and increasing employee turnover, Ford took the innovative approach of intensifying and de-skilling labor while at the same time increasing its pay.</w:t>
      </w:r>
      <w:r>
        <w:rPr>
          <w:rStyle w:val="FootnoteReference"/>
          <w:sz w:val="24"/>
          <w:szCs w:val="24"/>
        </w:rPr>
        <w:footnoteReference w:id="2"/>
      </w:r>
      <w:r>
        <w:rPr>
          <w:sz w:val="24"/>
          <w:szCs w:val="24"/>
        </w:rPr>
        <w:t xml:space="preserve"> These principles were combined in Ford's notorious River Rouge factory, a single complex that took raw materials as inputs turned them into cars. In the meantime, the laborers who worked in this factory were middle class workers who could afford to purchase the commodities they were producing. At one and the same time the efficient production methods transformed automobiles from a luxury good to a near-necessity, and transformed the workers from struggling laborers into participants in the bounty of production. The company's win-win solution to the antagonism of labor and capital transformed American life, and facilitated the dominance of US industry on the world stage. The combination of innovative shop floor management with a reconfiguration of family life ushered in the modern middle class and an era of mass consumerism. In this view, Fordism solved once and for all the antagonism between labor and capital.</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This popular conception is problematic on several counts. Ford’s production practices were enormously successful, but the core idea of an powered assembly line was borrowed from Chicago slaughterhouses and </w:t>
      </w:r>
      <w:r>
        <w:rPr>
          <w:sz w:val="24"/>
          <w:szCs w:val="24"/>
          <w:shd w:fill="auto" w:val="clear"/>
        </w:rPr>
        <w:t>had first been employed in the automotive industry by a competitor of Ford. In 1911 management at  EMF company "installed a mechanized assembly line to boost chassis output to 100 per day."</w:t>
      </w:r>
      <w:r>
        <w:rPr>
          <w:rStyle w:val="FootnoteReference"/>
          <w:sz w:val="24"/>
          <w:szCs w:val="24"/>
          <w:shd w:fill="auto" w:val="clear"/>
        </w:rPr>
        <w:footnoteReference w:id="3"/>
      </w:r>
      <w:r>
        <w:rPr>
          <w:sz w:val="24"/>
          <w:szCs w:val="24"/>
          <w:shd w:fill="auto" w:val="clear"/>
        </w:rPr>
        <w:t xml:space="preserve"> Ford would not install his line (also for chassis production) for another two years, in 1913. Even after Ford's unprecedented success with rationalizing production, his methods would often be taken and improved upon by competitors - most notably General Motors. Ford's real innovation was the extreme to which he took the rationalization of production, and its combination with an aggressive social policy. His famous </w:t>
      </w:r>
      <w:r>
        <w:rPr>
          <w:sz w:val="24"/>
          <w:szCs w:val="24"/>
        </w:rPr>
        <w:t>Five Dollar Day was not a universal wage increase, but a profit share given only to employees whose private lives were approved by agents of the Ford Sociological Association. In addition to investigations into the stability of the workers' families, "the company wanted to know whether or not the workman owned or was purchasing property or a home, whether or not he had a savings account in a bank, and whether or not he was in debt."</w:t>
      </w:r>
      <w:r>
        <w:rPr>
          <w:rStyle w:val="FootnoteReference"/>
          <w:sz w:val="24"/>
          <w:szCs w:val="24"/>
        </w:rPr>
        <w:footnoteReference w:id="4"/>
      </w:r>
      <w:r>
        <w:rPr>
          <w:sz w:val="24"/>
          <w:szCs w:val="24"/>
        </w:rPr>
        <w:t xml:space="preserve"> In other words, in order to qualify for a family wage, Ford's workers had to demonstrate that they were sufficiently rooted in the community surrounding the factory. When combined with wages that exceeded those offered by competitors, this meant that Ford's prized workers were less able to seek out employment elsewhere. The question was not one of boosting the freedom of workers by increasing their pay, but of limiting them, of compelling them to stay in their jobs.</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In light of these complications, we need a more rigorous theorization of Fordism that goes beyond the myth. Michel Aglietta provides us with this in his classic structuralist account of Fordism as a generalized set of production principles, historicized within the long cycles of historical capitalism. For Aglietta, although Fordist practices may have originated as specific policies within the auto industry, Fordism represents a societal-level shift in the relations of production and the reproduction of capital. In </w:t>
      </w:r>
      <w:r>
        <w:rPr>
          <w:i/>
          <w:sz w:val="24"/>
          <w:szCs w:val="24"/>
        </w:rPr>
        <w:t>A Theory of Capitalist Regulation</w:t>
      </w:r>
      <w:r>
        <w:rPr>
          <w:sz w:val="24"/>
          <w:szCs w:val="24"/>
        </w:rPr>
        <w:t>,</w:t>
      </w:r>
      <w:r>
        <w:rPr>
          <w:rStyle w:val="FootnoteReference"/>
          <w:sz w:val="24"/>
          <w:szCs w:val="24"/>
          <w:vertAlign w:val="superscript"/>
        </w:rPr>
        <w:footnoteReference w:id="5"/>
      </w:r>
      <w:r>
        <w:rPr>
          <w:sz w:val="24"/>
          <w:szCs w:val="24"/>
        </w:rPr>
        <w:t xml:space="preserve"> he criticizes the dominant economic theories of capitalist equilibrium for being, among other things, ahistorical and abstract. Against this, Aglietta denies “that what exists does so automatically”, necessitating a theory of social reproduction, and he claims that “when actual social systems are studied, historical experience confirms that </w:t>
      </w:r>
      <w:r>
        <w:rPr>
          <w:i/>
          <w:sz w:val="24"/>
          <w:szCs w:val="24"/>
        </w:rPr>
        <w:t>transformation means rupture, qualitative change.</w:t>
      </w:r>
      <w:r>
        <w:rPr>
          <w:sz w:val="24"/>
          <w:szCs w:val="24"/>
        </w:rPr>
        <w:t>”</w:t>
      </w:r>
      <w:r>
        <w:rPr>
          <w:rStyle w:val="FootnoteReference"/>
          <w:sz w:val="24"/>
          <w:szCs w:val="24"/>
          <w:vertAlign w:val="superscript"/>
        </w:rPr>
        <w:footnoteReference w:id="6"/>
      </w:r>
      <w:r>
        <w:rPr>
          <w:sz w:val="24"/>
          <w:szCs w:val="24"/>
        </w:rPr>
        <w:t xml:space="preserve"> In other words, although Henry Ford's specific policies may have been solutions to the immediate problems in his own factories, their eventual widespread adoption does not indicate that they tapped into some transhistorical and abstract need for workers to receive higher wages. Rather, it indicates that these policies addressed a </w:t>
      </w:r>
      <w:r>
        <w:rPr>
          <w:i/>
          <w:iCs/>
          <w:sz w:val="24"/>
          <w:szCs w:val="24"/>
        </w:rPr>
        <w:t>historical</w:t>
      </w:r>
      <w:r>
        <w:rPr>
          <w:sz w:val="24"/>
          <w:szCs w:val="24"/>
        </w:rPr>
        <w:t xml:space="preserve"> condition that may not have existed before, and may change again in time. Aglietta is inspired by "Marx's refusal to postulate an immutable essence underlying the variability of phenomena"</w:t>
      </w:r>
      <w:r>
        <w:rPr>
          <w:rStyle w:val="FootnoteReference"/>
          <w:sz w:val="24"/>
          <w:szCs w:val="24"/>
        </w:rPr>
        <w:footnoteReference w:id="7"/>
      </w:r>
      <w:r>
        <w:rPr>
          <w:sz w:val="24"/>
          <w:szCs w:val="24"/>
        </w:rPr>
        <w:t xml:space="preserve"> and so he attempts to situate the Fordism as a specific moment within the turbulent history of capitalist production.</w:t>
      </w:r>
    </w:p>
    <w:p>
      <w:pPr>
        <w:pStyle w:val="Normal"/>
        <w:bidi w:val="0"/>
        <w:spacing w:lineRule="auto" w:line="480" w:before="0" w:after="0"/>
        <w:ind w:firstLine="720" w:start="0" w:end="0"/>
        <w:jc w:val="start"/>
        <w:rPr>
          <w:rFonts w:ascii="Liberation Serif" w:hAnsi="Liberation Serif"/>
          <w:sz w:val="24"/>
          <w:szCs w:val="24"/>
        </w:rPr>
      </w:pPr>
      <w:r>
        <w:rPr>
          <w:sz w:val="24"/>
          <w:szCs w:val="24"/>
        </w:rPr>
        <w:t>Taking the US since 1870 as his spatial-temporal object, Aglietta elaborates a theory of capitalist regulation as an attempt to “formulate in general laws the way in which the determinant structure of a society is reproduced.”</w:t>
      </w:r>
      <w:r>
        <w:rPr>
          <w:rStyle w:val="FootnoteReference"/>
          <w:sz w:val="24"/>
          <w:szCs w:val="24"/>
          <w:vertAlign w:val="superscript"/>
        </w:rPr>
        <w:footnoteReference w:id="8"/>
      </w:r>
      <w:r>
        <w:rPr>
          <w:sz w:val="24"/>
          <w:szCs w:val="24"/>
        </w:rPr>
        <w:t xml:space="preserve"> These are not transhistorical laws for society in general, but laws structuring a specific society. In the decades after the American civil war, they were oriented towards the development of heavy industry. Claiming that “the fundamental economic condition for industrial capitalism to develop is the formation of a growing agricultural surplus product and its realization in commodity form,”</w:t>
      </w:r>
      <w:r>
        <w:rPr>
          <w:rStyle w:val="FootnoteReference"/>
          <w:sz w:val="24"/>
          <w:szCs w:val="24"/>
        </w:rPr>
        <w:footnoteReference w:id="9"/>
      </w:r>
      <w:r>
        <w:rPr>
          <w:sz w:val="24"/>
          <w:szCs w:val="24"/>
        </w:rPr>
        <w:t xml:space="preserve"> Aglietta highlights 19th century America’s privileged situation. The incorporation of vast frontiers precipitated the development of rail infrastructure, irrigation, farming and mining. This ‘regime of extensive accumulation’ was funded and aided by the development of western urban centers and their growing financial powers, but it did not initate a fundamental restructuring of the life of laborers. Labor was becoming more productive through intensification and mechanization, but the laborers' wages were generally low, and they were often reliant on a significant amount of subsistence labor rather than commodity consumption at home.</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first decades of the twentieth century, this regime fell into crisis. Aglietta positions the economic collapse of the 1930s as a result of overaccumulation and underconsumption. Specifically, the average worker was paid so little that they could not contribute to the valorization cycle by purchasing and consuming commodities. As capital entered a crisis in the 1930s, producers sought out new ways to maintain profitability. This would mean restructuring society to expand the domestic market and increase the class of consumers. As producers cast about for a model, Fordism, at this point a decade and a half old, stood out as a potential answer to changing economic conditions.</w:t>
      </w:r>
    </w:p>
    <w:p>
      <w:pPr>
        <w:pStyle w:val="Normal"/>
        <w:bidi w:val="0"/>
        <w:spacing w:lineRule="auto" w:line="480" w:before="0" w:after="0"/>
        <w:ind w:firstLine="720" w:start="0" w:end="0"/>
        <w:jc w:val="start"/>
        <w:rPr>
          <w:rFonts w:ascii="Liberation Serif" w:hAnsi="Liberation Serif"/>
          <w:sz w:val="24"/>
          <w:szCs w:val="24"/>
        </w:rPr>
      </w:pPr>
      <w:r>
        <w:rPr>
          <w:sz w:val="24"/>
          <w:szCs w:val="24"/>
        </w:rPr>
        <w:t>Fordism figures into Aglietta’s account as an ‘intensive regime’ which “creates a new mode of life for the wage-earning class by establishing a logic that operates on the totality of time and space occupied or traversed by its individuals in daily life.”</w:t>
      </w:r>
      <w:r>
        <w:rPr>
          <w:rStyle w:val="FootnoteReference"/>
          <w:sz w:val="24"/>
          <w:szCs w:val="24"/>
          <w:vertAlign w:val="superscript"/>
        </w:rPr>
        <w:footnoteReference w:id="10"/>
      </w:r>
      <w:r>
        <w:rPr>
          <w:sz w:val="24"/>
          <w:szCs w:val="24"/>
        </w:rPr>
        <w:t xml:space="preserve"> In other words, Fordism is characterized by an unprecedented expansion of capitalist interest and control over the lives of its waged workers beyond the shop floor. In order to stave off another crisis of overproduction and underconsumption, the daily lives of workers would have to be rebuilt on the foundation of commodity consumption. Aglietta terms this reorganization of social life a ‘mode of consumption’ which is oriented towards the renewal of the energy expended in labor processes and the maintenance of a continual supply of labor power.</w:t>
      </w:r>
      <w:r>
        <w:rPr>
          <w:sz w:val="24"/>
          <w:szCs w:val="24"/>
        </w:rPr>
        <w:t xml:space="preserve"> </w:t>
      </w:r>
    </w:p>
    <w:p>
      <w:pPr>
        <w:pStyle w:val="Normal"/>
        <w:bidi w:val="0"/>
        <w:spacing w:lineRule="auto" w:line="480" w:before="0" w:after="0"/>
        <w:ind w:firstLine="720" w:start="0" w:end="0"/>
        <w:jc w:val="start"/>
        <w:rPr>
          <w:rFonts w:ascii="Liberation Serif" w:hAnsi="Liberation Serif"/>
          <w:sz w:val="24"/>
          <w:szCs w:val="24"/>
        </w:rPr>
      </w:pPr>
      <w:r>
        <w:rPr>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sz w:val="24"/>
          <w:szCs w:val="24"/>
          <w:vertAlign w:val="superscript"/>
        </w:rPr>
        <w:footnoteReference w:id="11"/>
      </w:r>
      <w:r>
        <w:rPr>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sz w:val="24"/>
          <w:szCs w:val="24"/>
          <w:vertAlign w:val="superscript"/>
        </w:rPr>
        <w:footnoteReference w:id="12"/>
      </w:r>
      <w:r>
        <w:rPr>
          <w:sz w:val="24"/>
          <w:szCs w:val="24"/>
        </w:rPr>
        <w:t xml:space="preserve"> In Ford's factories, the production of a car was decomposed into 7,882 separate tasks, each of which was carefully documented and classified. The workers were similarly rationalized - not humans, but various assemblages of limbs: "The lightest jobs were again classified to discover how many of them required the use of full faculties, and we found that 670 could be filled by legless men, 2,637 by one-legged men, 2 by armless men, 715 by one-armed men, and 10 by blind men."</w:t>
      </w:r>
      <w:r>
        <w:rPr>
          <w:rStyle w:val="FootnoteReference"/>
          <w:sz w:val="24"/>
          <w:szCs w:val="24"/>
        </w:rPr>
        <w:footnoteReference w:id="13"/>
      </w:r>
    </w:p>
    <w:p>
      <w:pPr>
        <w:pStyle w:val="Normal"/>
        <w:bidi w:val="0"/>
        <w:spacing w:lineRule="auto" w:line="480" w:before="0" w:after="0"/>
        <w:ind w:firstLine="720" w:start="0" w:end="0"/>
        <w:jc w:val="start"/>
        <w:rPr>
          <w:rFonts w:ascii="Liberation Serif" w:hAnsi="Liberation Serif"/>
          <w:sz w:val="24"/>
          <w:szCs w:val="24"/>
        </w:rPr>
      </w:pPr>
      <w:r>
        <w:rPr>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sz w:val="24"/>
          <w:szCs w:val="24"/>
          <w:vertAlign w:val="superscript"/>
        </w:rPr>
        <w:footnoteReference w:id="14"/>
      </w:r>
      <w:r>
        <w:rPr>
          <w:sz w:val="24"/>
          <w:szCs w:val="24"/>
        </w:rPr>
        <w:t xml:space="preserve"> which was “planned in engineering departments which were themselves subject to the division of labor.”</w:t>
      </w:r>
      <w:r>
        <w:rPr>
          <w:rStyle w:val="FootnoteReference"/>
          <w:sz w:val="24"/>
          <w:szCs w:val="24"/>
          <w:vertAlign w:val="superscript"/>
        </w:rPr>
        <w:footnoteReference w:id="15"/>
      </w:r>
      <w:r>
        <w:rPr>
          <w:sz w:val="24"/>
          <w:szCs w:val="24"/>
        </w:rPr>
        <w:t xml:space="preserve"> In this sense, the Fordist revolution went hand in hand with the managerial revolution described by Alfred Chandler.</w:t>
      </w:r>
      <w:r>
        <w:rPr>
          <w:rStyle w:val="FootnoteReference"/>
          <w:sz w:val="24"/>
          <w:szCs w:val="24"/>
        </w:rPr>
        <w:footnoteReference w:id="16"/>
      </w:r>
      <w:r>
        <w:rPr>
          <w:sz w:val="24"/>
          <w:szCs w:val="24"/>
        </w:rPr>
        <w:t xml:space="preserve"> As the scale and scope of production increased, and as jobs were broken up into smaller and smaller elements of an intricately designed whole, the "division between the labour of head and hand"</w:t>
      </w:r>
      <w:r>
        <w:rPr>
          <w:rStyle w:val="FootnoteReference"/>
          <w:sz w:val="24"/>
          <w:szCs w:val="24"/>
        </w:rPr>
        <w:footnoteReference w:id="17"/>
      </w:r>
      <w:r>
        <w:rPr>
          <w:sz w:val="24"/>
          <w:szCs w:val="24"/>
        </w:rPr>
        <w:t xml:space="preserve"> was deepened. Thought was no longer a part of the act of labor itself, but something that had already been completed in the past and invested into the creation of a proscribed list of infinitely repeatable movements. The Fordist workplace began to look more and more like that described by Marx: living labor ruled by the dead labor that was embodied in the planning and manufacturing of the machine system.</w:t>
      </w:r>
    </w:p>
    <w:p>
      <w:pPr>
        <w:pStyle w:val="Normal"/>
        <w:bidi w:val="0"/>
        <w:spacing w:lineRule="auto" w:line="480" w:before="0" w:after="0"/>
        <w:ind w:firstLine="720" w:start="0" w:end="0"/>
        <w:jc w:val="start"/>
        <w:rPr>
          <w:rFonts w:ascii="Liberation Serif" w:hAnsi="Liberation Serif"/>
          <w:sz w:val="24"/>
          <w:szCs w:val="24"/>
        </w:rPr>
      </w:pPr>
      <w:r>
        <w:rPr>
          <w:sz w:val="24"/>
          <w:szCs w:val="24"/>
        </w:rPr>
        <w:t>This process of rationalization extended far beyond the shop floor.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 a means of private transportation, and standardized housing.</w:t>
      </w:r>
      <w:r>
        <w:rPr>
          <w:sz w:val="24"/>
          <w:szCs w:val="24"/>
        </w:rPr>
        <w:t xml:space="preserve"> </w:t>
      </w:r>
      <w:r>
        <w:rPr>
          <w:sz w:val="24"/>
          <w:szCs w:val="24"/>
        </w:rPr>
        <w:t>The adoption of these two major commodities transformed other patterns of household production. Households began to substitute the purchase of ready-made products like canned food and clothing for space-intensive home production, such as butchering and tailoring. Further, the nineteenth century pattern of roaming peddlers bringing such necessities as pots, pans or medicines, directly to the tenement buildings where workers lived, was replaced by workers taking their now-indispensible cars on trips to the grocer and hardware store.</w:t>
      </w:r>
      <w:r>
        <w:rPr>
          <w:rStyle w:val="FootnoteReference"/>
          <w:sz w:val="24"/>
          <w:szCs w:val="24"/>
        </w:rPr>
        <w:footnoteReference w:id="18"/>
      </w:r>
      <w:r>
        <w:rPr>
          <w:sz w:val="24"/>
          <w:szCs w:val="24"/>
        </w:rPr>
        <w:t xml:space="preserve"> </w:t>
      </w:r>
      <w:r>
        <w:rPr>
          <w:sz w:val="24"/>
          <w:szCs w:val="24"/>
        </w:rPr>
        <w:t>All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sz w:val="24"/>
          <w:szCs w:val="24"/>
          <w:vertAlign w:val="superscript"/>
        </w:rPr>
        <w:footnoteReference w:id="19"/>
      </w:r>
      <w:r>
        <w:rPr>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sz w:val="24"/>
          <w:szCs w:val="24"/>
          <w:vertAlign w:val="superscript"/>
        </w:rPr>
        <w:footnoteReference w:id="20"/>
      </w:r>
    </w:p>
    <w:p>
      <w:pPr>
        <w:pStyle w:val="Normal"/>
        <w:bidi w:val="0"/>
        <w:spacing w:lineRule="auto" w:line="480" w:before="0" w:after="0"/>
        <w:ind w:firstLine="720" w:start="0" w:end="0"/>
        <w:jc w:val="start"/>
        <w:rPr>
          <w:rFonts w:ascii="Liberation Serif" w:hAnsi="Liberation Serif"/>
          <w:sz w:val="24"/>
          <w:szCs w:val="24"/>
        </w:rPr>
      </w:pPr>
      <w:commentRangeStart w:id="0"/>
      <w:r>
        <w:rPr>
          <w:sz w:val="24"/>
          <w:szCs w:val="24"/>
        </w:rPr>
        <w:t>Aglietta’s account of Fordism as an historical articulation of means of production and consumption responding to the global needs of capital accumulation is a compelling one, but it is not without its critics. In 1988, Simon Clarke published a critique of Aglietta and the Regulationist school, whose approach he deems overly structuralist. Clarke claims that for the Regulationists, “in the relation between structure and struggle, it is the class struggle which takes the subordinate role, its significance constrained by the structural imperatives of the regime of accumulation.”</w:t>
      </w:r>
      <w:r>
        <w:rPr>
          <w:rStyle w:val="FootnoteReference"/>
          <w:sz w:val="24"/>
          <w:szCs w:val="24"/>
          <w:vertAlign w:val="superscript"/>
        </w:rPr>
        <w:footnoteReference w:id="21"/>
      </w:r>
      <w:r>
        <w:rPr>
          <w:sz w:val="24"/>
          <w:szCs w:val="24"/>
        </w:rPr>
        <w:t xml:space="preserve"> On the question of working-class struggle this charge is perhaps more applicable to Aglietta’s followers than to his own work, which deals at length with working class organization. But class struggle is not one-sided, and Aglietta fails to adequately theorize the role of the state in constituting regimes of capitalist regulation.</w:t>
      </w:r>
      <w:commentRangeEnd w:id="0"/>
      <w:r>
        <w:commentReference w:id="0"/>
      </w:r>
      <w:r>
        <w:rPr>
          <w:sz w:val="24"/>
          <w:szCs w:val="24"/>
        </w:rPr>
      </w:r>
    </w:p>
    <w:p>
      <w:pPr>
        <w:pStyle w:val="Normal"/>
        <w:bidi w:val="0"/>
        <w:spacing w:lineRule="auto" w:line="480" w:before="0" w:after="0"/>
        <w:ind w:firstLine="720" w:start="0" w:end="0"/>
        <w:jc w:val="start"/>
        <w:rPr>
          <w:rFonts w:ascii="Liberation Serif" w:hAnsi="Liberation Serif"/>
          <w:sz w:val="24"/>
          <w:szCs w:val="24"/>
        </w:rPr>
      </w:pPr>
      <w:r>
        <w:rPr>
          <w:sz w:val="24"/>
          <w:szCs w:val="24"/>
        </w:rPr>
        <w:t>This calls into question the framework of extensive vs intensive regimes of accumulation, or at least Aglietta’s expression of it. Clarke claims that “the post-war boom was not initiated by Fordist modes of regulation … but by austerity, by sharp industrial and political class struggles, and by direct state intervention to establish both a high rate of profit and the proportionality of the various branches of production at the national and international levels.”</w:t>
      </w:r>
      <w:r>
        <w:rPr>
          <w:rStyle w:val="FootnoteReference"/>
          <w:sz w:val="24"/>
          <w:szCs w:val="24"/>
          <w:vertAlign w:val="superscript"/>
        </w:rPr>
        <w:footnoteReference w:id="22"/>
      </w:r>
      <w:r>
        <w:rPr>
          <w:sz w:val="24"/>
          <w:szCs w:val="24"/>
        </w:rPr>
        <w:t xml:space="preserve"> The economic policy of Keynesianism was not an immanent development of the structure of capitalist regulation, but was dictated by “the balance of class forces, institutionalised in the systems of industrial relations, electoral politics and the welfare state.”</w:t>
      </w:r>
      <w:r>
        <w:rPr>
          <w:rStyle w:val="FootnoteReference"/>
          <w:sz w:val="24"/>
          <w:szCs w:val="24"/>
          <w:vertAlign w:val="superscript"/>
        </w:rPr>
        <w:footnoteReference w:id="23"/>
      </w:r>
      <w:r>
        <w:rPr>
          <w:sz w:val="24"/>
          <w:szCs w:val="24"/>
        </w:rPr>
        <w:t xml:space="preserve"> In short, the regulation approach </w:t>
      </w:r>
      <w:commentRangeStart w:id="1"/>
      <w:commentRangeStart w:id="2"/>
      <w:r>
        <w:rPr>
          <w:sz w:val="24"/>
          <w:szCs w:val="24"/>
        </w:rPr>
        <w:t>“overestimates the stability and duration of ‘Fordist’ modes of regulation” and “the extent to which Fordism can be considered a systematic ‘regime of accumulation’”</w:t>
      </w:r>
      <w:r>
        <w:rPr>
          <w:rStyle w:val="FootnoteReference"/>
          <w:sz w:val="24"/>
          <w:szCs w:val="24"/>
          <w:vertAlign w:val="superscript"/>
        </w:rPr>
        <w:footnoteReference w:id="24"/>
      </w:r>
      <w:r>
        <w:rPr>
          <w:sz w:val="24"/>
          <w:szCs w:val="24"/>
          <w:vertAlign w:val="superscript"/>
        </w:rPr>
      </w:r>
      <w:commentRangeEnd w:id="2"/>
      <w:r>
        <w:commentReference w:id="2"/>
      </w:r>
      <w:r>
        <w:rPr>
          <w:sz w:val="24"/>
          <w:szCs w:val="24"/>
          <w:vertAlign w:val="superscript"/>
        </w:rPr>
      </w:r>
      <w:commentRangeEnd w:id="1"/>
      <w:r>
        <w:commentReference w:id="1"/>
      </w:r>
      <w:r>
        <w:rPr/>
        <w:commentReference w:id="3"/>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A related failing of Aglietta’s work emerges from his (non)treatment of imperialism. In the introduction to </w:t>
      </w:r>
      <w:r>
        <w:rPr>
          <w:i/>
          <w:sz w:val="24"/>
          <w:szCs w:val="24"/>
        </w:rPr>
        <w:t>A Theory of Capitalist Regulation</w:t>
      </w:r>
      <w:r>
        <w:rPr>
          <w:sz w:val="24"/>
          <w:szCs w:val="24"/>
        </w:rPr>
        <w:t>, he defines imperialism as a system “through which one state manages to influence a series of other states to adopt a set of rules that are favourable to the stability of a vast space of multilateral commodity relations guaranteeing the circulation of capital.”</w:t>
      </w:r>
      <w:r>
        <w:rPr>
          <w:rStyle w:val="FootnoteReference"/>
          <w:sz w:val="24"/>
          <w:szCs w:val="24"/>
          <w:vertAlign w:val="superscript"/>
        </w:rPr>
        <w:footnoteReference w:id="25"/>
      </w:r>
      <w:r>
        <w:rPr>
          <w:sz w:val="24"/>
          <w:szCs w:val="24"/>
        </w:rPr>
        <w:t xml:space="preserve"> After posing this anemic definition, he pushes it aside, claiming that “there could be little question of analysing in the present work the system of contemporary states and the transformation that the crises of the 20th century have produced in inter-state relations.”</w:t>
      </w:r>
      <w:r>
        <w:rPr>
          <w:rStyle w:val="FootnoteReference"/>
          <w:sz w:val="24"/>
          <w:szCs w:val="24"/>
          <w:vertAlign w:val="superscript"/>
        </w:rPr>
        <w:footnoteReference w:id="26"/>
      </w:r>
      <w:r>
        <w:rPr>
          <w:sz w:val="24"/>
          <w:szCs w:val="24"/>
        </w:rPr>
        <w:t xml:space="preserve"> But he is unable to escape the weakness of his conception of capitalist hegemony - it undermines his entire project. In his attempt to isolate America from the global south, he misapprehends the extent to which American industry was dependent on an unequal global division of labor. The unequal exchange across state lines undergirds and forms part of capitalist regulation. The definition of imperialism as management inflicted by one state on several with the goal of broadening the circulation of capital prevents Aglietta from appreciating the global scope of capitalist regulation and reproduction.</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 xml:space="preserve">A more appropriate approach to the relationship between imperialism and Fordism is to trace the specific ways in which the automotive industry created new relations of production and consumption in peripheral countries, and how these relations contributed to the accumulation of capital in the core countries. The </w:t>
      </w:r>
      <w:r>
        <w:rPr>
          <w:sz w:val="24"/>
          <w:szCs w:val="24"/>
          <w:shd w:fill="auto" w:val="clear"/>
        </w:rPr>
        <w:t xml:space="preserve">easiest framework for such an analysis is the commodity chain - the network of extraction and production processes that transform raw materials into finished goods. </w:t>
      </w:r>
      <w:r>
        <w:rPr>
          <w:sz w:val="24"/>
          <w:szCs w:val="24"/>
          <w:shd w:fill="auto" w:val="clear"/>
        </w:rPr>
        <w:t xml:space="preserve">As an </w:t>
      </w:r>
      <w:r>
        <w:rPr>
          <w:sz w:val="24"/>
          <w:szCs w:val="24"/>
          <w:shd w:fill="auto" w:val="clear"/>
        </w:rPr>
        <w:t xml:space="preserve">raw </w:t>
      </w:r>
      <w:r>
        <w:rPr>
          <w:sz w:val="24"/>
          <w:szCs w:val="24"/>
          <w:shd w:fill="auto" w:val="clear"/>
        </w:rPr>
        <w:t xml:space="preserve">essential material unavailable in the US and Europe, </w:t>
      </w:r>
      <w:r>
        <w:rPr>
          <w:sz w:val="24"/>
          <w:szCs w:val="24"/>
          <w:shd w:fill="auto" w:val="clear"/>
        </w:rPr>
        <w:t>rubber and its conditions of production expose the fundamental</w:t>
      </w:r>
      <w:r>
        <w:rPr>
          <w:sz w:val="24"/>
          <w:szCs w:val="24"/>
          <w:shd w:fill="auto" w:val="clear"/>
        </w:rPr>
        <w:t xml:space="preserve"> global nature of the production of automobiles. </w:t>
      </w:r>
      <w:r>
        <w:rPr>
          <w:sz w:val="24"/>
          <w:szCs w:val="24"/>
          <w:shd w:fill="auto" w:val="clear"/>
        </w:rPr>
        <w:t xml:space="preserve">Cars could not be produced if rubber was not available - and their production would not be profitable if it was too expensive. In the drive to procure sufficient quantities of cheap rubber, European and American capital pulled the rubber producing regions in the Amazon, Africa and Southeast Asia into their sphere of influence, but on deeply unequal terms. </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Several factors contributed to the underdevelopment of the rubber regions: the demands of Northern industry for cheap rubber, Colonial governments with no interest in the development of stable and autonomous economies in the Global South, and unscrupulous local actors happy to exploit their countrymen for a marginal share in the profits of capital. Each of these factors interacted with the same variables that were so important to Henry Ford: the possibilities of rationalizing processes of production and the substitution of commodity consumption for subsistence labor. These two variables were manipulated in different ways than in the US Midwest, but just as in the North, they were unified as part of a "logic that operates on the totality of time and space occupied or traversed by its individuals in daily life."</w:t>
      </w:r>
      <w:r>
        <w:rPr>
          <w:rStyle w:val="FootnoteReference"/>
          <w:sz w:val="24"/>
          <w:szCs w:val="24"/>
          <w:shd w:fill="auto" w:val="clear"/>
        </w:rPr>
        <w:footnoteReference w:id="27"/>
      </w:r>
      <w:r>
        <w:rPr>
          <w:sz w:val="24"/>
          <w:szCs w:val="24"/>
          <w:shd w:fill="auto" w:val="clear"/>
        </w:rPr>
        <w:t xml:space="preserve"> To sideline the exploitation of rubber workers, and the exclusion of Global South industry from the profits of the automotive industry is to misrecognize Fordism as a category of the capitalist world-system. </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If we have called into question Fordism as a systematic regime of accumulation, and its validity as a mode of regulation divorced from both state action and the global contours of capital, we might reasonably ask what use the concept of Fordism provides, and what value we can gain from Aglietta’s treatment of it. Two of Aglietta’s core interventions - Fordism as a specific qualitative change in the articulation of production and consumption, and the increased stratification of the wage-earning class - are crucial and worth preserving, but we must investigate the extent to which the articulation in American industry was generalized beyond US borders. Specifically, we must examine the effect of a reconfiguration of US production on capitalist regulation in other parts of the globe. In the following sections, we will look </w:t>
      </w:r>
      <w:r>
        <w:rPr>
          <w:sz w:val="24"/>
          <w:szCs w:val="24"/>
        </w:rPr>
        <w:t xml:space="preserve">more closely </w:t>
      </w:r>
      <w:r>
        <w:rPr>
          <w:sz w:val="24"/>
          <w:szCs w:val="24"/>
        </w:rPr>
        <w:t>at Fordism both in its origins in the Michigan automobile industry, and its application beyond US borders.</w:t>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5-11T14:41:10Z" w:initials="">
    <w:p>
      <w:pPr>
        <w:overflowPunct w:val="true"/>
        <w:bidi w:val="0"/>
        <w:rPr/>
      </w:pPr>
      <w:r>
        <w:rPr>
          <w:rFonts w:eastAsia="DejaVu Sans" w:cs="Noto Sans Arabic"/>
          <w:kern w:val="0"/>
          <w:lang w:val="en-US" w:eastAsia="en-US" w:bidi="en-US"/>
        </w:rPr>
        <w:t>I need to do something with Clarke’s critique here</w:t>
      </w:r>
    </w:p>
  </w:comment>
  <w:comment w:id="2" w:author="Kenyon Cavender" w:date="2023-10-16T16:54:54Z" w:initials="">
    <w:p>
      <w:pPr>
        <w:overflowPunct w:val="fals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I think I need to clarify what exactly Aglietta means by 'regime of accumulation': a structural relationship between production and consumption.</w:t>
      </w:r>
    </w:p>
  </w:comment>
  <w:comment w:id="1" w:author="Kenyon Cavender" w:date="2024-01-26T18:29:12Z" w:initials="">
    <w:p>
      <w:pPr>
        <w:overflowPunct w:val="false"/>
        <w:bidi w:val="0"/>
        <w:spacing w:lineRule="auto" w:line="240"/>
        <w:rPr/>
      </w:pPr>
      <w:r>
        <w:rPr>
          <w:rFonts w:ascii="Arial" w:hAnsi="Arial" w:eastAsia="Arial" w:cs="Arial"/>
          <w:b w:val="false"/>
          <w:i w:val="false"/>
          <w:caps w:val="false"/>
          <w:smallCaps w:val="false"/>
          <w:strike w:val="false"/>
          <w:dstrike w:val="false"/>
          <w:color w:val="000000"/>
          <w:kern w:val="0"/>
          <w:position w:val="0"/>
          <w:sz w:val="22"/>
          <w:sz w:val="22"/>
          <w:szCs w:val="22"/>
          <w:u w:val="none"/>
          <w:vertAlign w:val="baseline"/>
          <w:lang w:val="en-US" w:eastAsia="en-US" w:bidi="en-US"/>
        </w:rPr>
        <w:t>particular and temporarily stable configurations of the productive relations</w:t>
      </w:r>
    </w:p>
  </w:comment>
  <w:comment w:id="3" w:author="Unknown Author" w:date="2025-06-15T21:37:03Z" w:initials="">
    <w:p>
      <w:pPr>
        <w:overflowPunct w:val="false"/>
        <w:bidi w:val="0"/>
        <w:spacing w:lineRule="auto" w:line="240"/>
        <w:rPr/>
      </w:pPr>
      <w:r>
        <w:rPr>
          <w:rFonts w:ascii="Liberation Serif" w:hAnsi="Liberation Serif" w:eastAsia="DejaVu Sans" w:cs="Noto Sans Arabic"/>
          <w:i/>
          <w:kern w:val="0"/>
          <w:sz w:val="16"/>
          <w:szCs w:val="24"/>
          <w:lang w:val="en-US" w:eastAsia="en-US" w:bidi="en-US"/>
        </w:rPr>
        <w:t>Reply to Kenyon Cavender (01/26/2024, 18:29): "..."</w:t>
      </w:r>
    </w:p>
    <w:p>
      <w:pPr>
        <w:overflowPunct w:val="false"/>
        <w:bidi w:val="0"/>
        <w:spacing w:lineRule="auto" w:line="240"/>
        <w:rPr/>
      </w:pPr>
      <w:r>
        <w:rPr>
          <w:rFonts w:ascii="Liberation Serif" w:hAnsi="Liberation Serif" w:eastAsia="DejaVu Sans" w:cs="Noto Sans Arabic"/>
          <w:kern w:val="0"/>
          <w:sz w:val="24"/>
          <w:szCs w:val="24"/>
          <w:lang w:val="en-US" w:eastAsia="en-US" w:bidi="en-US"/>
        </w:rPr>
        <w:t>I sort of just leave this here and don’t pick it up late in the paper</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6"/>
    <w:r>
      <w:rPr/>
      <w:fldChar w:fldCharType="begin"/>
    </w:r>
    <w:r>
      <w:rPr/>
      <w:instrText xml:space="preserve"> PAGE </w:instrText>
    </w:r>
    <w:r>
      <w:rPr/>
      <w:fldChar w:fldCharType="separate"/>
    </w:r>
    <w:r>
      <w:rPr/>
      <w:t>10</w:t>
    </w:r>
    <w:r>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2" w:name="PageNumWizard_FOOTER_Default_Page_Style6"/>
    <w:r>
      <w:rPr/>
      <w:fldChar w:fldCharType="begin"/>
    </w:r>
    <w:r>
      <w:rPr/>
      <w:instrText xml:space="preserve"> PAGE </w:instrText>
    </w:r>
    <w:r>
      <w:rPr/>
      <w:fldChar w:fldCharType="separate"/>
    </w:r>
    <w:r>
      <w:rPr/>
      <w:t>10</w:t>
    </w:r>
    <w:r>
      <w:rPr/>
      <w:fldChar w:fldCharType="end"/>
    </w:r>
    <w:bookmarkEnd w:id="2"/>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start="340"/>
        <w:jc w:val="start"/>
        <w:rPr/>
      </w:pPr>
      <w:r>
        <w:rPr>
          <w:rStyle w:val="FootnoteCharacters"/>
        </w:rPr>
        <w:footnoteRef/>
      </w:r>
      <w:r>
        <w:rPr/>
        <w:tab/>
        <w:t xml:space="preserve">Carl H. A. Dassbach, “The Origins of Fordism: The Introduction of Mass Production and the Five-Dollar Wage,” </w:t>
      </w:r>
      <w:r>
        <w:rPr>
          <w:i/>
        </w:rPr>
        <w:t>Critical Sociology</w:t>
      </w:r>
      <w:r>
        <w:rPr/>
        <w:t xml:space="preserve"> 18, no. 1 (1991): 77–90, </w:t>
      </w:r>
      <w:hyperlink r:id="rId1">
        <w:r>
          <w:rPr>
            <w:rStyle w:val="Hyperlink"/>
          </w:rPr>
          <w:t>https://doi.org/10.1177/089692059101800105</w:t>
        </w:r>
      </w:hyperlink>
      <w:r>
        <w:rPr/>
        <w:t>.</w:t>
      </w:r>
    </w:p>
  </w:footnote>
  <w:footnote w:id="3">
    <w:p>
      <w:pPr>
        <w:pStyle w:val="FootnoteText"/>
        <w:bidi w:val="0"/>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4">
    <w:p>
      <w:pPr>
        <w:pStyle w:val="FootnoteText"/>
        <w:suppressLineNumbers/>
        <w:bidi w:val="0"/>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131.</w:t>
      </w:r>
    </w:p>
  </w:footnote>
  <w:footnote w:id="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Michel. 1979. </w:t>
      </w:r>
      <w:r>
        <w:rPr>
          <w:rFonts w:eastAsia="Times New Roman" w:cs="Times New Roman"/>
          <w:i/>
          <w:sz w:val="20"/>
          <w:szCs w:val="20"/>
        </w:rPr>
        <w:t>A Theory of Capitalist Regulation</w:t>
      </w:r>
      <w:r>
        <w:rPr>
          <w:rFonts w:eastAsia="Times New Roman" w:cs="Times New Roman"/>
          <w:sz w:val="20"/>
          <w:szCs w:val="20"/>
        </w:rPr>
        <w:t>. London: NLB</w:t>
      </w:r>
    </w:p>
  </w:footnote>
  <w:footnote w:id="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12</w:t>
      </w:r>
    </w:p>
  </w:footnote>
  <w:footnote w:id="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w:t>
      </w:r>
    </w:p>
  </w:footnote>
  <w:footnote w:id="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13</w:t>
      </w:r>
    </w:p>
  </w:footnote>
  <w:footnote w:id="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73</w:t>
      </w:r>
    </w:p>
  </w:footnote>
  <w:footnote w:id="1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1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117</w:t>
      </w:r>
    </w:p>
  </w:footnote>
  <w:footnote w:id="1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118</w:t>
      </w:r>
    </w:p>
  </w:footnote>
  <w:footnote w:id="13">
    <w:p>
      <w:pPr>
        <w:pStyle w:val="FootnoteText"/>
        <w:bidi w:val="0"/>
        <w:jc w:val="start"/>
        <w:rPr>
          <w:highlight w:val="none"/>
          <w:shd w:fill="auto" w:val="clear"/>
        </w:rPr>
      </w:pPr>
      <w:r>
        <w:rPr>
          <w:rStyle w:val="FootnoteCharacters"/>
        </w:rPr>
        <w:footnoteRef/>
      </w:r>
      <w:r>
        <w:rPr>
          <w:shd w:fill="auto" w:val="clear"/>
        </w:rPr>
        <w:tab/>
        <w:t xml:space="preserve">Henry Ford and Samuel Crowther, </w:t>
      </w:r>
      <w:r>
        <w:rPr>
          <w:i/>
          <w:shd w:fill="auto" w:val="clear"/>
        </w:rPr>
        <w:t>My Life and Work</w:t>
      </w:r>
      <w:r>
        <w:rPr>
          <w:shd w:fill="auto" w:val="clear"/>
        </w:rPr>
        <w:t xml:space="preserve"> (Doubleday, Page &amp; Company, 1922). 108</w:t>
      </w:r>
    </w:p>
  </w:footnote>
  <w:footnote w:id="1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118</w:t>
      </w:r>
    </w:p>
  </w:footnote>
  <w:footnote w:id="1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119</w:t>
      </w:r>
    </w:p>
  </w:footnote>
  <w:footnote w:id="16">
    <w:p>
      <w:pPr>
        <w:pStyle w:val="FootnoteText"/>
        <w:suppressLineNumbers/>
        <w:bidi w:val="0"/>
        <w:ind w:hanging="340" w:start="340"/>
        <w:jc w:val="start"/>
        <w:rPr/>
      </w:pPr>
      <w:r>
        <w:rPr>
          <w:rStyle w:val="FootnoteCharacters"/>
        </w:rPr>
        <w:footnoteRef/>
      </w:r>
      <w:r>
        <w:rPr/>
        <w:tab/>
        <w:t xml:space="preserve">Chandler, </w:t>
      </w:r>
      <w:r>
        <w:rPr>
          <w:i/>
        </w:rPr>
        <w:t>The Visible Hand</w:t>
      </w:r>
      <w:r>
        <w:rPr/>
        <w:t>.</w:t>
      </w:r>
    </w:p>
  </w:footnote>
  <w:footnote w:id="17">
    <w:p>
      <w:pPr>
        <w:pStyle w:val="FootnoteText"/>
        <w:suppressLineNumbers/>
        <w:bidi w:val="0"/>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3.</w:t>
      </w:r>
    </w:p>
  </w:footnote>
  <w:footnote w:id="18">
    <w:p>
      <w:pPr>
        <w:pStyle w:val="FootnoteText"/>
        <w:rPr/>
      </w:pPr>
      <w:r>
        <w:rPr>
          <w:rStyle w:val="FootnoteCharacters"/>
        </w:rPr>
        <w:footnoteRef/>
      </w:r>
      <w:r>
        <w:rPr/>
        <w:tab/>
        <w:t xml:space="preserve"> </w:t>
      </w:r>
      <w:r>
        <w:rPr/>
        <w:t xml:space="preserve">Ruth Schwarz Cowen, </w:t>
      </w:r>
      <w:r>
        <w:rPr>
          <w:i/>
        </w:rPr>
        <w:t>More Work for Mother: The Ironies of Household Technology from the Open Hearth to the Microwave</w:t>
      </w:r>
      <w:r>
        <w:rPr/>
        <w:t xml:space="preserve"> (Basic Books, 1983).</w:t>
      </w:r>
      <w:r>
        <w:rPr/>
        <w:t xml:space="preserve"> 71-85</w:t>
      </w:r>
    </w:p>
  </w:footnote>
  <w:footnote w:id="1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159</w:t>
      </w:r>
    </w:p>
  </w:footnote>
  <w:footnote w:id="2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137</w:t>
      </w:r>
    </w:p>
  </w:footnote>
  <w:footnote w:id="2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Clarke, Simon. 1988. “Overaccumulation, Class Struggle and the Regulation Approach.” </w:t>
      </w:r>
      <w:r>
        <w:rPr>
          <w:rFonts w:eastAsia="Times New Roman" w:cs="Times New Roman"/>
          <w:i/>
          <w:sz w:val="20"/>
          <w:szCs w:val="20"/>
        </w:rPr>
        <w:t xml:space="preserve"> Capital &amp; Class</w:t>
      </w:r>
      <w:r>
        <w:rPr>
          <w:rFonts w:eastAsia="Times New Roman" w:cs="Times New Roman"/>
          <w:sz w:val="20"/>
          <w:szCs w:val="20"/>
        </w:rPr>
        <w:t xml:space="preserve">. Vol 12:3. </w:t>
      </w:r>
    </w:p>
  </w:footnote>
  <w:footnote w:id="22">
    <w:p>
      <w:pPr>
        <w:pStyle w:val="FootnoteText"/>
        <w:suppressLineNumbers/>
        <w:bidi w:val="0"/>
        <w:ind w:hanging="340" w:start="340"/>
        <w:jc w:val="start"/>
        <w:rPr/>
      </w:pPr>
      <w:r>
        <w:rPr>
          <w:rStyle w:val="FootnoteCharacters"/>
        </w:rPr>
        <w:footnoteRef/>
      </w:r>
      <w:r>
        <w:rPr/>
        <w:tab/>
        <w:t>Clarke, “Overaccumulation” 14-15</w:t>
      </w:r>
    </w:p>
  </w:footnote>
  <w:footnote w:id="23">
    <w:p>
      <w:pPr>
        <w:pStyle w:val="FootnoteText"/>
        <w:suppressLineNumbers/>
        <w:bidi w:val="0"/>
        <w:ind w:hanging="340" w:start="340"/>
        <w:jc w:val="start"/>
        <w:rPr/>
      </w:pPr>
      <w:r>
        <w:rPr>
          <w:rStyle w:val="FootnoteCharacters"/>
        </w:rPr>
        <w:footnoteRef/>
      </w:r>
      <w:r>
        <w:rPr/>
        <w:tab/>
        <w:t>Clarke, “Overaccumulation” 18</w:t>
      </w:r>
    </w:p>
  </w:footnote>
  <w:footnote w:id="24">
    <w:p>
      <w:pPr>
        <w:pStyle w:val="FootnoteText"/>
        <w:suppressLineNumbers/>
        <w:bidi w:val="0"/>
        <w:ind w:hanging="340" w:start="340"/>
        <w:jc w:val="start"/>
        <w:rPr/>
      </w:pPr>
      <w:r>
        <w:rPr>
          <w:rStyle w:val="FootnoteCharacters"/>
        </w:rPr>
        <w:footnoteRef/>
      </w:r>
      <w:r>
        <w:rPr/>
        <w:tab/>
        <w:t>Clarke, “Overaccumulation” 16</w:t>
      </w:r>
    </w:p>
  </w:footnote>
  <w:footnote w:id="2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32</w:t>
      </w:r>
    </w:p>
  </w:footnote>
  <w:footnote w:id="2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32</w:t>
      </w:r>
    </w:p>
  </w:footnote>
  <w:footnote w:id="2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s>
</file>

<file path=word/settings.xml><?xml version="1.0" encoding="utf-8"?>
<w:settings xmlns:w="http://schemas.openxmlformats.org/wordprocessingml/2006/main">
  <w:zoom w:percent="82"/>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Pr>
    <w:rPr>
      <w:i/>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oi.org/10.1177/089692059101800105"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LibreOffice/24.2.7.2$Linux_X86_64 LibreOffice_project/420$Build-2</Application>
  <AppVersion>15.0000</AppVersion>
  <Pages>10</Pages>
  <Words>3033</Words>
  <Characters>16856</Characters>
  <CharactersWithSpaces>19851</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2026-05-11T12:07:10Z</dcterms:created>
  <dc:creator/>
  <dc:description/>
  <dc:language>en-US</dc:language>
  <cp:lastModifiedBy/>
  <dcterms:modified xsi:type="dcterms:W3CDTF">2026-05-12T11:39:00Z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