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47bed3e57d52c26153fca58e40db945ac64b3b8"/>
    <w:p>
      <w:pPr>
        <w:pStyle w:val="Heading1"/>
      </w:pPr>
      <w:r>
        <w:t xml:space="preserve">Methodology Reference: Target Trial Emulation in BMJ / Lancet / JAMA / NEJM, 2025–2026</w:t>
      </w:r>
    </w:p>
    <w:p>
      <w:pPr>
        <w:pStyle w:val="FirstParagraph"/>
      </w:pPr>
      <w:r>
        <w:rPr>
          <w:b/>
          <w:bCs/>
        </w:rPr>
        <w:t xml:space="preserve">Window:</w:t>
      </w:r>
      <w:r>
        <w:t xml:space="preserve"> </w:t>
      </w:r>
      <w:r>
        <w:t xml:space="preserve">2025-01-01 → 2026-05-10</w:t>
      </w:r>
      <w:r>
        <w:t xml:space="preserve"> </w:t>
      </w:r>
      <w:r>
        <w:rPr>
          <w:b/>
          <w:bCs/>
        </w:rPr>
        <w:t xml:space="preserve">Focus:</w:t>
      </w:r>
      <w:r>
        <w:t xml:space="preserve"> </w:t>
      </w:r>
      <w:r>
        <w:t xml:space="preserve">methodology, not topic. What design and analytic choices the high-impact journals are publishing and demanding from TTE manuscripts.</w:t>
      </w:r>
      <w:r>
        <w:t xml:space="preserve"> </w:t>
      </w:r>
      <w:r>
        <w:rPr>
          <w:b/>
          <w:bCs/>
        </w:rPr>
        <w:t xml:space="preserve">Compiled:</w:t>
      </w:r>
      <w:r>
        <w:t xml:space="preserve"> </w:t>
      </w:r>
      <w:r>
        <w:t xml:space="preserve">2026-05-10</w:t>
      </w:r>
    </w:p>
    <w:p>
      <w:r>
        <w:pict>
          <v:rect style="width:0;height:1.5pt" o:hralign="center" o:hrstd="t" o:hr="t"/>
        </w:pict>
      </w:r>
    </w:p>
    <w:bookmarkStart w:id="9" w:name="X057f56cc9d6e191200926a24eaa55a23eaf6c28"/>
    <w:p>
      <w:pPr>
        <w:pStyle w:val="Heading2"/>
      </w:pPr>
      <w:r>
        <w:t xml:space="preserve">1. The target-trial protocol — the seven required components</w:t>
      </w:r>
    </w:p>
    <w:p>
      <w:pPr>
        <w:pStyle w:val="FirstParagraph"/>
      </w:pPr>
      <w:r>
        <w:t xml:space="preserve">Every TTE in this window writes down two protocols side by side: a hypothetical</w:t>
      </w:r>
      <w:r>
        <w:t xml:space="preserve"> </w:t>
      </w:r>
      <w:r>
        <w:rPr>
          <w:i/>
          <w:iCs/>
        </w:rPr>
        <w:t xml:space="preserve">target trial</w:t>
      </w:r>
      <w:r>
        <w:t xml:space="preserve"> </w:t>
      </w:r>
      <w:r>
        <w:t xml:space="preserve">and its</w:t>
      </w:r>
      <w:r>
        <w:t xml:space="preserve"> </w:t>
      </w:r>
      <w:r>
        <w:rPr>
          <w:i/>
          <w:iCs/>
        </w:rPr>
        <w:t xml:space="preserve">emulation</w:t>
      </w:r>
      <w:r>
        <w:t xml:space="preserve"> </w:t>
      </w:r>
      <w:r>
        <w:t xml:space="preserve">in observational data. The TARGET Statement (Cashin/Hernán et al., BMJ 2025;390:e087179 / JAMA 2025; PMC13084563) standardizes the seven components: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Eligibility criteria.</w:t>
      </w:r>
      <w:r>
        <w:t xml:space="preserve"> </w:t>
      </w:r>
      <w:r>
        <w:t xml:space="preserve">The population to which results apply.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Treatment strategies.</w:t>
      </w:r>
      <w:r>
        <w:t xml:space="preserve"> </w:t>
      </w:r>
      <w:r>
        <w:t xml:space="preserve">Specified in enough detail to be implementable (point interventions vs. sustained strategies; dose; duration; switching rules).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Assignment procedure.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target</w:t>
      </w:r>
      <w:r>
        <w:t xml:space="preserve"> </w:t>
      </w:r>
      <w:r>
        <w:t xml:space="preserve">trial: random; in the</w:t>
      </w:r>
      <w:r>
        <w:t xml:space="preserve"> </w:t>
      </w:r>
      <w:r>
        <w:rPr>
          <w:i/>
          <w:iCs/>
        </w:rPr>
        <w:t xml:space="preserve">emulation</w:t>
      </w:r>
      <w:r>
        <w:t xml:space="preserve">: classification based on observed data, conditional on baseline confounders (the conditional-exchangeability assumption replaces randomization).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Follow-up start and end.</w:t>
      </w:r>
      <w:r>
        <w:t xml:space="preserve"> </w:t>
      </w:r>
      <w:r>
        <w:t xml:space="preserve">Follow-up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start at assignment.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Outcomes.</w:t>
      </w:r>
      <w:r>
        <w:t xml:space="preserve"> </w:t>
      </w:r>
      <w:r>
        <w:t xml:space="preserve">Including how and when measured.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contrast(s).</w:t>
      </w:r>
      <w:r>
        <w:t xml:space="preserve"> </w:t>
      </w:r>
      <w:r>
        <w:t xml:space="preserve">ITT-analog vs. per-protocol; effect measures (HR, RD, RR).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Identifying assumptions and analysis plan.</w:t>
      </w:r>
      <w:r>
        <w:t xml:space="preserve"> </w:t>
      </w:r>
      <w:r>
        <w:t xml:space="preserve">Including handling of missing data, censoring, competing events.</w:t>
      </w:r>
    </w:p>
    <w:p>
      <w:pPr>
        <w:pStyle w:val="FirstParagraph"/>
      </w:pPr>
      <w:r>
        <w:t xml:space="preserve">Every protocol component must be (a) specified for the target trial and (b) explicitly mapped to an operationalization in the data — TARGET items 6a–6h paired with 7a–7h.ii.</w:t>
      </w:r>
    </w:p>
    <w:p>
      <w:r>
        <w:pict>
          <v:rect style="width:0;height:1.5pt" o:hralign="center" o:hrstd="t" o:hr="t"/>
        </w:pict>
      </w:r>
    </w:p>
    <w:bookmarkEnd w:id="9"/>
    <w:bookmarkStart w:id="16" w:name="Xf79fa897fbe296e940a85e31245e15072a863b3"/>
    <w:p>
      <w:pPr>
        <w:pStyle w:val="Heading2"/>
      </w:pPr>
      <w:r>
        <w:t xml:space="preserve">2. The TARGET Statement — 21-item reporting checklist (verbatim from PMC13084563)</w:t>
      </w:r>
    </w:p>
    <w:bookmarkStart w:id="10" w:name="abstract"/>
    <w:p>
      <w:pPr>
        <w:pStyle w:val="Heading3"/>
      </w:pPr>
      <w:r>
        <w:t xml:space="preserve">Abstract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1a.</w:t>
      </w:r>
      <w:r>
        <w:t xml:space="preserve"> </w:t>
      </w:r>
      <w:r>
        <w:t xml:space="preserve">Identify that the study attempts to emulate a target trial using observational data. State the study objectives and briefly summarize the specified target trial.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1b.</w:t>
      </w:r>
      <w:r>
        <w:t xml:space="preserve"> </w:t>
      </w:r>
      <w:r>
        <w:t xml:space="preserve">Report the data sources used for emulation.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1c.</w:t>
      </w:r>
      <w:r>
        <w:t xml:space="preserve"> </w:t>
      </w:r>
      <w:r>
        <w:t xml:space="preserve">Summarize key assumptions, statistical methods, findings and conclusions.</w:t>
      </w:r>
    </w:p>
    <w:bookmarkEnd w:id="10"/>
    <w:bookmarkStart w:id="11" w:name="introduction"/>
    <w:p>
      <w:pPr>
        <w:pStyle w:val="Heading3"/>
      </w:pPr>
      <w:r>
        <w:t xml:space="preserve">Introduction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 (Background).</w:t>
      </w:r>
      <w:r>
        <w:t xml:space="preserve"> </w:t>
      </w:r>
      <w:r>
        <w:t xml:space="preserve">Describe the scientific background of the study and the gap in knowledge.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 (Causal question).</w:t>
      </w:r>
      <w:r>
        <w:t xml:space="preserve"> </w:t>
      </w:r>
      <w:r>
        <w:t xml:space="preserve">Summarize the causal question specified by the target trial protocol including the target population (eligibility criteria), treatment strategies compared, end of follow-up, and outcomes.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 (Rationale).</w:t>
      </w:r>
      <w:r>
        <w:t xml:space="preserve"> </w:t>
      </w:r>
      <w:r>
        <w:t xml:space="preserve">Describe why the specific gap in knowledge (causal question) may be addressed by emulating a target trial (study design) with the available data.</w:t>
      </w:r>
    </w:p>
    <w:bookmarkEnd w:id="11"/>
    <w:bookmarkStart w:id="12" w:name="methods"/>
    <w:p>
      <w:pPr>
        <w:pStyle w:val="Heading3"/>
      </w:pPr>
      <w:r>
        <w:t xml:space="preserve">Methods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 (Data sources).</w:t>
      </w:r>
      <w:r>
        <w:t xml:space="preserve"> </w:t>
      </w:r>
      <w:r>
        <w:t xml:space="preserve">Cite the data sources used for the analyses and for each one describe: original purpose, type, geographic locations, setting, time-period; describe linkage/pooling if any.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6a–6h (Target trial specification).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6a Eligibility</w:t>
      </w:r>
      <w:r>
        <w:t xml:space="preserve"> </w:t>
      </w:r>
      <w:r>
        <w:t xml:space="preserve">— describe the eligibility criteria.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6b Treatment strategies</w:t>
      </w:r>
      <w:r>
        <w:t xml:space="preserve"> </w:t>
      </w:r>
      <w:r>
        <w:t xml:space="preserve">— describe in sufficient detail to allow implementation.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6c Assignment</w:t>
      </w:r>
      <w:r>
        <w:t xml:space="preserve"> </w:t>
      </w:r>
      <w:r>
        <w:t xml:space="preserve">— eligible individuals would be randomly assigned; allocation may be unblinded.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6d Follow-up</w:t>
      </w:r>
      <w:r>
        <w:t xml:space="preserve"> </w:t>
      </w:r>
      <w:r>
        <w:t xml:space="preserve">— starts at assignment; specify when it ends.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6e Outcomes</w:t>
      </w:r>
      <w:r>
        <w:t xml:space="preserve"> </w:t>
      </w:r>
      <w:r>
        <w:t xml:space="preserve">— what, how, when measured.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6f Causal contrasts</w:t>
      </w:r>
      <w:r>
        <w:t xml:space="preserve"> </w:t>
      </w:r>
      <w:r>
        <w:t xml:space="preserve">— including ITT effect, per-protocol effect, effect measures.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6g Identifying assumptions</w:t>
      </w:r>
      <w:r>
        <w:t xml:space="preserve"> </w:t>
      </w:r>
      <w:r>
        <w:t xml:space="preserve">— for each estimand.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6h Data analysis</w:t>
      </w:r>
      <w:r>
        <w:t xml:space="preserve"> </w:t>
      </w:r>
      <w:r>
        <w:t xml:space="preserve">— including modeling assumptions and missing-data handling.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7a–7h.ii (Emulation = mapping to data).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7a</w:t>
      </w:r>
      <w:r>
        <w:t xml:space="preserve"> </w:t>
      </w:r>
      <w:r>
        <w:t xml:space="preserve">how eligibility was ascertained in the data.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7b</w:t>
      </w:r>
      <w:r>
        <w:t xml:space="preserve"> </w:t>
      </w:r>
      <w:r>
        <w:t xml:space="preserve">how each component of the treatment strategies was ascertained/defined.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7c</w:t>
      </w:r>
      <w:r>
        <w:t xml:space="preserve"> </w:t>
      </w:r>
      <w:r>
        <w:t xml:space="preserve">how individuals were classified to each treatment strategy.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7d</w:t>
      </w:r>
      <w:r>
        <w:t xml:space="preserve"> </w:t>
      </w:r>
      <w:r>
        <w:t xml:space="preserve">clarify follow-up starts at assignment; describe how end of follow-up was operationalized.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7e</w:t>
      </w:r>
      <w:r>
        <w:t xml:space="preserve"> </w:t>
      </w:r>
      <w:r>
        <w:t xml:space="preserve">how outcomes were ascertained, including any differences from the target trial.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7f</w:t>
      </w:r>
      <w:r>
        <w:t xml:space="preserve"> </w:t>
      </w:r>
      <w:r>
        <w:t xml:space="preserve">how causal contrasts were operationalized, including effect measures.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7g.i</w:t>
      </w:r>
      <w:r>
        <w:t xml:space="preserve"> </w:t>
      </w:r>
      <w:r>
        <w:t xml:space="preserve">for each estimand, the assumptions made — explicitly including baseline confounding due to lack of randomization.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7g.ii</w:t>
      </w:r>
      <w:r>
        <w:t xml:space="preserve"> </w:t>
      </w:r>
      <w:r>
        <w:t xml:space="preserve">how variables related to those assumptions were operationalized.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7h.i</w:t>
      </w:r>
      <w:r>
        <w:t xml:space="preserve"> </w:t>
      </w:r>
      <w:r>
        <w:t xml:space="preserve">modifications to the target trial’s analysis methods needed by the emulation.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7h.ii</w:t>
      </w:r>
      <w:r>
        <w:t xml:space="preserve"> </w:t>
      </w:r>
      <w:r>
        <w:t xml:space="preserve">sensitivity analyses for choice of operationalizations, assumptions and analysis.</w:t>
      </w:r>
    </w:p>
    <w:bookmarkEnd w:id="12"/>
    <w:bookmarkStart w:id="13" w:name="results"/>
    <w:p>
      <w:pPr>
        <w:pStyle w:val="Heading3"/>
      </w:pPr>
      <w:r>
        <w:t xml:space="preserve">Results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8 Participant selection</w:t>
      </w:r>
      <w:r>
        <w:t xml:space="preserve"> </w:t>
      </w:r>
      <w:r>
        <w:t xml:space="preserve">— assessed / eligible / assigned per strategy; flow diagram strongly recommended.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9 Baseline data</w:t>
      </w:r>
      <w:r>
        <w:t xml:space="preserve"> </w:t>
      </w:r>
      <w:r>
        <w:t xml:space="preserve">— characteristic distributions by strategy.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10 Follow-up</w:t>
      </w:r>
      <w:r>
        <w:t xml:space="preserve"> </w:t>
      </w:r>
      <w:r>
        <w:t xml:space="preserve">— length and reasons for end, by strategy and contrast.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11 Missing data</w:t>
      </w:r>
      <w:r>
        <w:t xml:space="preserve"> </w:t>
      </w:r>
      <w:r>
        <w:t xml:space="preserve">— frequency, by strategy.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12 Outcomes</w:t>
      </w:r>
      <w:r>
        <w:t xml:space="preserve"> </w:t>
      </w:r>
      <w:r>
        <w:t xml:space="preserve">— frequency or distribution, by strategy.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13 Effect estimates</w:t>
      </w:r>
      <w:r>
        <w:t xml:space="preserve"> </w:t>
      </w:r>
      <w:r>
        <w:t xml:space="preserve">— for each contrast, with precision; absolute and relative measures.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14 Additional analyses</w:t>
      </w:r>
      <w:r>
        <w:t xml:space="preserve"> </w:t>
      </w:r>
      <w:r>
        <w:t xml:space="preserve">— sensitivity results for operationalizations, assumptions and analysis.</w:t>
      </w:r>
    </w:p>
    <w:bookmarkEnd w:id="13"/>
    <w:bookmarkStart w:id="14" w:name="discussion"/>
    <w:p>
      <w:pPr>
        <w:pStyle w:val="Heading3"/>
      </w:pPr>
      <w:r>
        <w:t xml:space="preserve">Discussion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15 Interpretation</w:t>
      </w:r>
      <w:r>
        <w:t xml:space="preserve"> </w:t>
      </w:r>
      <w:r>
        <w:t xml:space="preserve">— under the identifying assumptions, in light of precision.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16 Limitations</w:t>
      </w:r>
      <w:r>
        <w:t xml:space="preserve"> </w:t>
      </w:r>
      <w:r>
        <w:t xml:space="preserve">— explicitly the target-vs-emulation gap and assumption plausibility, including baseline confounding.</w:t>
      </w:r>
    </w:p>
    <w:bookmarkEnd w:id="14"/>
    <w:bookmarkStart w:id="15" w:name="other-information"/>
    <w:p>
      <w:pPr>
        <w:pStyle w:val="Heading3"/>
      </w:pPr>
      <w:r>
        <w:t xml:space="preserve">Other information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17</w:t>
      </w:r>
      <w:r>
        <w:t xml:space="preserve"> </w:t>
      </w:r>
      <w:r>
        <w:t xml:space="preserve">Ethics.</w:t>
      </w:r>
      <w:r>
        <w:t xml:space="preserve"> </w:t>
      </w:r>
      <w:r>
        <w:rPr>
          <w:b/>
          <w:bCs/>
        </w:rPr>
        <w:t xml:space="preserve">18</w:t>
      </w:r>
      <w:r>
        <w:t xml:space="preserve"> </w:t>
      </w:r>
      <w:r>
        <w:t xml:space="preserve">Registration.</w:t>
      </w:r>
      <w:r>
        <w:t xml:space="preserve"> </w:t>
      </w:r>
      <w:r>
        <w:rPr>
          <w:b/>
          <w:bCs/>
        </w:rPr>
        <w:t xml:space="preserve">19</w:t>
      </w:r>
      <w:r>
        <w:t xml:space="preserve"> </w:t>
      </w:r>
      <w:r>
        <w:t xml:space="preserve">Data/code sharing.</w:t>
      </w:r>
      <w:r>
        <w:t xml:space="preserve"> </w:t>
      </w:r>
      <w:r>
        <w:rPr>
          <w:b/>
          <w:bCs/>
        </w:rPr>
        <w:t xml:space="preserve">20</w:t>
      </w:r>
      <w:r>
        <w:t xml:space="preserve"> </w:t>
      </w:r>
      <w:r>
        <w:t xml:space="preserve">Funding and funder role.</w:t>
      </w:r>
      <w:r>
        <w:t xml:space="preserve"> </w:t>
      </w:r>
      <w:r>
        <w:rPr>
          <w:b/>
          <w:bCs/>
        </w:rPr>
        <w:t xml:space="preserve">21</w:t>
      </w:r>
      <w:r>
        <w:t xml:space="preserve"> </w:t>
      </w:r>
      <w:r>
        <w:t xml:space="preserve">COIs.</w:t>
      </w:r>
    </w:p>
    <w:p>
      <w:pPr>
        <w:pStyle w:val="FirstParagraph"/>
      </w:pPr>
      <w:r>
        <w:rPr>
          <w:b/>
          <w:bCs/>
        </w:rPr>
        <w:t xml:space="preserve">Innovations vs. STROBE/RECORD.</w:t>
      </w:r>
      <w:r>
        <w:t xml:space="preserve"> </w:t>
      </w:r>
      <w:r>
        <w:t xml:space="preserve">TARGET is the first reporting guideline that (a) requires self-identification as a TTE; (b) makes the</w:t>
      </w:r>
      <w:r>
        <w:t xml:space="preserve"> </w:t>
      </w:r>
      <w:r>
        <w:rPr>
          <w:i/>
          <w:iCs/>
        </w:rPr>
        <w:t xml:space="preserve">hypothetical</w:t>
      </w:r>
      <w:r>
        <w:t xml:space="preserve"> </w:t>
      </w:r>
      <w:r>
        <w:t xml:space="preserve">target-trial protocol a reportable object; (c) demands an explicit</w:t>
      </w:r>
      <w:r>
        <w:t xml:space="preserve"> </w:t>
      </w:r>
      <w:r>
        <w:rPr>
          <w:i/>
          <w:iCs/>
        </w:rPr>
        <w:t xml:space="preserve">mapping table</w:t>
      </w:r>
      <w:r>
        <w:t xml:space="preserve"> </w:t>
      </w:r>
      <w:r>
        <w:t xml:space="preserve">from protocol component → data operationalization; (d) elevates identifying assumptions (especially unmeasured confounding) to a top-level reporting requirement.</w:t>
      </w:r>
    </w:p>
    <w:p>
      <w:pPr>
        <w:pStyle w:val="BodyText"/>
      </w:pPr>
      <w:r>
        <w:rPr>
          <w:b/>
          <w:bCs/>
        </w:rPr>
        <w:t xml:space="preserve">Identifying assumptions the paper requires you to state.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at baseline (no unmeasured confounding given measured covariates) — substitutes for randomization.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— non-zero probability of each strategy at every confounder pattern.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Consistency / well-defined interventions</w:t>
      </w:r>
      <w:r>
        <w:t xml:space="preserve"> </w:t>
      </w:r>
      <w:r>
        <w:t xml:space="preserve">— the observed treatment value equals the counterfactual under that strategy.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Independent / informative censoring</w:t>
      </w:r>
      <w:r>
        <w:t xml:space="preserve"> </w:t>
      </w:r>
      <w:r>
        <w:t xml:space="preserve">assumptions for loss to follow-up, non-adherence, competing events.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time-zero-alignment-fu-et-al.-bmj-2026"/>
    <w:p>
      <w:pPr>
        <w:pStyle w:val="Heading2"/>
      </w:pPr>
      <w:r>
        <w:t xml:space="preserve">3. Time-zero alignment — Fu et al., BMJ 2026</w:t>
      </w:r>
    </w:p>
    <w:p>
      <w:pPr>
        <w:pStyle w:val="FirstParagraph"/>
      </w:pPr>
      <w:r>
        <w:rPr>
          <w:b/>
          <w:bCs/>
        </w:rPr>
        <w:t xml:space="preserve">Citation.</w:t>
      </w:r>
      <w:r>
        <w:t xml:space="preserve"> </w:t>
      </w:r>
      <w:r>
        <w:t xml:space="preserve">Fu EL, Harhay MO, Schneeweiss S, Desai RJ, Hernán MA.</w:t>
      </w:r>
      <w:r>
        <w:t xml:space="preserve"> </w:t>
      </w:r>
      <w:r>
        <w:rPr>
          <w:i/>
          <w:iCs/>
        </w:rPr>
        <w:t xml:space="preserve">Starting right: aligning eligibility and treatment assignment at time zero when emulating a target trial.</w:t>
      </w:r>
      <w:r>
        <w:t xml:space="preserve"> </w:t>
      </w:r>
      <w:r>
        <w:t xml:space="preserve">BMJ 2026;392:e084909 (PMID 41526041).</w:t>
      </w:r>
    </w:p>
    <w:p>
      <w:pPr>
        <w:pStyle w:val="BodyText"/>
      </w:pPr>
      <w:r>
        <w:rPr>
          <w:b/>
          <w:bCs/>
        </w:rPr>
        <w:t xml:space="preserve">Why this paper exists.</w:t>
      </w:r>
      <w:r>
        <w:t xml:space="preserve"> </w:t>
      </w:r>
      <w:r>
        <w:t xml:space="preserve">A 2025 systematic review (J Clin Epidemiol, Fu et al.) found</w:t>
      </w:r>
      <w:r>
        <w:t xml:space="preserve"> </w:t>
      </w:r>
      <w:r>
        <w:rPr>
          <w:b/>
          <w:bCs/>
        </w:rPr>
        <w:t xml:space="preserve">49% of 199 published TTEs misaligned</w:t>
      </w:r>
      <w:r>
        <w:t xml:space="preserve"> </w:t>
      </w:r>
      <w:r>
        <w:t xml:space="preserve">the times of eligibility / treatment assignment / start of follow-up, and</w:t>
      </w:r>
      <w:r>
        <w:t xml:space="preserve"> </w:t>
      </w:r>
      <w:r>
        <w:rPr>
          <w:b/>
          <w:bCs/>
        </w:rPr>
        <w:t xml:space="preserve">60% of those did not apply any analytic method to correct it.</w:t>
      </w:r>
      <w:r>
        <w:t xml:space="preserve"> </w:t>
      </w:r>
      <w:r>
        <w:t xml:space="preserve">Misalignment reintroduces the very biases TTE exists to prevent.</w:t>
      </w:r>
    </w:p>
    <w:bookmarkStart w:id="17" w:name="the-single-rule"/>
    <w:p>
      <w:pPr>
        <w:pStyle w:val="Heading3"/>
      </w:pPr>
      <w:r>
        <w:t xml:space="preserve">3.1 The single rule</w:t>
      </w:r>
    </w:p>
    <w:p>
      <w:pPr>
        <w:pStyle w:val="FirstParagraph"/>
      </w:pPr>
      <w:r>
        <w:t xml:space="preserve">Time zero ≡ the calendar moment when,</w:t>
      </w:r>
      <w:r>
        <w:t xml:space="preserve"> </w:t>
      </w:r>
      <w:r>
        <w:rPr>
          <w:i/>
          <w:iCs/>
        </w:rPr>
        <w:t xml:space="preserve">for that individual</w:t>
      </w:r>
      <w:r>
        <w:t xml:space="preserve">: (i) eligibility is met, (ii) the treatment strategy is assigned, and (iii) follow-up begins. These three must coincide. If any piece uses post-baseline information, you have misalignment.</w:t>
      </w:r>
    </w:p>
    <w:bookmarkEnd w:id="17"/>
    <w:bookmarkStart w:id="18" w:name="X1129eb3611d4b909f0837551772a995a4b81839"/>
    <w:p>
      <w:pPr>
        <w:pStyle w:val="Heading3"/>
      </w:pPr>
      <w:r>
        <w:t xml:space="preserve">3.2 Misalignment patterns and the biases they create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Misalignment pattern</w:t>
            </w:r>
          </w:p>
        </w:tc>
        <w:tc>
          <w:tcPr/>
          <w:p>
            <w:pPr>
              <w:pStyle w:val="Compact"/>
            </w:pPr>
            <w:r>
              <w:t xml:space="preserve">Bias produced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Eligibility ascertained using data after t=0 (e.g.,</w:t>
            </w:r>
            <w:r>
              <w:t xml:space="preserve"> </w:t>
            </w:r>
            <w:r>
              <w:t xml:space="preserve">“had ≥6 months of follow-up”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Selection / immortal-time 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strategy assigned using post-baseline data (e.g.,</w:t>
            </w:r>
            <w:r>
              <w:t xml:space="preserve"> </w:t>
            </w:r>
            <w:r>
              <w:t xml:space="preserve">“ever-user”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“received drug within 1 year”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Immortal-time bias; depletion of susceptibles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“Prevalent users”</w:t>
            </w:r>
            <w:r>
              <w:t xml:space="preserve"> </w:t>
            </w:r>
            <w:r>
              <w:t xml:space="preserve">included instead of new users</w:t>
            </w:r>
          </w:p>
        </w:tc>
        <w:tc>
          <w:tcPr/>
          <w:p>
            <w:pPr>
              <w:pStyle w:val="Compact"/>
            </w:pPr>
            <w:r>
              <w:t xml:space="preserve">Healthy-user / depletion-of-susceptibles 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 starts before assignment is determinable</w:t>
            </w:r>
          </w:p>
        </w:tc>
        <w:tc>
          <w:tcPr/>
          <w:p>
            <w:pPr>
              <w:pStyle w:val="Compact"/>
            </w:pPr>
            <w:r>
              <w:t xml:space="preserve">Immortal time before t=0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Adjustment for variables measured after t=0</w:t>
            </w:r>
          </w:p>
        </w:tc>
        <w:tc>
          <w:tcPr/>
          <w:p>
            <w:pPr>
              <w:pStyle w:val="Compact"/>
            </w:pPr>
            <w:r>
              <w:t xml:space="preserve">Mediator/collider conditioning bias</w:t>
            </w:r>
          </w:p>
        </w:tc>
      </w:tr>
    </w:tbl>
    <w:bookmarkEnd w:id="18"/>
    <w:bookmarkStart w:id="19" w:name="X3c5255a2e4b37107056ee5c55dc25b317a3a1d8"/>
    <w:p>
      <w:pPr>
        <w:pStyle w:val="Heading3"/>
      </w:pPr>
      <w:r>
        <w:t xml:space="preserve">3.3 The three target-trial scenarios in the paper</w:t>
      </w:r>
    </w:p>
    <w:p>
      <w:pPr>
        <w:pStyle w:val="FirstParagraph"/>
      </w:pPr>
      <w:r>
        <w:t xml:space="preserve">The paper walks through</w:t>
      </w:r>
      <w:r>
        <w:t xml:space="preserve"> </w:t>
      </w:r>
      <w:r>
        <w:rPr>
          <w:i/>
          <w:iCs/>
        </w:rPr>
        <w:t xml:space="preserve">three increasingly complex target trials</w:t>
      </w:r>
      <w:r>
        <w:t xml:space="preserve"> </w:t>
      </w:r>
      <w:r>
        <w:t xml:space="preserve">and shows how to align all three timing elements in each. (Detail at the protocol level requires the full text; the structural takeaway is below.)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Scenario A — point intervention (single-time decision).</w:t>
      </w:r>
      <w:r>
        <w:t xml:space="preserve"> </w:t>
      </w:r>
      <w:r>
        <w:t xml:space="preserve">Both arms initiate or do not initiate at t=0. Alignment is straightforward: define eligibility and assignment at the same encounter; new-user, active-comparator design.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Scenario B — sustained strategy with deterministic continuation.</w:t>
      </w:r>
      <w:r>
        <w:t xml:space="preserve"> </w:t>
      </w:r>
      <w:r>
        <w:t xml:space="preserve">Strategy =</w:t>
      </w:r>
      <w:r>
        <w:t xml:space="preserve"> </w:t>
      </w:r>
      <w:r>
        <w:t xml:space="preserve">“initiate and remain on treatment for X months.”</w:t>
      </w:r>
      <w:r>
        <w:t xml:space="preserve"> </w:t>
      </w:r>
      <w:r>
        <w:t xml:space="preserve">Patients who deviate must be handled, not excluded post-hoc. Solutions: per-protocol estimand with</w:t>
      </w:r>
      <w:r>
        <w:t xml:space="preserve"> </w:t>
      </w:r>
      <w:r>
        <w:rPr>
          <w:b/>
          <w:bCs/>
        </w:rPr>
        <w:t xml:space="preserve">inverse probability of censoring weights (IPCW)</w:t>
      </w:r>
      <w:r>
        <w:t xml:space="preserve"> </w:t>
      </w:r>
      <w:r>
        <w:t xml:space="preserve">for non-adherence.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Scenario C — strategy with a treatment-initiation window (</w:t>
      </w:r>
      <w:r>
        <w:rPr>
          <w:b/>
          <w:bCs/>
        </w:rPr>
        <w:t xml:space="preserve">“grace period”</w:t>
      </w:r>
      <w:r>
        <w:rPr>
          <w:b/>
          <w:bCs/>
        </w:rPr>
        <w:t xml:space="preserve">).</w:t>
      </w:r>
      <w:r>
        <w:t xml:space="preserve"> </w:t>
      </w:r>
      <w:r>
        <w:t xml:space="preserve">Strategy =</w:t>
      </w:r>
      <w:r>
        <w:t xml:space="preserve"> </w:t>
      </w:r>
      <w:r>
        <w:t xml:space="preserve">“initiate within K days of eligibility.”</w:t>
      </w:r>
      <w:r>
        <w:t xml:space="preserve"> </w:t>
      </w:r>
      <w:r>
        <w:t xml:space="preserve">A patient’s treatment status during the grace period is ambiguous at t=0. Solutions:</w:t>
      </w:r>
      <w:r>
        <w:t xml:space="preserve"> </w:t>
      </w:r>
      <w:r>
        <w:rPr>
          <w:b/>
          <w:bCs/>
        </w:rPr>
        <w:t xml:space="preserve">clone-censor-weight (CCW)</w:t>
      </w:r>
      <w:r>
        <w:t xml:space="preserve"> </w:t>
      </w:r>
      <w:r>
        <w:t xml:space="preserve">— clone every eligible person into both strategies at t=0, censor a clone when its observed data become inconsistent with the assigned strategy, then up-weight surviving clones with IPCW.</w:t>
      </w:r>
    </w:p>
    <w:bookmarkEnd w:id="19"/>
    <w:bookmarkStart w:id="20" w:name="decision-diagram-the-papers-contribution"/>
    <w:p>
      <w:pPr>
        <w:pStyle w:val="Heading3"/>
      </w:pPr>
      <w:r>
        <w:t xml:space="preserve">3.4 Decision diagram (the paper’s contribution)</w:t>
      </w:r>
    </w:p>
    <w:p>
      <w:pPr>
        <w:pStyle w:val="FirstParagraph"/>
      </w:pPr>
      <w:r>
        <w:t xml:space="preserve">Fu et al. provide a decision diagram that maps the structure of the treatment strategies to the appropriate analytic approach: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Strategies fully determined at t=0?</w:t>
      </w:r>
      <w:r>
        <w:t xml:space="preserve"> </w:t>
      </w:r>
      <w:r>
        <w:t xml:space="preserve">→ standard new-user/active-comparator analysis (Scenario A).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Strategies require sustained behavior over time?</w:t>
      </w:r>
      <w:r>
        <w:t xml:space="preserve"> </w:t>
      </w:r>
      <w:r>
        <w:t xml:space="preserve">→ per-protocol with IPCW for deviation (Scenario B).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Strategies have an initiation window / grace period?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clone-censor-weight</w:t>
      </w:r>
      <w:r>
        <w:t xml:space="preserve"> </w:t>
      </w:r>
      <w:r>
        <w:t xml:space="preserve">(Scenario C).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Strategies depend on time-varying conditions (e.g., treat-when-CD4-drops)?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(parametric g-formula or sequential trial emulation) for the per-protocol effect.</w:t>
      </w:r>
    </w:p>
    <w:bookmarkEnd w:id="20"/>
    <w:bookmarkStart w:id="21" w:name="Xb4017b8e20bd0b31f94ace83b5caa13413466f8"/>
    <w:p>
      <w:pPr>
        <w:pStyle w:val="Heading3"/>
      </w:pPr>
      <w:r>
        <w:t xml:space="preserve">3.5 What this means for the choice of causal contrast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ITT-analog effect</w:t>
      </w:r>
      <w:r>
        <w:t xml:space="preserve"> </w:t>
      </w:r>
      <w:r>
        <w:t xml:space="preserve">is identified under simpler assumptions but is sensitive to non-adherence; reasonable when adherence in the target trial would itself be imperfect.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Per-protocol effect</w:t>
      </w:r>
      <w:r>
        <w:t xml:space="preserve"> </w:t>
      </w:r>
      <w:r>
        <w:t xml:space="preserve">requires modeling deviations and applying IPCW or g-methods; needed when the policy question is about being-on-treatment.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X18d4c72e775b9c6572fa6b3619a30805f6baced"/>
    <w:p>
      <w:pPr>
        <w:pStyle w:val="Heading2"/>
      </w:pPr>
      <w:r>
        <w:t xml:space="preserve">4. Analytic methods seen across 2025–2026 TTEs in the four journals</w:t>
      </w:r>
    </w:p>
    <w:bookmarkStart w:id="23" w:name="clone-censor-weight-ccw"/>
    <w:p>
      <w:pPr>
        <w:pStyle w:val="Heading3"/>
      </w:pPr>
      <w:r>
        <w:t xml:space="preserve">4.1 Clone-censor-weight (CCW)</w:t>
      </w:r>
    </w:p>
    <w:p>
      <w:pPr>
        <w:pStyle w:val="FirstParagraph"/>
      </w:pPr>
      <w:r>
        <w:rPr>
          <w:b/>
          <w:bCs/>
        </w:rPr>
        <w:t xml:space="preserve">Use when</w:t>
      </w:r>
      <w:r>
        <w:t xml:space="preserve"> </w:t>
      </w:r>
      <w:r>
        <w:t xml:space="preserve">the treatment strategy includes a grace period or an initiation window in which treatment status at t=0 is undefined.</w:t>
      </w:r>
      <w:r>
        <w:t xml:space="preserve"> </w:t>
      </w:r>
      <w:r>
        <w:rPr>
          <w:b/>
          <w:bCs/>
        </w:rPr>
        <w:t xml:space="preserve">How.</w:t>
      </w:r>
      <w:r>
        <w:t xml:space="preserve"> </w:t>
      </w:r>
      <w:r>
        <w:t xml:space="preserve">(1) Clone each eligible patient at t=0, assign one clone to each strategy. (2) Artificially censor a clone the moment its observed data become incompatible with the assigned strategy. (3) Apply IPCW so that the remaining clones represent the original eligible population. CCW eliminates immortal time</w:t>
      </w:r>
      <w:r>
        <w:t xml:space="preserve"> </w:t>
      </w:r>
      <w:r>
        <w:rPr>
          <w:i/>
          <w:iCs/>
        </w:rPr>
        <w:t xml:space="preserve">by construction</w:t>
      </w:r>
      <w:r>
        <w:t xml:space="preserve"> </w:t>
      </w:r>
      <w:r>
        <w:t xml:space="preserve">because the clone-arms are identical at t=0.</w:t>
      </w:r>
      <w:r>
        <w:t xml:space="preserve"> </w:t>
      </w:r>
      <w:r>
        <w:rPr>
          <w:b/>
          <w:bCs/>
        </w:rPr>
        <w:t xml:space="preserve">Where it shows up in 2025–2026.</w:t>
      </w:r>
      <w:r>
        <w:t xml:space="preserve"> </w:t>
      </w:r>
      <w:r>
        <w:t xml:space="preserve">Increasingly the default for</w:t>
      </w:r>
      <w:r>
        <w:t xml:space="preserve"> </w:t>
      </w:r>
      <w:r>
        <w:t xml:space="preserve">“treat within X days”</w:t>
      </w:r>
      <w:r>
        <w:t xml:space="preserve"> </w:t>
      </w:r>
      <w:r>
        <w:t xml:space="preserve">strategies; flagged by Fu et al. (BMJ 2026) as the recommended method for Scenario C; also appears in CMI 2025 COVID-19 TTE methods piece.</w:t>
      </w:r>
    </w:p>
    <w:bookmarkEnd w:id="23"/>
    <w:bookmarkStart w:id="24" w:name="X8089a256dcd907f0acfa3381c4eff289752a3ff"/>
    <w:p>
      <w:pPr>
        <w:pStyle w:val="Heading3"/>
      </w:pPr>
      <w:r>
        <w:t xml:space="preserve">4.2 Inverse probability weighting — three flavors used in 2025–2026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IPTW (treatment weights, ATE).</w:t>
      </w:r>
      <w:r>
        <w:t xml:space="preserve"> </w:t>
      </w:r>
      <w:r>
        <w:t xml:space="preserve">Standard PS weighting for ATE.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SMR weighting (ATT).</w:t>
      </w:r>
      <w:r>
        <w:t xml:space="preserve"> </w:t>
      </w:r>
      <w:r>
        <w:t xml:space="preserve">Average treatment effect on the treated; used by Cai/Al-Aly group in the BMJ 2026 GLP-1 / SUD paper to retain the GLP-1-initiator population as the target.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Overlap weighting.</w:t>
      </w:r>
      <w:r>
        <w:t xml:space="preserve"> </w:t>
      </w:r>
      <w:r>
        <w:t xml:space="preserve">Down-weights extreme PS values; preserves an</w:t>
      </w:r>
      <w:r>
        <w:t xml:space="preserve"> </w:t>
      </w:r>
      <w:r>
        <w:t xml:space="preserve">“overlap population”</w:t>
      </w:r>
      <w:r>
        <w:t xml:space="preserve"> </w:t>
      </w:r>
      <w:r>
        <w:t xml:space="preserve">with strong covariate balance even with severe non-overlap. Used in Straub et al. BMJ 2026 (prenatal antiseizure) and Cho et al. BMJ 2026 (prenatal benzodiazepine).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IPCW.</w:t>
      </w:r>
      <w:r>
        <w:t xml:space="preserve"> </w:t>
      </w:r>
      <w:r>
        <w:t xml:space="preserve">For loss to follow-up, non-adherence, and CCW censoring.</w:t>
      </w:r>
    </w:p>
    <w:bookmarkEnd w:id="24"/>
    <w:bookmarkStart w:id="25" w:name="active-comparator-new-user-design-nuacd"/>
    <w:p>
      <w:pPr>
        <w:pStyle w:val="Heading3"/>
      </w:pPr>
      <w:r>
        <w:t xml:space="preserve">4.3 Active-comparator / new-user design (NUACD)</w:t>
      </w:r>
    </w:p>
    <w:p>
      <w:pPr>
        <w:pStyle w:val="FirstParagraph"/>
      </w:pPr>
      <w:r>
        <w:t xml:space="preserve">The default frame in this window. Required ingredients:</w:t>
      </w:r>
      <w:r>
        <w:t xml:space="preserve"> </w:t>
      </w:r>
      <w:r>
        <w:t xml:space="preserve">- Restrict to</w:t>
      </w:r>
      <w:r>
        <w:t xml:space="preserve"> </w:t>
      </w:r>
      <w:r>
        <w:rPr>
          <w:i/>
          <w:iCs/>
        </w:rPr>
        <w:t xml:space="preserve">initiators</w:t>
      </w:r>
      <w:r>
        <w:t xml:space="preserve"> </w:t>
      </w:r>
      <w:r>
        <w:t xml:space="preserve">of the treatment of interest, not prevalent users.</w:t>
      </w:r>
      <w:r>
        <w:t xml:space="preserve"> </w:t>
      </w:r>
      <w:r>
        <w:t xml:space="preserve">- Compare to</w:t>
      </w:r>
      <w:r>
        <w:t xml:space="preserve"> </w:t>
      </w:r>
      <w:r>
        <w:rPr>
          <w:i/>
          <w:iCs/>
        </w:rPr>
        <w:t xml:space="preserve">initiators of an active comparator</w:t>
      </w:r>
      <w:r>
        <w:t xml:space="preserve"> </w:t>
      </w:r>
      <w:r>
        <w:t xml:space="preserve">drug used for the same indication, not unexposed.</w:t>
      </w:r>
      <w:r>
        <w:t xml:space="preserve"> </w:t>
      </w:r>
      <w:r>
        <w:t xml:space="preserve">- t=0 = first dispensing of either drug.</w:t>
      </w:r>
      <w:r>
        <w:t xml:space="preserve"> </w:t>
      </w:r>
      <w:r>
        <w:rPr>
          <w:b/>
          <w:bCs/>
        </w:rPr>
        <w:t xml:space="preserve">Effect.</w:t>
      </w:r>
      <w:r>
        <w:t xml:space="preserve"> </w:t>
      </w:r>
      <w:r>
        <w:t xml:space="preserve">Eliminates prevalent-user bias and the bulk of confounding-by-indication; mandatory in Lin et al. BMJ 2025 (OAC for VTE), Hong et al. BMJ 2025 (SGLT-2i), Cai NEJM 2025 (Covid VE; flu-only as comparator), Cai BMJ 2026 (GLP-1 vs SGLT-2i), Straub BMJ 2026 (lamotrigine as active comparator).</w:t>
      </w:r>
    </w:p>
    <w:bookmarkEnd w:id="25"/>
    <w:bookmarkStart w:id="26" w:name="X5f269d800a9bc76b5753f1c67147d2f6d7670fc"/>
    <w:p>
      <w:pPr>
        <w:pStyle w:val="Heading3"/>
      </w:pPr>
      <w:r>
        <w:t xml:space="preserve">4.4 Grace period and per-protocol estimand specification</w:t>
      </w:r>
    </w:p>
    <w:p>
      <w:pPr>
        <w:pStyle w:val="FirstParagraph"/>
      </w:pPr>
      <w:r>
        <w:t xml:space="preserve">Concrete numbers used in this window: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to define discontinuation refill gap (Lin et al., OAC).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 months</w:t>
      </w:r>
      <w:r>
        <w:t xml:space="preserve"> </w:t>
      </w:r>
      <w:r>
        <w:t xml:space="preserve">initiation window after diagnosis (Zhang et al., ADHD; Cai et al., GLP-1).</w:t>
      </w:r>
      <w:r>
        <w:t xml:space="preserve"> </w:t>
      </w:r>
      <w:r>
        <w:t xml:space="preserve">- Per-protocol effects are estimated by IPCW for deviation; ITT-analog effects by classifying at t=0 and ignoring subsequent deviation.</w:t>
      </w:r>
    </w:p>
    <w:bookmarkEnd w:id="26"/>
    <w:bookmarkStart w:id="27" w:name="X874d21fa7e3e023be32f76c9af27baeb3cc7ffb"/>
    <w:p>
      <w:pPr>
        <w:pStyle w:val="Heading3"/>
      </w:pPr>
      <w:r>
        <w:t xml:space="preserve">4.5 Negative AND positive control outcomes (paired controls)</w:t>
      </w:r>
    </w:p>
    <w:p>
      <w:pPr>
        <w:pStyle w:val="FirstParagraph"/>
      </w:pPr>
      <w:r>
        <w:t xml:space="preserve">Single-sided controls are no longer accepted as sufficient. Hong et al. BMJ 2025 is the textbook pair: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Positive control:</w:t>
      </w:r>
      <w:r>
        <w:t xml:space="preserve"> </w:t>
      </w:r>
      <w:r>
        <w:t xml:space="preserve">genital infections, expected to be elevated by SGLT-2i (HR 2.78) — confirms detectability.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Negative control:</w:t>
      </w:r>
      <w:r>
        <w:t xml:space="preserve"> </w:t>
      </w:r>
      <w:r>
        <w:t xml:space="preserve">herpes zoster, expected to be null (HR ≈ 1.03) — confirms absence of broad residual confounding.</w:t>
      </w:r>
      <w:r>
        <w:t xml:space="preserve"> </w:t>
      </w:r>
      <w:r>
        <w:t xml:space="preserve">Krüger et al. JAMA 2025 prespecifies negative-control outcomes alongside the primary endpoint.</w:t>
      </w:r>
    </w:p>
    <w:bookmarkEnd w:id="27"/>
    <w:bookmarkStart w:id="28" w:name="X57a7d8aaf4174a118c442144fc15211c7fad09a"/>
    <w:p>
      <w:pPr>
        <w:pStyle w:val="Heading3"/>
      </w:pPr>
      <w:r>
        <w:t xml:space="preserve">4.6 Trial-benchmarking design (emulate the RCT before going beyond it)</w:t>
      </w:r>
    </w:p>
    <w:p>
      <w:pPr>
        <w:pStyle w:val="FirstParagraph"/>
      </w:pPr>
      <w:r>
        <w:t xml:space="preserve">Krüger/Schneeweiss et al. JAMA 2025: build five cohorts.</w:t>
      </w:r>
      <w:r>
        <w:t xml:space="preserve"> </w:t>
      </w:r>
      <w:r>
        <w:rPr>
          <w:b/>
          <w:bCs/>
        </w:rPr>
        <w:t xml:space="preserve">Two emulate existing RCTs (STEP-HFpEF DM, SUMMIT) within trial-eligible patients.</w:t>
      </w:r>
      <w:r>
        <w:t xml:space="preserve"> </w:t>
      </w:r>
      <w:r>
        <w:t xml:space="preserve">If the emulation reproduces the RCT effect, the</w:t>
      </w:r>
      <w:r>
        <w:t xml:space="preserve"> </w:t>
      </w:r>
      <w:r>
        <w:rPr>
          <w:b/>
          <w:bCs/>
        </w:rPr>
        <w:t xml:space="preserve">three expansion cohorts</w:t>
      </w:r>
      <w:r>
        <w:t xml:space="preserve"> </w:t>
      </w:r>
      <w:r>
        <w:t xml:space="preserve">that go beyond trial inclusion criteria carry credibility transferred from that calibration. This is becoming a standard credibility argument when an RCT exists.</w:t>
      </w:r>
    </w:p>
    <w:bookmarkEnd w:id="28"/>
    <w:bookmarkStart w:id="29" w:name="Xa122f5c83bac947755f5b02b48f17c15ac526b4"/>
    <w:p>
      <w:pPr>
        <w:pStyle w:val="Heading3"/>
      </w:pPr>
      <w:r>
        <w:t xml:space="preserve">4.7 Triangulation with within-family / sibling controls</w:t>
      </w:r>
    </w:p>
    <w:p>
      <w:pPr>
        <w:pStyle w:val="FirstParagraph"/>
      </w:pPr>
      <w:r>
        <w:t xml:space="preserve">Cho et al. BMJ 2026 (prenatal benzodiazepine): primary analysis with PS overlap weighting, sensitivity with</w:t>
      </w:r>
      <w:r>
        <w:t xml:space="preserve"> </w:t>
      </w:r>
      <w:r>
        <w:rPr>
          <w:b/>
          <w:bCs/>
        </w:rPr>
        <w:t xml:space="preserve">sibling-controlled analysis</w:t>
      </w:r>
      <w:r>
        <w:t xml:space="preserve"> </w:t>
      </w:r>
      <w:r>
        <w:t xml:space="preserve">to address shared familial confounding. When TTE assumptions (no unmeasured baseline confounding) are doubtful, sibling/within-family designs are the preferred orthogonal robustness check.</w:t>
      </w:r>
    </w:p>
    <w:bookmarkEnd w:id="29"/>
    <w:bookmarkStart w:id="30" w:name="sequential-trial-emulation"/>
    <w:p>
      <w:pPr>
        <w:pStyle w:val="Heading3"/>
      </w:pPr>
      <w:r>
        <w:t xml:space="preserve">4.8 Sequential trial emulation</w:t>
      </w:r>
    </w:p>
    <w:p>
      <w:pPr>
        <w:pStyle w:val="FirstParagraph"/>
      </w:pPr>
      <w:r>
        <w:t xml:space="preserve">For time-varying treatment decisions: re-emulate the target trial at each new eligibility time (each calendar month or each new clinical event), pool across the sequential trials, and use g-methods or IPTW with robust SEs. Mentioned as the recommended approach when treatment depends on time-varying triggers (Fu BMJ 2026 decision diagram).</w:t>
      </w:r>
    </w:p>
    <w:bookmarkEnd w:id="30"/>
    <w:bookmarkStart w:id="31" w:name="X67cf5ed275dfd1d8222dc77874067111c5e2424"/>
    <w:p>
      <w:pPr>
        <w:pStyle w:val="Heading3"/>
      </w:pPr>
      <w:r>
        <w:t xml:space="preserve">4.9 Confounding-bias reduction beyond regression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PS overlap weighting</w:t>
      </w:r>
      <w:r>
        <w:t xml:space="preserve"> </w:t>
      </w:r>
      <w:r>
        <w:t xml:space="preserve">(Straub BMJ 2026, Cho BMJ 2026, multiple JAMA 2025 papers).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PS 1:1 matching</w:t>
      </w:r>
      <w:r>
        <w:t xml:space="preserve"> </w:t>
      </w:r>
      <w:r>
        <w:t xml:space="preserve">(Lin BMJ 2025) — preferred when overlap is good and a clean matched table is needed for transparency.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High-dimensional propensity scores (hdPS)</w:t>
      </w:r>
      <w:r>
        <w:t xml:space="preserve"> </w:t>
      </w:r>
      <w:r>
        <w:t xml:space="preserve">— implicit in the Schneeweiss-group papers (Krüger JAMA 2025).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E-values</w:t>
      </w:r>
      <w:r>
        <w:t xml:space="preserve"> </w:t>
      </w:r>
      <w:r>
        <w:t xml:space="preserve">for sensitivity to unmeasured confounding — referenced but not headlined in 2025–2026 in these four journals.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64dcd52d25158353633ab02efae7b96217b4f37"/>
    <w:p>
      <w:pPr>
        <w:pStyle w:val="Heading2"/>
      </w:pPr>
      <w:r>
        <w:t xml:space="preserve">5. The required methodological self-checklist for a TTE manuscript in BMJ/Lancet/JAMA/NEJM (2026)</w:t>
      </w:r>
    </w:p>
    <w:p>
      <w:pPr>
        <w:pStyle w:val="FirstParagraph"/>
      </w:pPr>
      <w:r>
        <w:t xml:space="preserve">Use this as a pre-submission audit: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Target trial protocol written out</w:t>
      </w:r>
      <w:r>
        <w:t xml:space="preserve"> </w:t>
      </w:r>
      <w:r>
        <w:t xml:space="preserve">with the 7 components (TARGET item 6).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Mapping table</w:t>
      </w:r>
      <w:r>
        <w:t xml:space="preserve"> </w:t>
      </w:r>
      <w:r>
        <w:t xml:space="preserve">from each target-trial component to its data operationalization (TARGET item 7).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Time zero defined</w:t>
      </w:r>
      <w:r>
        <w:t xml:space="preserve"> </w:t>
      </w:r>
      <w:r>
        <w:t xml:space="preserve">as the calendar instant when eligibility, assignment, and follow-up start coincide (Fu BMJ 2026).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New-user, active-comparator</w:t>
      </w:r>
      <w:r>
        <w:t xml:space="preserve"> </w:t>
      </w:r>
      <w:r>
        <w:t xml:space="preserve">unless explicitly justified otherwise.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Strategy class identified</w:t>
      </w:r>
      <w:r>
        <w:t xml:space="preserve"> </w:t>
      </w:r>
      <w:r>
        <w:t xml:space="preserve">(point / sustained / grace-period / dynamic) and the matching analytic method chosen accordingly (Fu decision diagram).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Estimand named</w:t>
      </w:r>
      <w:r>
        <w:t xml:space="preserve"> </w:t>
      </w:r>
      <w:r>
        <w:t xml:space="preserve">— ITT-analog or per-protocol — and the corresponding identification strategy stated (IPCW for per-protocol, simpler intent classification for ITT-analog).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Confounding control</w:t>
      </w:r>
      <w:r>
        <w:t xml:space="preserve"> </w:t>
      </w:r>
      <w:r>
        <w:t xml:space="preserve">— PS method declared (matching, IPTW, SMR, or overlap weighting), with covariate balance reported (TARGET item 9).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assumptions</w:t>
      </w:r>
      <w:r>
        <w:t xml:space="preserve"> </w:t>
      </w:r>
      <w:r>
        <w:t xml:space="preserve">— independent vs. informative; if informative, IPCW with the censoring model specified.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Paired control outcomes</w:t>
      </w:r>
      <w:r>
        <w:t xml:space="preserve"> </w:t>
      </w:r>
      <w:r>
        <w:t xml:space="preserve">— at least one negative and ideally one positive control prespecified.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Trial benchmarking</w:t>
      </w:r>
      <w:r>
        <w:t xml:space="preserve"> </w:t>
      </w:r>
      <w:r>
        <w:t xml:space="preserve">if an RCT exists for the same question.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Triangulation</w:t>
      </w:r>
      <w:r>
        <w:t xml:space="preserve"> </w:t>
      </w:r>
      <w:r>
        <w:t xml:space="preserve">— at least one orthogonal design (sibling, instrumental variable analog, alternative comparator) when feasible.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Identifying assumptions</w:t>
      </w:r>
      <w:r>
        <w:t xml:space="preserve"> </w:t>
      </w:r>
      <w:r>
        <w:t xml:space="preserve">stated explicitly: conditional exchangeability, positivity, consistency, censoring (TARGET item 7g.i).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Sensitivity analyses</w:t>
      </w:r>
      <w:r>
        <w:t xml:space="preserve"> </w:t>
      </w:r>
      <w:r>
        <w:t xml:space="preserve">for operationalizations, assumptions, and analysis (TARGET item 14).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Limitations section</w:t>
      </w:r>
      <w:r>
        <w:t xml:space="preserve"> </w:t>
      </w:r>
      <w:r>
        <w:t xml:space="preserve">explicitly discusses target-vs-emulation gaps and unmeasured confounding (TARGET item 16).</w:t>
      </w:r>
    </w:p>
    <w:p>
      <w:r>
        <w:pict>
          <v:rect style="width:0;height:1.5pt" o:hralign="center" o:hrstd="t" o:hr="t"/>
        </w:pict>
      </w:r>
    </w:p>
    <w:bookmarkEnd w:id="33"/>
    <w:bookmarkStart w:id="34" w:name="key-references"/>
    <w:p>
      <w:pPr>
        <w:pStyle w:val="Heading2"/>
      </w:pPr>
      <w:r>
        <w:t xml:space="preserve">6. Key references</w:t>
      </w:r>
    </w:p>
    <w:p>
      <w:pPr>
        <w:pStyle w:val="FirstParagraph"/>
      </w:pPr>
      <w:r>
        <w:rPr>
          <w:b/>
          <w:bCs/>
        </w:rPr>
        <w:t xml:space="preserve">Methodology pieces (read in order)</w:t>
      </w:r>
      <w:r>
        <w:t xml:space="preserve"> </w:t>
      </w:r>
      <w:r>
        <w:t xml:space="preserve">- Cashin AG, Hansford HJ, Hernán MA, et al. TARGET Statement. BMJ 2025;390:e087179. https://pubmed.ncbi.nlm.nih.gov/40903028/ — full text PMC13084563: https://pmc.ncbi.nlm.nih.gov/articles/PMC13084563/</w:t>
      </w:r>
      <w:r>
        <w:t xml:space="preserve"> </w:t>
      </w:r>
      <w:r>
        <w:t xml:space="preserve">- Cashin AG, Hansford HJ, Hernán MA, et al. TARGET Statement. JAMA 2025. https://pubmed.ncbi.nlm.nih.gov/40899949/</w:t>
      </w:r>
      <w:r>
        <w:t xml:space="preserve"> </w:t>
      </w:r>
      <w:r>
        <w:t xml:space="preserve">- Fu EL, Harhay MO, Schneeweiss S, Desai RJ, Hernán MA. Starting right: aligning eligibility and treatment assignment at time zero when emulating a target trial. BMJ 2026;392:e084909. https://pubmed.ncbi.nlm.nih.gov/41526041/</w:t>
      </w:r>
      <w:r>
        <w:t xml:space="preserve"> </w:t>
      </w:r>
      <w:r>
        <w:t xml:space="preserve">- Fu EL, et al. Review of methods to deal with the misalignment of times of eligibility, start of follow-up, and treatment assignment in studies explicitly aimed at emulating target trials. J Clin Epidemiol 2025. https://www.jclinepi.com/article/S0895-4356(25)00231-8/fulltext</w:t>
      </w:r>
    </w:p>
    <w:p>
      <w:pPr>
        <w:pStyle w:val="BodyText"/>
      </w:pPr>
      <w:r>
        <w:rPr>
          <w:b/>
          <w:bCs/>
        </w:rPr>
        <w:t xml:space="preserve">Editorial framing of causal inference (BMJ series, 2025–2026)</w:t>
      </w:r>
      <w:r>
        <w:t xml:space="preserve"> </w:t>
      </w:r>
      <w:r>
        <w:t xml:space="preserve">- Feeney T, Zivich PN. Causal inference is hard, and advanced statistical analysis is not enough. BMJ 2025. PMID 41402049.</w:t>
      </w:r>
      <w:r>
        <w:t xml:space="preserve"> </w:t>
      </w:r>
      <w:r>
        <w:t xml:space="preserve">- Broadbent A. Explaining the facts before us: the challenge of causal inference. BMJ 2025. PMID 41402056.</w:t>
      </w:r>
      <w:r>
        <w:t xml:space="preserve"> </w:t>
      </w:r>
      <w:r>
        <w:t xml:space="preserve">- Feeney T, Islam N, Kurth T. Guiding causal inference research in general medical journals. BMJ 2026. PMID 41702645.</w:t>
      </w:r>
      <w:r>
        <w:t xml:space="preserve"> </w:t>
      </w:r>
      <w:r>
        <w:t xml:space="preserve">- Ludwig DS, Willett WC, Putt ME. Wash-in and washout effects: mitigating bias in short term dietary and other trials. BMJ 2025. PMID 40262831.</w:t>
      </w:r>
    </w:p>
    <w:p>
      <w:pPr>
        <w:pStyle w:val="BodyText"/>
      </w:pPr>
      <w:r>
        <w:rPr>
          <w:b/>
          <w:bCs/>
        </w:rPr>
        <w:t xml:space="preserve">Methodologically informative applied TTEs (cite for design templates)</w:t>
      </w:r>
      <w:r>
        <w:t xml:space="preserve"> </w:t>
      </w:r>
      <w:r>
        <w:t xml:space="preserve">- Lin KJ et al. OAC for unprovoked VTE — TTE with PS 1:1 matching, 30-day grace. BMJ 2025. PMID 41224478.</w:t>
      </w:r>
      <w:r>
        <w:t xml:space="preserve"> </w:t>
      </w:r>
      <w:r>
        <w:t xml:space="preserve">- Zhang L et al. ADHD drugs — Swedish-register TTE, 3-month initiation window, recurrent-event analysis. BMJ 2025. PMID 40803836.</w:t>
      </w:r>
      <w:r>
        <w:t xml:space="preserve"> </w:t>
      </w:r>
      <w:r>
        <w:t xml:space="preserve">- Cai M et al. GLP-1 RA vs SGLT-2i for SUD — eight parallel new-user active-comparator TTEs, SMR-weighted Cox. BMJ 2026. PMID 41781010.</w:t>
      </w:r>
      <w:r>
        <w:t xml:space="preserve"> </w:t>
      </w:r>
      <w:r>
        <w:t xml:space="preserve">- Krüger N, Schneeweiss S et al. Sema/Tirze in HFpEF — five-cohort design with 2 RCT-benchmark cohorts and 3 expansion cohorts; prespecified negative controls. JAMA 2025. PMID 40886075.</w:t>
      </w:r>
      <w:r>
        <w:t xml:space="preserve"> </w:t>
      </w:r>
      <w:r>
        <w:t xml:space="preserve">- Hong B et al. SGLT-2i and autoimmune rheumatic diseases — paired positive (genital infections) and negative (herpes zoster) controls. BMJ 2025. PMID 41093607.</w:t>
      </w:r>
      <w:r>
        <w:t xml:space="preserve"> </w:t>
      </w:r>
      <w:r>
        <w:t xml:space="preserve">- Straub L et al. Prenatal antiseizure drugs — PS overlap weighting, lamotrigine active comparator. BMJ 2026. PMID 41813017.</w:t>
      </w:r>
      <w:r>
        <w:t xml:space="preserve"> </w:t>
      </w:r>
      <w:r>
        <w:t xml:space="preserve">- Cho Y et al. Prenatal benzodiazepine/Z-hypnotic — PS overlap weighting + sibling-controlled triangulation. BMJ 2026. PMID 42055584.</w:t>
      </w:r>
      <w:r>
        <w:t xml:space="preserve"> </w:t>
      </w:r>
      <w:r>
        <w:t xml:space="preserve">- Cai M et al. Covid-19 VE in veterans — flu-vaccine-only active comparator, IPTW, VE = 1−RR. NEJM 2025. PMID 41061231.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2026-05-10T11:20:33Z</dcterms:created>
  <dcterms:modified xsi:type="dcterms:W3CDTF">2026-05-10T11:20:33Z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