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EDC60B" w14:textId="77777777" w:rsidR="00475774" w:rsidRPr="00405FEB" w:rsidRDefault="00475774">
      <w:pPr>
        <w:spacing w:after="1600"/>
      </w:pPr>
    </w:p>
    <w:tbl>
      <w:tblPr>
        <w:tblW w:w="98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shd w:val="clear" w:color="auto" w:fill="000000" w:themeFill="text1"/>
        <w:tblCellMar>
          <w:left w:w="10" w:type="dxa"/>
          <w:right w:w="10" w:type="dxa"/>
        </w:tblCellMar>
        <w:tblLook w:val="0000" w:firstRow="0" w:lastRow="0" w:firstColumn="0" w:lastColumn="0" w:noHBand="0" w:noVBand="0"/>
      </w:tblPr>
      <w:tblGrid>
        <w:gridCol w:w="9800"/>
      </w:tblGrid>
      <w:tr w:rsidR="00475774" w:rsidRPr="00405FEB" w14:paraId="4853D5A2" w14:textId="77777777" w:rsidTr="000C7CBC">
        <w:tblPrEx>
          <w:tblCellMar>
            <w:top w:w="0" w:type="dxa"/>
            <w:bottom w:w="0" w:type="dxa"/>
          </w:tblCellMar>
        </w:tblPrEx>
        <w:tc>
          <w:tcPr>
            <w:tcW w:w="0" w:type="auto"/>
            <w:shd w:val="clear" w:color="auto" w:fill="000000" w:themeFill="text1"/>
            <w:tcMar>
              <w:top w:w="1500" w:type="dxa"/>
              <w:left w:w="700" w:type="dxa"/>
              <w:bottom w:w="1500" w:type="dxa"/>
              <w:right w:w="700" w:type="dxa"/>
            </w:tcMar>
            <w:vAlign w:val="center"/>
          </w:tcPr>
          <w:p w14:paraId="58D367C4" w14:textId="77777777" w:rsidR="00475774" w:rsidRPr="00760ADA" w:rsidRDefault="00000000">
            <w:pPr>
              <w:spacing w:after="100"/>
              <w:jc w:val="center"/>
              <w:rPr>
                <w:color w:val="E8E8E8" w:themeColor="background2"/>
              </w:rPr>
            </w:pPr>
            <w:r w:rsidRPr="00760ADA">
              <w:rPr>
                <w:b/>
                <w:bCs/>
                <w:color w:val="E8E8E8" w:themeColor="background2"/>
                <w:spacing w:val="20"/>
              </w:rPr>
              <w:t>DIAGNÓSTICO DE SOSTENIBILIDAD</w:t>
            </w:r>
          </w:p>
          <w:p w14:paraId="4140A6E4" w14:textId="77777777" w:rsidR="00475774" w:rsidRPr="00405FEB" w:rsidRDefault="00000000">
            <w:pPr>
              <w:spacing w:after="260"/>
              <w:jc w:val="center"/>
            </w:pPr>
            <w:r w:rsidRPr="00405FEB">
              <w:rPr>
                <w:b/>
                <w:bCs/>
                <w:color w:val="FFFFFF"/>
                <w:sz w:val="44"/>
                <w:szCs w:val="44"/>
              </w:rPr>
              <w:t>FUNDACIÓN TERMINAL TERRESTRE DE GUAYAQUIL</w:t>
            </w:r>
          </w:p>
          <w:p w14:paraId="445A305B" w14:textId="3F1D5256" w:rsidR="00475774" w:rsidRDefault="00000000" w:rsidP="00760ADA">
            <w:pPr>
              <w:spacing w:after="60"/>
              <w:jc w:val="center"/>
              <w:rPr>
                <w:b/>
                <w:bCs/>
                <w:color w:val="FFFFFF"/>
                <w:sz w:val="30"/>
                <w:szCs w:val="30"/>
              </w:rPr>
            </w:pPr>
            <w:r w:rsidRPr="00405FEB">
              <w:rPr>
                <w:b/>
                <w:bCs/>
                <w:color w:val="FFFFFF"/>
                <w:sz w:val="30"/>
                <w:szCs w:val="30"/>
              </w:rPr>
              <w:t>(FTTG)</w:t>
            </w:r>
          </w:p>
          <w:p w14:paraId="2446C1FD" w14:textId="77777777" w:rsidR="00760ADA" w:rsidRDefault="00760ADA" w:rsidP="00760ADA">
            <w:pPr>
              <w:spacing w:after="60"/>
              <w:jc w:val="center"/>
              <w:rPr>
                <w:b/>
                <w:bCs/>
                <w:color w:val="FFFFFF"/>
                <w:sz w:val="30"/>
                <w:szCs w:val="30"/>
              </w:rPr>
            </w:pPr>
          </w:p>
          <w:p w14:paraId="389A8555" w14:textId="77777777" w:rsidR="00760ADA" w:rsidRPr="00405FEB" w:rsidRDefault="00760ADA" w:rsidP="00760ADA">
            <w:pPr>
              <w:spacing w:after="60"/>
              <w:jc w:val="center"/>
            </w:pPr>
          </w:p>
          <w:p w14:paraId="52FDEF85" w14:textId="77777777" w:rsidR="00475774" w:rsidRPr="00405FEB" w:rsidRDefault="00000000">
            <w:pPr>
              <w:spacing w:before="200" w:after="40"/>
              <w:jc w:val="center"/>
            </w:pPr>
            <w:r w:rsidRPr="00405FEB">
              <w:rPr>
                <w:color w:val="CFE2F3"/>
              </w:rPr>
              <w:t>Estado actual de la información de sostenibilidad</w:t>
            </w:r>
          </w:p>
          <w:p w14:paraId="72DAA0B3" w14:textId="77777777" w:rsidR="00475774" w:rsidRPr="00405FEB" w:rsidRDefault="00000000">
            <w:pPr>
              <w:jc w:val="center"/>
            </w:pPr>
            <w:r w:rsidRPr="00405FEB">
              <w:rPr>
                <w:i/>
                <w:iCs/>
                <w:color w:val="CFE2F3"/>
              </w:rPr>
              <w:t>Contraste frente a NIIF S1 (Información general) y NIIF S2 (Clima) — ISSB</w:t>
            </w:r>
          </w:p>
        </w:tc>
      </w:tr>
    </w:tbl>
    <w:p w14:paraId="53378330" w14:textId="77777777" w:rsidR="00475774" w:rsidRPr="00405FEB" w:rsidRDefault="00475774">
      <w:pPr>
        <w:spacing w:after="400"/>
      </w:pPr>
    </w:p>
    <w:p w14:paraId="13B0B264" w14:textId="77777777" w:rsidR="00475774" w:rsidRPr="006E3394" w:rsidRDefault="00000000">
      <w:pPr>
        <w:jc w:val="center"/>
      </w:pPr>
      <w:r w:rsidRPr="006E3394">
        <w:rPr>
          <w:color w:val="5B6B7A"/>
          <w:sz w:val="20"/>
          <w:szCs w:val="20"/>
        </w:rPr>
        <w:t>Elaborado a partir de fuentes internas de la institución</w:t>
      </w:r>
    </w:p>
    <w:p w14:paraId="7CB853A8" w14:textId="77777777" w:rsidR="00475774" w:rsidRPr="006E3394" w:rsidRDefault="00000000">
      <w:pPr>
        <w:jc w:val="center"/>
      </w:pPr>
      <w:r w:rsidRPr="006E3394">
        <w:rPr>
          <w:color w:val="5B6B7A"/>
          <w:sz w:val="17"/>
          <w:szCs w:val="17"/>
        </w:rPr>
        <w:t>Acciones DMARS 2025 · Acta de Rendición de Cuentas 2025 · Informe de Seguimiento de Indicadores (mayo 2026) · Política Ambiental · Entrevista técnica a la Dirección de Medio Ambiente</w:t>
      </w:r>
    </w:p>
    <w:p w14:paraId="466E501D" w14:textId="77777777" w:rsidR="00475774" w:rsidRPr="00405FEB" w:rsidRDefault="00000000">
      <w:r w:rsidRPr="00405FEB">
        <w:br w:type="page"/>
      </w:r>
    </w:p>
    <w:p w14:paraId="11043A96" w14:textId="77777777" w:rsidR="00475774" w:rsidRPr="00760ADA" w:rsidRDefault="00000000">
      <w:pPr>
        <w:spacing w:after="260"/>
        <w:rPr>
          <w:color w:val="auto"/>
        </w:rPr>
      </w:pPr>
      <w:r w:rsidRPr="00760ADA">
        <w:rPr>
          <w:b/>
          <w:bCs/>
          <w:color w:val="auto"/>
          <w:sz w:val="34"/>
          <w:szCs w:val="34"/>
        </w:rPr>
        <w:lastRenderedPageBreak/>
        <w:t>Índice</w:t>
      </w:r>
    </w:p>
    <w:sdt>
      <w:sdtPr>
        <w:rPr>
          <w:lang w:val="es-ES"/>
        </w:rPr>
        <w:id w:val="-562713640"/>
        <w:docPartObj>
          <w:docPartGallery w:val="Table of Contents"/>
          <w:docPartUnique/>
        </w:docPartObj>
      </w:sdtPr>
      <w:sdtEndPr>
        <w:rPr>
          <w:rFonts w:ascii="Cambria" w:eastAsia="Calibri" w:hAnsi="Cambria" w:cs="Calibri"/>
          <w:b/>
          <w:bCs/>
          <w:color w:val="24303D"/>
          <w:sz w:val="22"/>
          <w:szCs w:val="22"/>
        </w:rPr>
      </w:sdtEndPr>
      <w:sdtContent>
        <w:p w14:paraId="60A41A2A" w14:textId="78FB78A8" w:rsidR="009332FD" w:rsidRDefault="009332FD">
          <w:pPr>
            <w:pStyle w:val="TtuloTDC"/>
          </w:pPr>
        </w:p>
        <w:p w14:paraId="6F2A870F" w14:textId="7BDCE5BB" w:rsidR="00DE238E" w:rsidRDefault="009332FD">
          <w:pPr>
            <w:pStyle w:val="TDC1"/>
            <w:tabs>
              <w:tab w:val="right" w:leader="dot" w:pos="10030"/>
            </w:tabs>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\o "1-3" \h \z \u </w:instrText>
          </w:r>
          <w:r>
            <w:fldChar w:fldCharType="separate"/>
          </w:r>
          <w:hyperlink w:anchor="_Toc235368007" w:history="1">
            <w:r w:rsidR="00DE238E" w:rsidRPr="005541C5">
              <w:rPr>
                <w:rStyle w:val="Hipervnculo"/>
                <w:noProof/>
              </w:rPr>
              <w:t>1. Introducción y fuentes de información</w:t>
            </w:r>
            <w:r w:rsidR="00DE238E">
              <w:rPr>
                <w:noProof/>
                <w:webHidden/>
              </w:rPr>
              <w:tab/>
            </w:r>
            <w:r w:rsidR="00DE238E">
              <w:rPr>
                <w:noProof/>
                <w:webHidden/>
              </w:rPr>
              <w:fldChar w:fldCharType="begin"/>
            </w:r>
            <w:r w:rsidR="00DE238E">
              <w:rPr>
                <w:noProof/>
                <w:webHidden/>
              </w:rPr>
              <w:instrText xml:space="preserve"> PAGEREF _Toc235368007 \h </w:instrText>
            </w:r>
            <w:r w:rsidR="00DE238E">
              <w:rPr>
                <w:noProof/>
                <w:webHidden/>
              </w:rPr>
            </w:r>
            <w:r w:rsidR="00DE238E">
              <w:rPr>
                <w:noProof/>
                <w:webHidden/>
              </w:rPr>
              <w:fldChar w:fldCharType="separate"/>
            </w:r>
            <w:r w:rsidR="00DE238E">
              <w:rPr>
                <w:noProof/>
                <w:webHidden/>
              </w:rPr>
              <w:t>3</w:t>
            </w:r>
            <w:r w:rsidR="00DE238E">
              <w:rPr>
                <w:noProof/>
                <w:webHidden/>
              </w:rPr>
              <w:fldChar w:fldCharType="end"/>
            </w:r>
          </w:hyperlink>
        </w:p>
        <w:p w14:paraId="4D8C4DCC" w14:textId="3FA613BD" w:rsidR="00DE238E" w:rsidRDefault="00DE238E">
          <w:pPr>
            <w:pStyle w:val="TDC1"/>
            <w:tabs>
              <w:tab w:val="right" w:leader="dot" w:pos="10030"/>
            </w:tabs>
            <w:rPr>
              <w:rFonts w:asciiTheme="minorHAnsi" w:eastAsiaTheme="minorEastAsia" w:hAnsiTheme="minorHAnsi" w:cstheme="minorBidi"/>
              <w:noProof/>
              <w:color w:val="auto"/>
              <w:kern w:val="2"/>
              <w:sz w:val="24"/>
              <w:szCs w:val="24"/>
              <w14:ligatures w14:val="standardContextual"/>
            </w:rPr>
          </w:pPr>
          <w:hyperlink w:anchor="_Toc235368008" w:history="1">
            <w:r w:rsidRPr="005541C5">
              <w:rPr>
                <w:rStyle w:val="Hipervnculo"/>
                <w:noProof/>
              </w:rPr>
              <w:t>2. Resumen ejecutivo</w:t>
            </w:r>
            <w:r>
              <w:rPr>
                <w:noProof/>
                <w:webHidden/>
              </w:rPr>
              <w:tab/>
            </w:r>
            <w:r>
              <w:rPr>
                <w:noProof/>
                <w:webHidden/>
              </w:rPr>
              <w:fldChar w:fldCharType="begin"/>
            </w:r>
            <w:r>
              <w:rPr>
                <w:noProof/>
                <w:webHidden/>
              </w:rPr>
              <w:instrText xml:space="preserve"> PAGEREF _Toc235368008 \h </w:instrText>
            </w:r>
            <w:r>
              <w:rPr>
                <w:noProof/>
                <w:webHidden/>
              </w:rPr>
            </w:r>
            <w:r>
              <w:rPr>
                <w:noProof/>
                <w:webHidden/>
              </w:rPr>
              <w:fldChar w:fldCharType="separate"/>
            </w:r>
            <w:r>
              <w:rPr>
                <w:noProof/>
                <w:webHidden/>
              </w:rPr>
              <w:t>3</w:t>
            </w:r>
            <w:r>
              <w:rPr>
                <w:noProof/>
                <w:webHidden/>
              </w:rPr>
              <w:fldChar w:fldCharType="end"/>
            </w:r>
          </w:hyperlink>
        </w:p>
        <w:p w14:paraId="1A9174FC" w14:textId="584B0432" w:rsidR="00DE238E" w:rsidRDefault="00DE238E">
          <w:pPr>
            <w:pStyle w:val="TDC1"/>
            <w:tabs>
              <w:tab w:val="right" w:leader="dot" w:pos="10030"/>
            </w:tabs>
            <w:rPr>
              <w:rFonts w:asciiTheme="minorHAnsi" w:eastAsiaTheme="minorEastAsia" w:hAnsiTheme="minorHAnsi" w:cstheme="minorBidi"/>
              <w:noProof/>
              <w:color w:val="auto"/>
              <w:kern w:val="2"/>
              <w:sz w:val="24"/>
              <w:szCs w:val="24"/>
              <w14:ligatures w14:val="standardContextual"/>
            </w:rPr>
          </w:pPr>
          <w:hyperlink w:anchor="_Toc235368009" w:history="1">
            <w:r w:rsidRPr="005541C5">
              <w:rPr>
                <w:rStyle w:val="Hipervnculo"/>
                <w:noProof/>
              </w:rPr>
              <w:t>3. Diagnóstico</w:t>
            </w:r>
            <w:r>
              <w:rPr>
                <w:noProof/>
                <w:webHidden/>
              </w:rPr>
              <w:tab/>
            </w:r>
            <w:r>
              <w:rPr>
                <w:noProof/>
                <w:webHidden/>
              </w:rPr>
              <w:fldChar w:fldCharType="begin"/>
            </w:r>
            <w:r>
              <w:rPr>
                <w:noProof/>
                <w:webHidden/>
              </w:rPr>
              <w:instrText xml:space="preserve"> PAGEREF _Toc235368009 \h </w:instrText>
            </w:r>
            <w:r>
              <w:rPr>
                <w:noProof/>
                <w:webHidden/>
              </w:rPr>
            </w:r>
            <w:r>
              <w:rPr>
                <w:noProof/>
                <w:webHidden/>
              </w:rPr>
              <w:fldChar w:fldCharType="separate"/>
            </w:r>
            <w:r>
              <w:rPr>
                <w:noProof/>
                <w:webHidden/>
              </w:rPr>
              <w:t>4</w:t>
            </w:r>
            <w:r>
              <w:rPr>
                <w:noProof/>
                <w:webHidden/>
              </w:rPr>
              <w:fldChar w:fldCharType="end"/>
            </w:r>
          </w:hyperlink>
        </w:p>
        <w:p w14:paraId="5941B446" w14:textId="2A54D1C4" w:rsidR="00DE238E" w:rsidRDefault="00DE238E">
          <w:pPr>
            <w:pStyle w:val="TDC2"/>
            <w:tabs>
              <w:tab w:val="right" w:leader="dot" w:pos="10030"/>
            </w:tabs>
            <w:rPr>
              <w:rFonts w:asciiTheme="minorHAnsi" w:eastAsiaTheme="minorEastAsia" w:hAnsiTheme="minorHAnsi" w:cstheme="minorBidi"/>
              <w:noProof/>
              <w:color w:val="auto"/>
              <w:kern w:val="2"/>
              <w:sz w:val="24"/>
              <w:szCs w:val="24"/>
              <w14:ligatures w14:val="standardContextual"/>
            </w:rPr>
          </w:pPr>
          <w:hyperlink w:anchor="_Toc235368010" w:history="1">
            <w:r w:rsidRPr="005541C5">
              <w:rPr>
                <w:rStyle w:val="Hipervnculo"/>
                <w:noProof/>
              </w:rPr>
              <w:t>3.0. Alcance y carácter de aplicación</w:t>
            </w:r>
            <w:r>
              <w:rPr>
                <w:noProof/>
                <w:webHidden/>
              </w:rPr>
              <w:tab/>
            </w:r>
            <w:r>
              <w:rPr>
                <w:noProof/>
                <w:webHidden/>
              </w:rPr>
              <w:fldChar w:fldCharType="begin"/>
            </w:r>
            <w:r>
              <w:rPr>
                <w:noProof/>
                <w:webHidden/>
              </w:rPr>
              <w:instrText xml:space="preserve"> PAGEREF _Toc235368010 \h </w:instrText>
            </w:r>
            <w:r>
              <w:rPr>
                <w:noProof/>
                <w:webHidden/>
              </w:rPr>
            </w:r>
            <w:r>
              <w:rPr>
                <w:noProof/>
                <w:webHidden/>
              </w:rPr>
              <w:fldChar w:fldCharType="separate"/>
            </w:r>
            <w:r>
              <w:rPr>
                <w:noProof/>
                <w:webHidden/>
              </w:rPr>
              <w:t>4</w:t>
            </w:r>
            <w:r>
              <w:rPr>
                <w:noProof/>
                <w:webHidden/>
              </w:rPr>
              <w:fldChar w:fldCharType="end"/>
            </w:r>
          </w:hyperlink>
        </w:p>
        <w:p w14:paraId="48ADBB45" w14:textId="0500055B" w:rsidR="00DE238E" w:rsidRDefault="00DE238E">
          <w:pPr>
            <w:pStyle w:val="TDC2"/>
            <w:tabs>
              <w:tab w:val="right" w:leader="dot" w:pos="10030"/>
            </w:tabs>
            <w:rPr>
              <w:rFonts w:asciiTheme="minorHAnsi" w:eastAsiaTheme="minorEastAsia" w:hAnsiTheme="minorHAnsi" w:cstheme="minorBidi"/>
              <w:noProof/>
              <w:color w:val="auto"/>
              <w:kern w:val="2"/>
              <w:sz w:val="24"/>
              <w:szCs w:val="24"/>
              <w14:ligatures w14:val="standardContextual"/>
            </w:rPr>
          </w:pPr>
          <w:hyperlink w:anchor="_Toc235368011" w:history="1">
            <w:r w:rsidRPr="005541C5">
              <w:rPr>
                <w:rStyle w:val="Hipervnculo"/>
                <w:noProof/>
              </w:rPr>
              <w:t>3.1. Gobernanza</w:t>
            </w:r>
            <w:r>
              <w:rPr>
                <w:noProof/>
                <w:webHidden/>
              </w:rPr>
              <w:tab/>
            </w:r>
            <w:r>
              <w:rPr>
                <w:noProof/>
                <w:webHidden/>
              </w:rPr>
              <w:fldChar w:fldCharType="begin"/>
            </w:r>
            <w:r>
              <w:rPr>
                <w:noProof/>
                <w:webHidden/>
              </w:rPr>
              <w:instrText xml:space="preserve"> PAGEREF _Toc235368011 \h </w:instrText>
            </w:r>
            <w:r>
              <w:rPr>
                <w:noProof/>
                <w:webHidden/>
              </w:rPr>
            </w:r>
            <w:r>
              <w:rPr>
                <w:noProof/>
                <w:webHidden/>
              </w:rPr>
              <w:fldChar w:fldCharType="separate"/>
            </w:r>
            <w:r>
              <w:rPr>
                <w:noProof/>
                <w:webHidden/>
              </w:rPr>
              <w:t>5</w:t>
            </w:r>
            <w:r>
              <w:rPr>
                <w:noProof/>
                <w:webHidden/>
              </w:rPr>
              <w:fldChar w:fldCharType="end"/>
            </w:r>
          </w:hyperlink>
        </w:p>
        <w:p w14:paraId="4BF617BD" w14:textId="09EED024" w:rsidR="00DE238E" w:rsidRDefault="00DE238E">
          <w:pPr>
            <w:pStyle w:val="TDC2"/>
            <w:tabs>
              <w:tab w:val="right" w:leader="dot" w:pos="10030"/>
            </w:tabs>
            <w:rPr>
              <w:rFonts w:asciiTheme="minorHAnsi" w:eastAsiaTheme="minorEastAsia" w:hAnsiTheme="minorHAnsi" w:cstheme="minorBidi"/>
              <w:noProof/>
              <w:color w:val="auto"/>
              <w:kern w:val="2"/>
              <w:sz w:val="24"/>
              <w:szCs w:val="24"/>
              <w14:ligatures w14:val="standardContextual"/>
            </w:rPr>
          </w:pPr>
          <w:hyperlink w:anchor="_Toc235368012" w:history="1">
            <w:r w:rsidRPr="005541C5">
              <w:rPr>
                <w:rStyle w:val="Hipervnculo"/>
                <w:noProof/>
              </w:rPr>
              <w:t>3.2. Estrategia</w:t>
            </w:r>
            <w:r>
              <w:rPr>
                <w:noProof/>
                <w:webHidden/>
              </w:rPr>
              <w:tab/>
            </w:r>
            <w:r>
              <w:rPr>
                <w:noProof/>
                <w:webHidden/>
              </w:rPr>
              <w:fldChar w:fldCharType="begin"/>
            </w:r>
            <w:r>
              <w:rPr>
                <w:noProof/>
                <w:webHidden/>
              </w:rPr>
              <w:instrText xml:space="preserve"> PAGEREF _Toc235368012 \h </w:instrText>
            </w:r>
            <w:r>
              <w:rPr>
                <w:noProof/>
                <w:webHidden/>
              </w:rPr>
            </w:r>
            <w:r>
              <w:rPr>
                <w:noProof/>
                <w:webHidden/>
              </w:rPr>
              <w:fldChar w:fldCharType="separate"/>
            </w:r>
            <w:r>
              <w:rPr>
                <w:noProof/>
                <w:webHidden/>
              </w:rPr>
              <w:t>5</w:t>
            </w:r>
            <w:r>
              <w:rPr>
                <w:noProof/>
                <w:webHidden/>
              </w:rPr>
              <w:fldChar w:fldCharType="end"/>
            </w:r>
          </w:hyperlink>
        </w:p>
        <w:p w14:paraId="3AF9870D" w14:textId="6D0E18FA" w:rsidR="00DE238E" w:rsidRDefault="00DE238E">
          <w:pPr>
            <w:pStyle w:val="TDC3"/>
            <w:tabs>
              <w:tab w:val="right" w:leader="dot" w:pos="10030"/>
            </w:tabs>
            <w:rPr>
              <w:rFonts w:asciiTheme="minorHAnsi" w:eastAsiaTheme="minorEastAsia" w:hAnsiTheme="minorHAnsi" w:cstheme="minorBidi"/>
              <w:noProof/>
              <w:color w:val="auto"/>
              <w:kern w:val="2"/>
              <w:sz w:val="24"/>
              <w:szCs w:val="24"/>
              <w14:ligatures w14:val="standardContextual"/>
            </w:rPr>
          </w:pPr>
          <w:hyperlink w:anchor="_Toc235368013" w:history="1">
            <w:r w:rsidRPr="005541C5">
              <w:rPr>
                <w:rStyle w:val="Hipervnculo"/>
                <w:noProof/>
              </w:rPr>
              <w:t>3.2.1 Riesgos y oportunidades</w:t>
            </w:r>
            <w:r>
              <w:rPr>
                <w:noProof/>
                <w:webHidden/>
              </w:rPr>
              <w:tab/>
            </w:r>
            <w:r>
              <w:rPr>
                <w:noProof/>
                <w:webHidden/>
              </w:rPr>
              <w:fldChar w:fldCharType="begin"/>
            </w:r>
            <w:r>
              <w:rPr>
                <w:noProof/>
                <w:webHidden/>
              </w:rPr>
              <w:instrText xml:space="preserve"> PAGEREF _Toc235368013 \h </w:instrText>
            </w:r>
            <w:r>
              <w:rPr>
                <w:noProof/>
                <w:webHidden/>
              </w:rPr>
            </w:r>
            <w:r>
              <w:rPr>
                <w:noProof/>
                <w:webHidden/>
              </w:rPr>
              <w:fldChar w:fldCharType="separate"/>
            </w:r>
            <w:r>
              <w:rPr>
                <w:noProof/>
                <w:webHidden/>
              </w:rPr>
              <w:t>5</w:t>
            </w:r>
            <w:r>
              <w:rPr>
                <w:noProof/>
                <w:webHidden/>
              </w:rPr>
              <w:fldChar w:fldCharType="end"/>
            </w:r>
          </w:hyperlink>
        </w:p>
        <w:p w14:paraId="11BECBF3" w14:textId="6A7C836C" w:rsidR="00DE238E" w:rsidRDefault="00DE238E">
          <w:pPr>
            <w:pStyle w:val="TDC3"/>
            <w:tabs>
              <w:tab w:val="right" w:leader="dot" w:pos="10030"/>
            </w:tabs>
            <w:rPr>
              <w:rFonts w:asciiTheme="minorHAnsi" w:eastAsiaTheme="minorEastAsia" w:hAnsiTheme="minorHAnsi" w:cstheme="minorBidi"/>
              <w:noProof/>
              <w:color w:val="auto"/>
              <w:kern w:val="2"/>
              <w:sz w:val="24"/>
              <w:szCs w:val="24"/>
              <w14:ligatures w14:val="standardContextual"/>
            </w:rPr>
          </w:pPr>
          <w:hyperlink w:anchor="_Toc235368014" w:history="1">
            <w:r w:rsidRPr="005541C5">
              <w:rPr>
                <w:rStyle w:val="Hipervnculo"/>
                <w:noProof/>
              </w:rPr>
              <w:t>3.2.2 Modelo de negocio y cadena de valor</w:t>
            </w:r>
            <w:r>
              <w:rPr>
                <w:noProof/>
                <w:webHidden/>
              </w:rPr>
              <w:tab/>
            </w:r>
            <w:r>
              <w:rPr>
                <w:noProof/>
                <w:webHidden/>
              </w:rPr>
              <w:fldChar w:fldCharType="begin"/>
            </w:r>
            <w:r>
              <w:rPr>
                <w:noProof/>
                <w:webHidden/>
              </w:rPr>
              <w:instrText xml:space="preserve"> PAGEREF _Toc235368014 \h </w:instrText>
            </w:r>
            <w:r>
              <w:rPr>
                <w:noProof/>
                <w:webHidden/>
              </w:rPr>
            </w:r>
            <w:r>
              <w:rPr>
                <w:noProof/>
                <w:webHidden/>
              </w:rPr>
              <w:fldChar w:fldCharType="separate"/>
            </w:r>
            <w:r>
              <w:rPr>
                <w:noProof/>
                <w:webHidden/>
              </w:rPr>
              <w:t>6</w:t>
            </w:r>
            <w:r>
              <w:rPr>
                <w:noProof/>
                <w:webHidden/>
              </w:rPr>
              <w:fldChar w:fldCharType="end"/>
            </w:r>
          </w:hyperlink>
        </w:p>
        <w:p w14:paraId="5FA2F507" w14:textId="0ED26C5F" w:rsidR="00DE238E" w:rsidRDefault="00DE238E">
          <w:pPr>
            <w:pStyle w:val="TDC3"/>
            <w:tabs>
              <w:tab w:val="right" w:leader="dot" w:pos="10030"/>
            </w:tabs>
            <w:rPr>
              <w:rFonts w:asciiTheme="minorHAnsi" w:eastAsiaTheme="minorEastAsia" w:hAnsiTheme="minorHAnsi" w:cstheme="minorBidi"/>
              <w:noProof/>
              <w:color w:val="auto"/>
              <w:kern w:val="2"/>
              <w:sz w:val="24"/>
              <w:szCs w:val="24"/>
              <w14:ligatures w14:val="standardContextual"/>
            </w:rPr>
          </w:pPr>
          <w:hyperlink w:anchor="_Toc235368015" w:history="1">
            <w:r w:rsidRPr="005541C5">
              <w:rPr>
                <w:rStyle w:val="Hipervnculo"/>
                <w:noProof/>
              </w:rPr>
              <w:t>3.2.3 Estrategia y toma de decisiones</w:t>
            </w:r>
            <w:r>
              <w:rPr>
                <w:noProof/>
                <w:webHidden/>
              </w:rPr>
              <w:tab/>
            </w:r>
            <w:r>
              <w:rPr>
                <w:noProof/>
                <w:webHidden/>
              </w:rPr>
              <w:fldChar w:fldCharType="begin"/>
            </w:r>
            <w:r>
              <w:rPr>
                <w:noProof/>
                <w:webHidden/>
              </w:rPr>
              <w:instrText xml:space="preserve"> PAGEREF _Toc235368015 \h </w:instrText>
            </w:r>
            <w:r>
              <w:rPr>
                <w:noProof/>
                <w:webHidden/>
              </w:rPr>
            </w:r>
            <w:r>
              <w:rPr>
                <w:noProof/>
                <w:webHidden/>
              </w:rPr>
              <w:fldChar w:fldCharType="separate"/>
            </w:r>
            <w:r>
              <w:rPr>
                <w:noProof/>
                <w:webHidden/>
              </w:rPr>
              <w:t>6</w:t>
            </w:r>
            <w:r>
              <w:rPr>
                <w:noProof/>
                <w:webHidden/>
              </w:rPr>
              <w:fldChar w:fldCharType="end"/>
            </w:r>
          </w:hyperlink>
        </w:p>
        <w:p w14:paraId="099EFFE3" w14:textId="063CE581" w:rsidR="00DE238E" w:rsidRDefault="00DE238E">
          <w:pPr>
            <w:pStyle w:val="TDC3"/>
            <w:tabs>
              <w:tab w:val="right" w:leader="dot" w:pos="10030"/>
            </w:tabs>
            <w:rPr>
              <w:rFonts w:asciiTheme="minorHAnsi" w:eastAsiaTheme="minorEastAsia" w:hAnsiTheme="minorHAnsi" w:cstheme="minorBidi"/>
              <w:noProof/>
              <w:color w:val="auto"/>
              <w:kern w:val="2"/>
              <w:sz w:val="24"/>
              <w:szCs w:val="24"/>
              <w14:ligatures w14:val="standardContextual"/>
            </w:rPr>
          </w:pPr>
          <w:hyperlink w:anchor="_Toc235368016" w:history="1">
            <w:r w:rsidRPr="005541C5">
              <w:rPr>
                <w:rStyle w:val="Hipervnculo"/>
                <w:noProof/>
              </w:rPr>
              <w:t>3.2.4 Efectos financieros actuales y previstos</w:t>
            </w:r>
            <w:r>
              <w:rPr>
                <w:noProof/>
                <w:webHidden/>
              </w:rPr>
              <w:tab/>
            </w:r>
            <w:r>
              <w:rPr>
                <w:noProof/>
                <w:webHidden/>
              </w:rPr>
              <w:fldChar w:fldCharType="begin"/>
            </w:r>
            <w:r>
              <w:rPr>
                <w:noProof/>
                <w:webHidden/>
              </w:rPr>
              <w:instrText xml:space="preserve"> PAGEREF _Toc235368016 \h </w:instrText>
            </w:r>
            <w:r>
              <w:rPr>
                <w:noProof/>
                <w:webHidden/>
              </w:rPr>
            </w:r>
            <w:r>
              <w:rPr>
                <w:noProof/>
                <w:webHidden/>
              </w:rPr>
              <w:fldChar w:fldCharType="separate"/>
            </w:r>
            <w:r>
              <w:rPr>
                <w:noProof/>
                <w:webHidden/>
              </w:rPr>
              <w:t>6</w:t>
            </w:r>
            <w:r>
              <w:rPr>
                <w:noProof/>
                <w:webHidden/>
              </w:rPr>
              <w:fldChar w:fldCharType="end"/>
            </w:r>
          </w:hyperlink>
        </w:p>
        <w:p w14:paraId="33CB61FC" w14:textId="6F8DD097" w:rsidR="00DE238E" w:rsidRDefault="00DE238E">
          <w:pPr>
            <w:pStyle w:val="TDC3"/>
            <w:tabs>
              <w:tab w:val="right" w:leader="dot" w:pos="10030"/>
            </w:tabs>
            <w:rPr>
              <w:rFonts w:asciiTheme="minorHAnsi" w:eastAsiaTheme="minorEastAsia" w:hAnsiTheme="minorHAnsi" w:cstheme="minorBidi"/>
              <w:noProof/>
              <w:color w:val="auto"/>
              <w:kern w:val="2"/>
              <w:sz w:val="24"/>
              <w:szCs w:val="24"/>
              <w14:ligatures w14:val="standardContextual"/>
            </w:rPr>
          </w:pPr>
          <w:hyperlink w:anchor="_Toc235368017" w:history="1">
            <w:r w:rsidRPr="005541C5">
              <w:rPr>
                <w:rStyle w:val="Hipervnculo"/>
                <w:noProof/>
              </w:rPr>
              <w:t>3.2.5 Resiliencia climática</w:t>
            </w:r>
            <w:r>
              <w:rPr>
                <w:noProof/>
                <w:webHidden/>
              </w:rPr>
              <w:tab/>
            </w:r>
            <w:r>
              <w:rPr>
                <w:noProof/>
                <w:webHidden/>
              </w:rPr>
              <w:fldChar w:fldCharType="begin"/>
            </w:r>
            <w:r>
              <w:rPr>
                <w:noProof/>
                <w:webHidden/>
              </w:rPr>
              <w:instrText xml:space="preserve"> PAGEREF _Toc235368017 \h </w:instrText>
            </w:r>
            <w:r>
              <w:rPr>
                <w:noProof/>
                <w:webHidden/>
              </w:rPr>
            </w:r>
            <w:r>
              <w:rPr>
                <w:noProof/>
                <w:webHidden/>
              </w:rPr>
              <w:fldChar w:fldCharType="separate"/>
            </w:r>
            <w:r>
              <w:rPr>
                <w:noProof/>
                <w:webHidden/>
              </w:rPr>
              <w:t>6</w:t>
            </w:r>
            <w:r>
              <w:rPr>
                <w:noProof/>
                <w:webHidden/>
              </w:rPr>
              <w:fldChar w:fldCharType="end"/>
            </w:r>
          </w:hyperlink>
        </w:p>
        <w:p w14:paraId="1C7AD512" w14:textId="37E91421" w:rsidR="00DE238E" w:rsidRDefault="00DE238E">
          <w:pPr>
            <w:pStyle w:val="TDC2"/>
            <w:tabs>
              <w:tab w:val="right" w:leader="dot" w:pos="10030"/>
            </w:tabs>
            <w:rPr>
              <w:rFonts w:asciiTheme="minorHAnsi" w:eastAsiaTheme="minorEastAsia" w:hAnsiTheme="minorHAnsi" w:cstheme="minorBidi"/>
              <w:noProof/>
              <w:color w:val="auto"/>
              <w:kern w:val="2"/>
              <w:sz w:val="24"/>
              <w:szCs w:val="24"/>
              <w14:ligatures w14:val="standardContextual"/>
            </w:rPr>
          </w:pPr>
          <w:hyperlink w:anchor="_Toc235368018" w:history="1">
            <w:r w:rsidRPr="005541C5">
              <w:rPr>
                <w:rStyle w:val="Hipervnculo"/>
                <w:noProof/>
              </w:rPr>
              <w:t>3.3. Gestión del riesgo</w:t>
            </w:r>
            <w:r>
              <w:rPr>
                <w:noProof/>
                <w:webHidden/>
              </w:rPr>
              <w:tab/>
            </w:r>
            <w:r>
              <w:rPr>
                <w:noProof/>
                <w:webHidden/>
              </w:rPr>
              <w:fldChar w:fldCharType="begin"/>
            </w:r>
            <w:r>
              <w:rPr>
                <w:noProof/>
                <w:webHidden/>
              </w:rPr>
              <w:instrText xml:space="preserve"> PAGEREF _Toc235368018 \h </w:instrText>
            </w:r>
            <w:r>
              <w:rPr>
                <w:noProof/>
                <w:webHidden/>
              </w:rPr>
            </w:r>
            <w:r>
              <w:rPr>
                <w:noProof/>
                <w:webHidden/>
              </w:rPr>
              <w:fldChar w:fldCharType="separate"/>
            </w:r>
            <w:r>
              <w:rPr>
                <w:noProof/>
                <w:webHidden/>
              </w:rPr>
              <w:t>7</w:t>
            </w:r>
            <w:r>
              <w:rPr>
                <w:noProof/>
                <w:webHidden/>
              </w:rPr>
              <w:fldChar w:fldCharType="end"/>
            </w:r>
          </w:hyperlink>
        </w:p>
        <w:p w14:paraId="2F4CC2D2" w14:textId="77B2CA67" w:rsidR="00DE238E" w:rsidRDefault="00DE238E">
          <w:pPr>
            <w:pStyle w:val="TDC2"/>
            <w:tabs>
              <w:tab w:val="right" w:leader="dot" w:pos="10030"/>
            </w:tabs>
            <w:rPr>
              <w:rFonts w:asciiTheme="minorHAnsi" w:eastAsiaTheme="minorEastAsia" w:hAnsiTheme="minorHAnsi" w:cstheme="minorBidi"/>
              <w:noProof/>
              <w:color w:val="auto"/>
              <w:kern w:val="2"/>
              <w:sz w:val="24"/>
              <w:szCs w:val="24"/>
              <w14:ligatures w14:val="standardContextual"/>
            </w:rPr>
          </w:pPr>
          <w:hyperlink w:anchor="_Toc235368019" w:history="1">
            <w:r w:rsidRPr="005541C5">
              <w:rPr>
                <w:rStyle w:val="Hipervnculo"/>
                <w:noProof/>
              </w:rPr>
              <w:t>3.4. Métricas y objetivos</w:t>
            </w:r>
            <w:r>
              <w:rPr>
                <w:noProof/>
                <w:webHidden/>
              </w:rPr>
              <w:tab/>
            </w:r>
            <w:r>
              <w:rPr>
                <w:noProof/>
                <w:webHidden/>
              </w:rPr>
              <w:fldChar w:fldCharType="begin"/>
            </w:r>
            <w:r>
              <w:rPr>
                <w:noProof/>
                <w:webHidden/>
              </w:rPr>
              <w:instrText xml:space="preserve"> PAGEREF _Toc235368019 \h </w:instrText>
            </w:r>
            <w:r>
              <w:rPr>
                <w:noProof/>
                <w:webHidden/>
              </w:rPr>
            </w:r>
            <w:r>
              <w:rPr>
                <w:noProof/>
                <w:webHidden/>
              </w:rPr>
              <w:fldChar w:fldCharType="separate"/>
            </w:r>
            <w:r>
              <w:rPr>
                <w:noProof/>
                <w:webHidden/>
              </w:rPr>
              <w:t>8</w:t>
            </w:r>
            <w:r>
              <w:rPr>
                <w:noProof/>
                <w:webHidden/>
              </w:rPr>
              <w:fldChar w:fldCharType="end"/>
            </w:r>
          </w:hyperlink>
        </w:p>
        <w:p w14:paraId="2EDABD5E" w14:textId="5E69E770" w:rsidR="00DE238E" w:rsidRDefault="00DE238E">
          <w:pPr>
            <w:pStyle w:val="TDC2"/>
            <w:tabs>
              <w:tab w:val="right" w:leader="dot" w:pos="10030"/>
            </w:tabs>
            <w:rPr>
              <w:rFonts w:asciiTheme="minorHAnsi" w:eastAsiaTheme="minorEastAsia" w:hAnsiTheme="minorHAnsi" w:cstheme="minorBidi"/>
              <w:noProof/>
              <w:color w:val="auto"/>
              <w:kern w:val="2"/>
              <w:sz w:val="24"/>
              <w:szCs w:val="24"/>
              <w14:ligatures w14:val="standardContextual"/>
            </w:rPr>
          </w:pPr>
          <w:hyperlink w:anchor="_Toc235368020" w:history="1">
            <w:r w:rsidRPr="005541C5">
              <w:rPr>
                <w:rStyle w:val="Hipervnculo"/>
                <w:noProof/>
              </w:rPr>
              <w:t>3.5. Juicios e incertidumbre de medición</w:t>
            </w:r>
            <w:r>
              <w:rPr>
                <w:noProof/>
                <w:webHidden/>
              </w:rPr>
              <w:tab/>
            </w:r>
            <w:r>
              <w:rPr>
                <w:noProof/>
                <w:webHidden/>
              </w:rPr>
              <w:fldChar w:fldCharType="begin"/>
            </w:r>
            <w:r>
              <w:rPr>
                <w:noProof/>
                <w:webHidden/>
              </w:rPr>
              <w:instrText xml:space="preserve"> PAGEREF _Toc235368020 \h </w:instrText>
            </w:r>
            <w:r>
              <w:rPr>
                <w:noProof/>
                <w:webHidden/>
              </w:rPr>
            </w:r>
            <w:r>
              <w:rPr>
                <w:noProof/>
                <w:webHidden/>
              </w:rPr>
              <w:fldChar w:fldCharType="separate"/>
            </w:r>
            <w:r>
              <w:rPr>
                <w:noProof/>
                <w:webHidden/>
              </w:rPr>
              <w:t>9</w:t>
            </w:r>
            <w:r>
              <w:rPr>
                <w:noProof/>
                <w:webHidden/>
              </w:rPr>
              <w:fldChar w:fldCharType="end"/>
            </w:r>
          </w:hyperlink>
        </w:p>
        <w:p w14:paraId="189F9924" w14:textId="09902CF2" w:rsidR="00DE238E" w:rsidRDefault="00DE238E">
          <w:pPr>
            <w:pStyle w:val="TDC2"/>
            <w:tabs>
              <w:tab w:val="right" w:leader="dot" w:pos="10030"/>
            </w:tabs>
            <w:rPr>
              <w:rFonts w:asciiTheme="minorHAnsi" w:eastAsiaTheme="minorEastAsia" w:hAnsiTheme="minorHAnsi" w:cstheme="minorBidi"/>
              <w:noProof/>
              <w:color w:val="auto"/>
              <w:kern w:val="2"/>
              <w:sz w:val="24"/>
              <w:szCs w:val="24"/>
              <w14:ligatures w14:val="standardContextual"/>
            </w:rPr>
          </w:pPr>
          <w:hyperlink w:anchor="_Toc235368021" w:history="1">
            <w:r w:rsidRPr="005541C5">
              <w:rPr>
                <w:rStyle w:val="Hipervnculo"/>
                <w:noProof/>
              </w:rPr>
              <w:t>3.6. Requerimientos generales de presentación</w:t>
            </w:r>
            <w:r>
              <w:rPr>
                <w:noProof/>
                <w:webHidden/>
              </w:rPr>
              <w:tab/>
            </w:r>
            <w:r>
              <w:rPr>
                <w:noProof/>
                <w:webHidden/>
              </w:rPr>
              <w:fldChar w:fldCharType="begin"/>
            </w:r>
            <w:r>
              <w:rPr>
                <w:noProof/>
                <w:webHidden/>
              </w:rPr>
              <w:instrText xml:space="preserve"> PAGEREF _Toc235368021 \h </w:instrText>
            </w:r>
            <w:r>
              <w:rPr>
                <w:noProof/>
                <w:webHidden/>
              </w:rPr>
            </w:r>
            <w:r>
              <w:rPr>
                <w:noProof/>
                <w:webHidden/>
              </w:rPr>
              <w:fldChar w:fldCharType="separate"/>
            </w:r>
            <w:r>
              <w:rPr>
                <w:noProof/>
                <w:webHidden/>
              </w:rPr>
              <w:t>9</w:t>
            </w:r>
            <w:r>
              <w:rPr>
                <w:noProof/>
                <w:webHidden/>
              </w:rPr>
              <w:fldChar w:fldCharType="end"/>
            </w:r>
          </w:hyperlink>
        </w:p>
        <w:p w14:paraId="3DC2B353" w14:textId="06440041" w:rsidR="00DE238E" w:rsidRDefault="00DE238E">
          <w:pPr>
            <w:pStyle w:val="TDC2"/>
            <w:tabs>
              <w:tab w:val="right" w:leader="dot" w:pos="10030"/>
            </w:tabs>
            <w:rPr>
              <w:rFonts w:asciiTheme="minorHAnsi" w:eastAsiaTheme="minorEastAsia" w:hAnsiTheme="minorHAnsi" w:cstheme="minorBidi"/>
              <w:noProof/>
              <w:color w:val="auto"/>
              <w:kern w:val="2"/>
              <w:sz w:val="24"/>
              <w:szCs w:val="24"/>
              <w14:ligatures w14:val="standardContextual"/>
            </w:rPr>
          </w:pPr>
          <w:hyperlink w:anchor="_Toc235368022" w:history="1">
            <w:r w:rsidRPr="005541C5">
              <w:rPr>
                <w:rStyle w:val="Hipervnculo"/>
                <w:noProof/>
              </w:rPr>
              <w:t>3.7. Disposiciones de transición</w:t>
            </w:r>
            <w:r>
              <w:rPr>
                <w:noProof/>
                <w:webHidden/>
              </w:rPr>
              <w:tab/>
            </w:r>
            <w:r>
              <w:rPr>
                <w:noProof/>
                <w:webHidden/>
              </w:rPr>
              <w:fldChar w:fldCharType="begin"/>
            </w:r>
            <w:r>
              <w:rPr>
                <w:noProof/>
                <w:webHidden/>
              </w:rPr>
              <w:instrText xml:space="preserve"> PAGEREF _Toc235368022 \h </w:instrText>
            </w:r>
            <w:r>
              <w:rPr>
                <w:noProof/>
                <w:webHidden/>
              </w:rPr>
            </w:r>
            <w:r>
              <w:rPr>
                <w:noProof/>
                <w:webHidden/>
              </w:rPr>
              <w:fldChar w:fldCharType="separate"/>
            </w:r>
            <w:r>
              <w:rPr>
                <w:noProof/>
                <w:webHidden/>
              </w:rPr>
              <w:t>10</w:t>
            </w:r>
            <w:r>
              <w:rPr>
                <w:noProof/>
                <w:webHidden/>
              </w:rPr>
              <w:fldChar w:fldCharType="end"/>
            </w:r>
          </w:hyperlink>
        </w:p>
        <w:p w14:paraId="7166484C" w14:textId="684FBAC8" w:rsidR="00DE238E" w:rsidRDefault="00DE238E">
          <w:pPr>
            <w:pStyle w:val="TDC1"/>
            <w:tabs>
              <w:tab w:val="right" w:leader="dot" w:pos="10030"/>
            </w:tabs>
            <w:rPr>
              <w:rFonts w:asciiTheme="minorHAnsi" w:eastAsiaTheme="minorEastAsia" w:hAnsiTheme="minorHAnsi" w:cstheme="minorBidi"/>
              <w:noProof/>
              <w:color w:val="auto"/>
              <w:kern w:val="2"/>
              <w:sz w:val="24"/>
              <w:szCs w:val="24"/>
              <w14:ligatures w14:val="standardContextual"/>
            </w:rPr>
          </w:pPr>
          <w:hyperlink w:anchor="_Toc235368023" w:history="1">
            <w:r w:rsidRPr="005541C5">
              <w:rPr>
                <w:rStyle w:val="Hipervnculo"/>
                <w:noProof/>
              </w:rPr>
              <w:t>4. Conclusiones del diagnóstico</w:t>
            </w:r>
            <w:r>
              <w:rPr>
                <w:noProof/>
                <w:webHidden/>
              </w:rPr>
              <w:tab/>
            </w:r>
            <w:r>
              <w:rPr>
                <w:noProof/>
                <w:webHidden/>
              </w:rPr>
              <w:fldChar w:fldCharType="begin"/>
            </w:r>
            <w:r>
              <w:rPr>
                <w:noProof/>
                <w:webHidden/>
              </w:rPr>
              <w:instrText xml:space="preserve"> PAGEREF _Toc235368023 \h </w:instrText>
            </w:r>
            <w:r>
              <w:rPr>
                <w:noProof/>
                <w:webHidden/>
              </w:rPr>
            </w:r>
            <w:r>
              <w:rPr>
                <w:noProof/>
                <w:webHidden/>
              </w:rPr>
              <w:fldChar w:fldCharType="separate"/>
            </w:r>
            <w:r>
              <w:rPr>
                <w:noProof/>
                <w:webHidden/>
              </w:rPr>
              <w:t>10</w:t>
            </w:r>
            <w:r>
              <w:rPr>
                <w:noProof/>
                <w:webHidden/>
              </w:rPr>
              <w:fldChar w:fldCharType="end"/>
            </w:r>
          </w:hyperlink>
        </w:p>
        <w:p w14:paraId="128CB705" w14:textId="7BF080F2" w:rsidR="009332FD" w:rsidRDefault="009332FD">
          <w:r>
            <w:rPr>
              <w:b/>
              <w:bCs/>
              <w:lang w:val="es-ES"/>
            </w:rPr>
            <w:fldChar w:fldCharType="end"/>
          </w:r>
        </w:p>
      </w:sdtContent>
    </w:sdt>
    <w:p w14:paraId="37282F57" w14:textId="4A81A47F" w:rsidR="00475774" w:rsidRPr="00405FEB" w:rsidRDefault="00475774"/>
    <w:p w14:paraId="1BACFE17" w14:textId="77777777" w:rsidR="00475774" w:rsidRPr="00405FEB" w:rsidRDefault="00000000">
      <w:r w:rsidRPr="00405FEB">
        <w:br w:type="page"/>
      </w:r>
    </w:p>
    <w:p w14:paraId="569C77E5" w14:textId="77777777" w:rsidR="00475774" w:rsidRPr="00760ADA" w:rsidRDefault="00000000" w:rsidP="007205CF">
      <w:pPr>
        <w:pStyle w:val="Ttulo1"/>
        <w:spacing w:line="360" w:lineRule="auto"/>
      </w:pPr>
      <w:bookmarkStart w:id="0" w:name="_Toc235355466"/>
      <w:bookmarkStart w:id="1" w:name="_Toc235368007"/>
      <w:r w:rsidRPr="00760ADA">
        <w:lastRenderedPageBreak/>
        <w:t>1. Introducción y fuentes de información</w:t>
      </w:r>
      <w:bookmarkEnd w:id="0"/>
      <w:bookmarkEnd w:id="1"/>
    </w:p>
    <w:p w14:paraId="49751082" w14:textId="4527EC1A" w:rsidR="00475774" w:rsidRPr="00405FEB" w:rsidRDefault="00000000" w:rsidP="00BD6669">
      <w:pPr>
        <w:spacing w:after="160" w:line="360" w:lineRule="auto"/>
        <w:ind w:firstLine="720"/>
        <w:jc w:val="both"/>
      </w:pPr>
      <w:r w:rsidRPr="00405FEB">
        <w:t>Este diagnóstico examina el estado actual de la gestión de sostenibilidad de la Fundación Terminal Terrestre de Guayaquil (FTTG) y lo contrasta con los requerimientos de las Normas NIIF de Sostenibilidad NIIF S1 (Información general de sostenibilidad) y NIIF S2 (Información relacionada con el clima), emitidas por el ISSB. El objetivo es identificar qué elementos ya existen dentro de la institución, cuáles existen de forma parcial, y cuáles están completamente ausentes, como insumo para el diseño del modelo de reporte y del sistema de aseguramiento.</w:t>
      </w:r>
      <w:r w:rsidR="00100B41">
        <w:t xml:space="preserve"> </w:t>
      </w:r>
      <w:r w:rsidRPr="00405FEB">
        <w:t>La información se basó en cinco fuentes documentales primarias:</w:t>
      </w: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5718"/>
      </w:tblGrid>
      <w:tr w:rsidR="000C7CBC" w:rsidRPr="00405FEB" w14:paraId="626C78EA" w14:textId="77777777" w:rsidTr="00760ADA">
        <w:tblPrEx>
          <w:tblCellMar>
            <w:top w:w="0" w:type="dxa"/>
            <w:bottom w:w="0" w:type="dxa"/>
          </w:tblCellMar>
        </w:tblPrEx>
        <w:trPr>
          <w:tblHeader/>
        </w:trPr>
        <w:tc>
          <w:tcPr>
            <w:tcW w:w="4200" w:type="dxa"/>
            <w:shd w:val="clear" w:color="auto" w:fill="000000" w:themeFill="text1"/>
            <w:tcMar>
              <w:top w:w="100" w:type="dxa"/>
              <w:left w:w="140" w:type="dxa"/>
              <w:bottom w:w="100" w:type="dxa"/>
              <w:right w:w="140" w:type="dxa"/>
            </w:tcMar>
            <w:vAlign w:val="center"/>
          </w:tcPr>
          <w:p w14:paraId="4DB27D00" w14:textId="77777777" w:rsidR="000C7CBC" w:rsidRPr="00405FEB" w:rsidRDefault="000C7CBC">
            <w:pPr>
              <w:spacing w:line="250" w:lineRule="auto"/>
              <w:jc w:val="center"/>
            </w:pPr>
            <w:r w:rsidRPr="00405FEB">
              <w:rPr>
                <w:b/>
                <w:bCs/>
                <w:color w:val="FFFFFF"/>
                <w:sz w:val="18"/>
                <w:szCs w:val="18"/>
              </w:rPr>
              <w:t>Documento</w:t>
            </w:r>
          </w:p>
        </w:tc>
        <w:tc>
          <w:tcPr>
            <w:tcW w:w="5718" w:type="dxa"/>
            <w:shd w:val="clear" w:color="auto" w:fill="000000" w:themeFill="text1"/>
            <w:tcMar>
              <w:top w:w="100" w:type="dxa"/>
              <w:left w:w="140" w:type="dxa"/>
              <w:bottom w:w="100" w:type="dxa"/>
              <w:right w:w="140" w:type="dxa"/>
            </w:tcMar>
            <w:vAlign w:val="center"/>
          </w:tcPr>
          <w:p w14:paraId="53724922" w14:textId="77777777" w:rsidR="000C7CBC" w:rsidRPr="00405FEB" w:rsidRDefault="000C7CBC">
            <w:pPr>
              <w:spacing w:line="250" w:lineRule="auto"/>
              <w:jc w:val="center"/>
            </w:pPr>
            <w:r w:rsidRPr="00405FEB">
              <w:rPr>
                <w:b/>
                <w:bCs/>
                <w:color w:val="FFFFFF"/>
                <w:sz w:val="18"/>
                <w:szCs w:val="18"/>
              </w:rPr>
              <w:t>Naturaleza de la información</w:t>
            </w:r>
          </w:p>
        </w:tc>
      </w:tr>
      <w:tr w:rsidR="000C7CBC" w:rsidRPr="00405FEB" w14:paraId="4DE9AE43" w14:textId="77777777" w:rsidTr="00100B41">
        <w:tblPrEx>
          <w:tblCellMar>
            <w:top w:w="0" w:type="dxa"/>
            <w:bottom w:w="0" w:type="dxa"/>
          </w:tblCellMar>
        </w:tblPrEx>
        <w:tc>
          <w:tcPr>
            <w:tcW w:w="4200" w:type="dxa"/>
            <w:tcMar>
              <w:top w:w="100" w:type="dxa"/>
              <w:left w:w="140" w:type="dxa"/>
              <w:bottom w:w="100" w:type="dxa"/>
              <w:right w:w="140" w:type="dxa"/>
            </w:tcMar>
            <w:vAlign w:val="center"/>
          </w:tcPr>
          <w:p w14:paraId="7BDFD2D4" w14:textId="77777777" w:rsidR="000C7CBC" w:rsidRPr="00405FEB" w:rsidRDefault="000C7CBC">
            <w:pPr>
              <w:spacing w:line="250" w:lineRule="auto"/>
              <w:jc w:val="center"/>
            </w:pPr>
            <w:r w:rsidRPr="00405FEB">
              <w:rPr>
                <w:sz w:val="18"/>
                <w:szCs w:val="18"/>
              </w:rPr>
              <w:t>Acciones Realizadas 2025 — DMARS</w:t>
            </w:r>
          </w:p>
        </w:tc>
        <w:tc>
          <w:tcPr>
            <w:tcW w:w="5718" w:type="dxa"/>
            <w:tcMar>
              <w:top w:w="100" w:type="dxa"/>
              <w:left w:w="140" w:type="dxa"/>
              <w:bottom w:w="100" w:type="dxa"/>
              <w:right w:w="140" w:type="dxa"/>
            </w:tcMar>
            <w:vAlign w:val="center"/>
          </w:tcPr>
          <w:p w14:paraId="54A80C38" w14:textId="77777777" w:rsidR="000C7CBC" w:rsidRPr="00405FEB" w:rsidRDefault="000C7CBC">
            <w:pPr>
              <w:spacing w:line="250" w:lineRule="auto"/>
              <w:jc w:val="center"/>
            </w:pPr>
            <w:r w:rsidRPr="00405FEB">
              <w:rPr>
                <w:sz w:val="18"/>
                <w:szCs w:val="18"/>
              </w:rPr>
              <w:t>Evidencia narrativa y fotográfica de actividades ambientales y sociales ejecutadas en el año.</w:t>
            </w:r>
          </w:p>
        </w:tc>
      </w:tr>
      <w:tr w:rsidR="000C7CBC" w:rsidRPr="00405FEB" w14:paraId="6ED58EF5" w14:textId="77777777" w:rsidTr="00100B41">
        <w:tblPrEx>
          <w:tblCellMar>
            <w:top w:w="0" w:type="dxa"/>
            <w:bottom w:w="0" w:type="dxa"/>
          </w:tblCellMar>
        </w:tblPrEx>
        <w:tc>
          <w:tcPr>
            <w:tcW w:w="4200" w:type="dxa"/>
            <w:tcMar>
              <w:top w:w="100" w:type="dxa"/>
              <w:left w:w="140" w:type="dxa"/>
              <w:bottom w:w="100" w:type="dxa"/>
              <w:right w:w="140" w:type="dxa"/>
            </w:tcMar>
            <w:vAlign w:val="center"/>
          </w:tcPr>
          <w:p w14:paraId="5EDB2979" w14:textId="77777777" w:rsidR="000C7CBC" w:rsidRPr="00405FEB" w:rsidRDefault="000C7CBC">
            <w:pPr>
              <w:spacing w:line="250" w:lineRule="auto"/>
              <w:jc w:val="center"/>
            </w:pPr>
            <w:r w:rsidRPr="00405FEB">
              <w:rPr>
                <w:sz w:val="18"/>
                <w:szCs w:val="18"/>
              </w:rPr>
              <w:t>Acta de Contestación de Preguntas de la Ciudadanía — Rendición de Cuentas 2025</w:t>
            </w:r>
          </w:p>
        </w:tc>
        <w:tc>
          <w:tcPr>
            <w:tcW w:w="5718" w:type="dxa"/>
            <w:tcMar>
              <w:top w:w="100" w:type="dxa"/>
              <w:left w:w="140" w:type="dxa"/>
              <w:bottom w:w="100" w:type="dxa"/>
              <w:right w:w="140" w:type="dxa"/>
            </w:tcMar>
            <w:vAlign w:val="center"/>
          </w:tcPr>
          <w:p w14:paraId="18D2ECDD" w14:textId="77777777" w:rsidR="000C7CBC" w:rsidRPr="00405FEB" w:rsidRDefault="000C7CBC">
            <w:pPr>
              <w:spacing w:line="250" w:lineRule="auto"/>
              <w:jc w:val="center"/>
            </w:pPr>
            <w:r w:rsidRPr="00405FEB">
              <w:rPr>
                <w:sz w:val="18"/>
                <w:szCs w:val="18"/>
              </w:rPr>
              <w:t>Respuestas oficiales a inquietudes ciudadanas; datos de planta de personal, diversidad e inclusión.</w:t>
            </w:r>
          </w:p>
        </w:tc>
      </w:tr>
      <w:tr w:rsidR="000C7CBC" w:rsidRPr="00405FEB" w14:paraId="3130C9BC" w14:textId="77777777" w:rsidTr="00100B41">
        <w:tblPrEx>
          <w:tblCellMar>
            <w:top w:w="0" w:type="dxa"/>
            <w:bottom w:w="0" w:type="dxa"/>
          </w:tblCellMar>
        </w:tblPrEx>
        <w:tc>
          <w:tcPr>
            <w:tcW w:w="4200" w:type="dxa"/>
            <w:tcMar>
              <w:top w:w="100" w:type="dxa"/>
              <w:left w:w="140" w:type="dxa"/>
              <w:bottom w:w="100" w:type="dxa"/>
              <w:right w:w="140" w:type="dxa"/>
            </w:tcMar>
            <w:vAlign w:val="center"/>
          </w:tcPr>
          <w:p w14:paraId="7D0D7060" w14:textId="77777777" w:rsidR="000C7CBC" w:rsidRPr="00405FEB" w:rsidRDefault="000C7CBC">
            <w:pPr>
              <w:spacing w:line="250" w:lineRule="auto"/>
              <w:jc w:val="center"/>
            </w:pPr>
            <w:r w:rsidRPr="00405FEB">
              <w:rPr>
                <w:sz w:val="18"/>
                <w:szCs w:val="18"/>
              </w:rPr>
              <w:t>Informe de Seguimiento de Indicadores (mayo 2026)</w:t>
            </w:r>
          </w:p>
        </w:tc>
        <w:tc>
          <w:tcPr>
            <w:tcW w:w="5718" w:type="dxa"/>
            <w:tcMar>
              <w:top w:w="100" w:type="dxa"/>
              <w:left w:w="140" w:type="dxa"/>
              <w:bottom w:w="100" w:type="dxa"/>
              <w:right w:w="140" w:type="dxa"/>
            </w:tcMar>
            <w:vAlign w:val="center"/>
          </w:tcPr>
          <w:p w14:paraId="079D1B66" w14:textId="77777777" w:rsidR="000C7CBC" w:rsidRPr="00405FEB" w:rsidRDefault="000C7CBC">
            <w:pPr>
              <w:spacing w:line="250" w:lineRule="auto"/>
              <w:jc w:val="center"/>
            </w:pPr>
            <w:r w:rsidRPr="00405FEB">
              <w:rPr>
                <w:sz w:val="18"/>
                <w:szCs w:val="18"/>
              </w:rPr>
              <w:t>Indicadores mensuales del Sistema de Gestión Ambiental: PTAR, residuos, PMA, agua y energía.</w:t>
            </w:r>
          </w:p>
        </w:tc>
      </w:tr>
      <w:tr w:rsidR="000C7CBC" w:rsidRPr="00405FEB" w14:paraId="40F9FFE0" w14:textId="77777777" w:rsidTr="00100B41">
        <w:tblPrEx>
          <w:tblCellMar>
            <w:top w:w="0" w:type="dxa"/>
            <w:bottom w:w="0" w:type="dxa"/>
          </w:tblCellMar>
        </w:tblPrEx>
        <w:tc>
          <w:tcPr>
            <w:tcW w:w="4200" w:type="dxa"/>
            <w:tcMar>
              <w:top w:w="100" w:type="dxa"/>
              <w:left w:w="140" w:type="dxa"/>
              <w:bottom w:w="100" w:type="dxa"/>
              <w:right w:w="140" w:type="dxa"/>
            </w:tcMar>
            <w:vAlign w:val="center"/>
          </w:tcPr>
          <w:p w14:paraId="2745D548" w14:textId="77777777" w:rsidR="000C7CBC" w:rsidRPr="00405FEB" w:rsidRDefault="000C7CBC">
            <w:pPr>
              <w:spacing w:line="250" w:lineRule="auto"/>
              <w:jc w:val="center"/>
            </w:pPr>
            <w:r w:rsidRPr="00405FEB">
              <w:rPr>
                <w:sz w:val="18"/>
                <w:szCs w:val="18"/>
              </w:rPr>
              <w:t>Política de Medio Ambiente de la FTTG</w:t>
            </w:r>
          </w:p>
        </w:tc>
        <w:tc>
          <w:tcPr>
            <w:tcW w:w="5718" w:type="dxa"/>
            <w:tcMar>
              <w:top w:w="100" w:type="dxa"/>
              <w:left w:w="140" w:type="dxa"/>
              <w:bottom w:w="100" w:type="dxa"/>
              <w:right w:w="140" w:type="dxa"/>
            </w:tcMar>
            <w:vAlign w:val="center"/>
          </w:tcPr>
          <w:p w14:paraId="3D13F064" w14:textId="77777777" w:rsidR="000C7CBC" w:rsidRPr="00405FEB" w:rsidRDefault="000C7CBC">
            <w:pPr>
              <w:spacing w:line="250" w:lineRule="auto"/>
              <w:jc w:val="center"/>
            </w:pPr>
            <w:r w:rsidRPr="00405FEB">
              <w:rPr>
                <w:sz w:val="18"/>
                <w:szCs w:val="18"/>
              </w:rPr>
              <w:t>Declaración institucional de compromisos ambientales alineada a ISO 14001:2015.</w:t>
            </w:r>
          </w:p>
        </w:tc>
      </w:tr>
      <w:tr w:rsidR="000C7CBC" w:rsidRPr="00405FEB" w14:paraId="7B07F9CE" w14:textId="77777777" w:rsidTr="00100B41">
        <w:tblPrEx>
          <w:tblCellMar>
            <w:top w:w="0" w:type="dxa"/>
            <w:bottom w:w="0" w:type="dxa"/>
          </w:tblCellMar>
        </w:tblPrEx>
        <w:tc>
          <w:tcPr>
            <w:tcW w:w="4200" w:type="dxa"/>
            <w:tcMar>
              <w:top w:w="100" w:type="dxa"/>
              <w:left w:w="140" w:type="dxa"/>
              <w:bottom w:w="100" w:type="dxa"/>
              <w:right w:w="140" w:type="dxa"/>
            </w:tcMar>
            <w:vAlign w:val="center"/>
          </w:tcPr>
          <w:p w14:paraId="32AB64D2" w14:textId="77777777" w:rsidR="000C7CBC" w:rsidRPr="00405FEB" w:rsidRDefault="000C7CBC">
            <w:pPr>
              <w:spacing w:line="250" w:lineRule="auto"/>
              <w:jc w:val="center"/>
            </w:pPr>
            <w:r w:rsidRPr="00405FEB">
              <w:rPr>
                <w:sz w:val="18"/>
                <w:szCs w:val="18"/>
              </w:rPr>
              <w:t>Transcripción de entrevista técnica</w:t>
            </w:r>
          </w:p>
        </w:tc>
        <w:tc>
          <w:tcPr>
            <w:tcW w:w="5718" w:type="dxa"/>
            <w:tcMar>
              <w:top w:w="100" w:type="dxa"/>
              <w:left w:w="140" w:type="dxa"/>
              <w:bottom w:w="100" w:type="dxa"/>
              <w:right w:w="140" w:type="dxa"/>
            </w:tcMar>
            <w:vAlign w:val="center"/>
          </w:tcPr>
          <w:p w14:paraId="7447A168" w14:textId="77777777" w:rsidR="000C7CBC" w:rsidRPr="00405FEB" w:rsidRDefault="000C7CBC">
            <w:pPr>
              <w:spacing w:line="250" w:lineRule="auto"/>
              <w:jc w:val="center"/>
            </w:pPr>
            <w:r w:rsidRPr="00405FEB">
              <w:rPr>
                <w:sz w:val="18"/>
                <w:szCs w:val="18"/>
              </w:rPr>
              <w:t>Entrevista a la Dirección de Medio Ambiente y Responsabilidad Social sobre gobernanza, riesgos, métricas y conocimiento normativo.</w:t>
            </w:r>
          </w:p>
        </w:tc>
      </w:tr>
    </w:tbl>
    <w:p w14:paraId="7C074ABE" w14:textId="77777777" w:rsidR="00475774" w:rsidRPr="00405FEB" w:rsidRDefault="00475774">
      <w:pPr>
        <w:spacing w:after="200"/>
      </w:pPr>
    </w:p>
    <w:p w14:paraId="070A5934" w14:textId="620B4D67" w:rsidR="00475774" w:rsidRPr="00760ADA" w:rsidRDefault="00000000" w:rsidP="007205CF">
      <w:pPr>
        <w:pStyle w:val="Ttulo1"/>
        <w:spacing w:line="360" w:lineRule="auto"/>
      </w:pPr>
      <w:bookmarkStart w:id="2" w:name="_Toc235355467"/>
      <w:bookmarkStart w:id="3" w:name="_Toc235368008"/>
      <w:r w:rsidRPr="00760ADA">
        <w:t>2. Resumen ejecutivo</w:t>
      </w:r>
      <w:bookmarkEnd w:id="2"/>
      <w:bookmarkEnd w:id="3"/>
    </w:p>
    <w:p w14:paraId="0EFE6459" w14:textId="38FA8CDA" w:rsidR="00475774" w:rsidRPr="00405FEB" w:rsidRDefault="00000000" w:rsidP="00BD6669">
      <w:pPr>
        <w:spacing w:after="160" w:line="360" w:lineRule="auto"/>
        <w:ind w:firstLine="720"/>
        <w:jc w:val="both"/>
      </w:pPr>
      <w:r w:rsidRPr="00405FEB">
        <w:t>La siguiente tabla resume, a manera de semáforo, el nivel de desarrollo de la FTTG frente a cada uno de los seis pilares de NIIF S1/S2. El detalle y la evidencia de cada calificación se desarrollan en la Sección 3.</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800"/>
        <w:gridCol w:w="5400"/>
      </w:tblGrid>
      <w:tr w:rsidR="00475774" w:rsidRPr="00405FEB" w14:paraId="7BB3D672" w14:textId="77777777" w:rsidTr="000C7CBC">
        <w:tblPrEx>
          <w:tblCellMar>
            <w:top w:w="0" w:type="dxa"/>
            <w:bottom w:w="0" w:type="dxa"/>
          </w:tblCellMar>
        </w:tblPrEx>
        <w:trPr>
          <w:tblHeader/>
        </w:trPr>
        <w:tc>
          <w:tcPr>
            <w:tcW w:w="2600" w:type="dxa"/>
            <w:shd w:val="clear" w:color="auto" w:fill="000000" w:themeFill="text1"/>
            <w:tcMar>
              <w:top w:w="120" w:type="dxa"/>
              <w:left w:w="160" w:type="dxa"/>
              <w:bottom w:w="120" w:type="dxa"/>
              <w:right w:w="160" w:type="dxa"/>
            </w:tcMar>
            <w:vAlign w:val="center"/>
          </w:tcPr>
          <w:p w14:paraId="505C68D2" w14:textId="77777777" w:rsidR="00475774" w:rsidRPr="00405FEB" w:rsidRDefault="00000000">
            <w:pPr>
              <w:spacing w:line="260" w:lineRule="auto"/>
            </w:pPr>
            <w:r w:rsidRPr="00405FEB">
              <w:rPr>
                <w:b/>
                <w:bCs/>
                <w:color w:val="FFFFFF"/>
                <w:sz w:val="19"/>
                <w:szCs w:val="19"/>
              </w:rPr>
              <w:t>Pilar NIIF S1 / S2</w:t>
            </w:r>
          </w:p>
        </w:tc>
        <w:tc>
          <w:tcPr>
            <w:tcW w:w="1800" w:type="dxa"/>
            <w:shd w:val="clear" w:color="auto" w:fill="000000" w:themeFill="text1"/>
            <w:tcMar>
              <w:top w:w="120" w:type="dxa"/>
              <w:left w:w="160" w:type="dxa"/>
              <w:bottom w:w="120" w:type="dxa"/>
              <w:right w:w="160" w:type="dxa"/>
            </w:tcMar>
            <w:vAlign w:val="center"/>
          </w:tcPr>
          <w:p w14:paraId="042E2CDD" w14:textId="77777777" w:rsidR="00475774" w:rsidRPr="00405FEB" w:rsidRDefault="00000000">
            <w:pPr>
              <w:spacing w:line="260" w:lineRule="auto"/>
              <w:jc w:val="center"/>
            </w:pPr>
            <w:r w:rsidRPr="00405FEB">
              <w:rPr>
                <w:b/>
                <w:bCs/>
                <w:color w:val="FFFFFF"/>
                <w:sz w:val="19"/>
                <w:szCs w:val="19"/>
              </w:rPr>
              <w:t>Estado</w:t>
            </w:r>
          </w:p>
        </w:tc>
        <w:tc>
          <w:tcPr>
            <w:tcW w:w="5400" w:type="dxa"/>
            <w:shd w:val="clear" w:color="auto" w:fill="000000" w:themeFill="text1"/>
            <w:tcMar>
              <w:top w:w="120" w:type="dxa"/>
              <w:left w:w="160" w:type="dxa"/>
              <w:bottom w:w="120" w:type="dxa"/>
              <w:right w:w="160" w:type="dxa"/>
            </w:tcMar>
            <w:vAlign w:val="center"/>
          </w:tcPr>
          <w:p w14:paraId="7A7BD553" w14:textId="0FFD24CE" w:rsidR="00475774" w:rsidRPr="00405FEB" w:rsidRDefault="00760ADA">
            <w:pPr>
              <w:spacing w:line="260" w:lineRule="auto"/>
            </w:pPr>
            <w:r>
              <w:rPr>
                <w:b/>
                <w:bCs/>
                <w:color w:val="FFFFFF"/>
                <w:sz w:val="19"/>
                <w:szCs w:val="19"/>
              </w:rPr>
              <w:t>Observación</w:t>
            </w:r>
          </w:p>
        </w:tc>
      </w:tr>
      <w:tr w:rsidR="00475774" w:rsidRPr="00405FEB" w14:paraId="0C89C654" w14:textId="77777777" w:rsidTr="00100B41">
        <w:tblPrEx>
          <w:tblCellMar>
            <w:top w:w="0" w:type="dxa"/>
            <w:bottom w:w="0" w:type="dxa"/>
          </w:tblCellMar>
        </w:tblPrEx>
        <w:tc>
          <w:tcPr>
            <w:tcW w:w="2600" w:type="dxa"/>
            <w:shd w:val="clear" w:color="auto" w:fill="FFFFFF"/>
            <w:tcMar>
              <w:top w:w="120" w:type="dxa"/>
              <w:left w:w="160" w:type="dxa"/>
              <w:bottom w:w="120" w:type="dxa"/>
              <w:right w:w="160" w:type="dxa"/>
            </w:tcMar>
            <w:vAlign w:val="center"/>
          </w:tcPr>
          <w:p w14:paraId="3D36D903" w14:textId="77777777" w:rsidR="00475774" w:rsidRPr="00760ADA" w:rsidRDefault="00000000">
            <w:pPr>
              <w:spacing w:line="260" w:lineRule="auto"/>
              <w:rPr>
                <w:color w:val="auto"/>
              </w:rPr>
            </w:pPr>
            <w:r w:rsidRPr="00760ADA">
              <w:rPr>
                <w:b/>
                <w:bCs/>
                <w:color w:val="auto"/>
                <w:sz w:val="19"/>
                <w:szCs w:val="19"/>
              </w:rPr>
              <w:t>0. Alcance y declaración</w:t>
            </w:r>
          </w:p>
        </w:tc>
        <w:tc>
          <w:tcPr>
            <w:tcW w:w="1800" w:type="dxa"/>
            <w:tcMar>
              <w:top w:w="120" w:type="dxa"/>
              <w:left w:w="160" w:type="dxa"/>
              <w:bottom w:w="120" w:type="dxa"/>
              <w:right w:w="160" w:type="dxa"/>
            </w:tcMar>
            <w:vAlign w:val="center"/>
          </w:tcPr>
          <w:p w14:paraId="7C301CD5" w14:textId="765704B2" w:rsidR="00475774" w:rsidRPr="00760ADA" w:rsidRDefault="00760ADA">
            <w:pPr>
              <w:spacing w:line="260" w:lineRule="auto"/>
              <w:jc w:val="center"/>
              <w:rPr>
                <w:color w:val="auto"/>
              </w:rPr>
            </w:pPr>
            <w:r w:rsidRPr="00760ADA">
              <w:rPr>
                <w:b/>
                <w:bCs/>
                <w:color w:val="auto"/>
                <w:sz w:val="17"/>
                <w:szCs w:val="17"/>
              </w:rPr>
              <w:t>No Cumple / Ausente</w:t>
            </w:r>
          </w:p>
        </w:tc>
        <w:tc>
          <w:tcPr>
            <w:tcW w:w="5400" w:type="dxa"/>
            <w:shd w:val="clear" w:color="auto" w:fill="FFFFFF"/>
            <w:tcMar>
              <w:top w:w="120" w:type="dxa"/>
              <w:left w:w="160" w:type="dxa"/>
              <w:bottom w:w="120" w:type="dxa"/>
              <w:right w:w="160" w:type="dxa"/>
            </w:tcMar>
            <w:vAlign w:val="center"/>
          </w:tcPr>
          <w:p w14:paraId="5CCF01ED" w14:textId="77777777" w:rsidR="00475774" w:rsidRPr="00405FEB" w:rsidRDefault="00000000">
            <w:pPr>
              <w:spacing w:line="260" w:lineRule="auto"/>
            </w:pPr>
            <w:r w:rsidRPr="00405FEB">
              <w:rPr>
                <w:sz w:val="19"/>
                <w:szCs w:val="19"/>
              </w:rPr>
              <w:t>No existe conocimiento ni discusión previa de NIIF S1/S2 dentro de la institución; no hay declaración de referencia normativa alguna.</w:t>
            </w:r>
          </w:p>
        </w:tc>
      </w:tr>
      <w:tr w:rsidR="00475774" w:rsidRPr="00405FEB" w14:paraId="0C7C5CBA" w14:textId="77777777" w:rsidTr="00100B41">
        <w:tblPrEx>
          <w:tblCellMar>
            <w:top w:w="0" w:type="dxa"/>
            <w:bottom w:w="0" w:type="dxa"/>
          </w:tblCellMar>
        </w:tblPrEx>
        <w:tc>
          <w:tcPr>
            <w:tcW w:w="2600" w:type="dxa"/>
            <w:shd w:val="clear" w:color="auto" w:fill="FFFFFF"/>
            <w:tcMar>
              <w:top w:w="120" w:type="dxa"/>
              <w:left w:w="160" w:type="dxa"/>
              <w:bottom w:w="120" w:type="dxa"/>
              <w:right w:w="160" w:type="dxa"/>
            </w:tcMar>
            <w:vAlign w:val="center"/>
          </w:tcPr>
          <w:p w14:paraId="1C8A4734" w14:textId="77777777" w:rsidR="00475774" w:rsidRPr="00760ADA" w:rsidRDefault="00000000">
            <w:pPr>
              <w:spacing w:line="260" w:lineRule="auto"/>
              <w:rPr>
                <w:color w:val="auto"/>
              </w:rPr>
            </w:pPr>
            <w:r w:rsidRPr="00760ADA">
              <w:rPr>
                <w:b/>
                <w:bCs/>
                <w:color w:val="auto"/>
                <w:sz w:val="19"/>
                <w:szCs w:val="19"/>
              </w:rPr>
              <w:t>1. Gobernanza</w:t>
            </w:r>
          </w:p>
        </w:tc>
        <w:tc>
          <w:tcPr>
            <w:tcW w:w="1800" w:type="dxa"/>
            <w:tcMar>
              <w:top w:w="120" w:type="dxa"/>
              <w:left w:w="160" w:type="dxa"/>
              <w:bottom w:w="120" w:type="dxa"/>
              <w:right w:w="160" w:type="dxa"/>
            </w:tcMar>
            <w:vAlign w:val="center"/>
          </w:tcPr>
          <w:p w14:paraId="7FDA62B0" w14:textId="7E96EB4A" w:rsidR="00475774" w:rsidRPr="00760ADA" w:rsidRDefault="00760ADA">
            <w:pPr>
              <w:spacing w:line="260" w:lineRule="auto"/>
              <w:jc w:val="center"/>
              <w:rPr>
                <w:color w:val="auto"/>
              </w:rPr>
            </w:pPr>
            <w:r w:rsidRPr="00760ADA">
              <w:rPr>
                <w:b/>
                <w:bCs/>
                <w:color w:val="auto"/>
                <w:sz w:val="17"/>
                <w:szCs w:val="17"/>
              </w:rPr>
              <w:t>Parcial</w:t>
            </w:r>
          </w:p>
        </w:tc>
        <w:tc>
          <w:tcPr>
            <w:tcW w:w="5400" w:type="dxa"/>
            <w:shd w:val="clear" w:color="auto" w:fill="FFFFFF"/>
            <w:tcMar>
              <w:top w:w="120" w:type="dxa"/>
              <w:left w:w="160" w:type="dxa"/>
              <w:bottom w:w="120" w:type="dxa"/>
              <w:right w:w="160" w:type="dxa"/>
            </w:tcMar>
            <w:vAlign w:val="center"/>
          </w:tcPr>
          <w:p w14:paraId="7809011B" w14:textId="77777777" w:rsidR="00475774" w:rsidRPr="00405FEB" w:rsidRDefault="00000000">
            <w:pPr>
              <w:spacing w:line="260" w:lineRule="auto"/>
            </w:pPr>
            <w:r w:rsidRPr="00405FEB">
              <w:rPr>
                <w:sz w:val="19"/>
                <w:szCs w:val="19"/>
              </w:rPr>
              <w:t>Existe un área técnica responsable (Dirección de Medio Ambiente y RS) con cadena de aprobación documentada, pero sin evidencia de supervisión formal por parte del Directorio ni de competencias específicas en sostenibilidad/clima.</w:t>
            </w:r>
          </w:p>
        </w:tc>
      </w:tr>
      <w:tr w:rsidR="00475774" w:rsidRPr="00405FEB" w14:paraId="0E4896D6" w14:textId="77777777" w:rsidTr="00100B41">
        <w:tblPrEx>
          <w:tblCellMar>
            <w:top w:w="0" w:type="dxa"/>
            <w:bottom w:w="0" w:type="dxa"/>
          </w:tblCellMar>
        </w:tblPrEx>
        <w:tc>
          <w:tcPr>
            <w:tcW w:w="2600" w:type="dxa"/>
            <w:shd w:val="clear" w:color="auto" w:fill="FFFFFF"/>
            <w:tcMar>
              <w:top w:w="120" w:type="dxa"/>
              <w:left w:w="160" w:type="dxa"/>
              <w:bottom w:w="120" w:type="dxa"/>
              <w:right w:w="160" w:type="dxa"/>
            </w:tcMar>
            <w:vAlign w:val="center"/>
          </w:tcPr>
          <w:p w14:paraId="19FDFF0C" w14:textId="77777777" w:rsidR="00475774" w:rsidRPr="00760ADA" w:rsidRDefault="00000000">
            <w:pPr>
              <w:spacing w:line="260" w:lineRule="auto"/>
              <w:rPr>
                <w:color w:val="auto"/>
              </w:rPr>
            </w:pPr>
            <w:r w:rsidRPr="00760ADA">
              <w:rPr>
                <w:b/>
                <w:bCs/>
                <w:color w:val="auto"/>
                <w:sz w:val="19"/>
                <w:szCs w:val="19"/>
              </w:rPr>
              <w:t>2. Estrategia</w:t>
            </w:r>
          </w:p>
        </w:tc>
        <w:tc>
          <w:tcPr>
            <w:tcW w:w="1800" w:type="dxa"/>
            <w:tcMar>
              <w:top w:w="120" w:type="dxa"/>
              <w:left w:w="160" w:type="dxa"/>
              <w:bottom w:w="120" w:type="dxa"/>
              <w:right w:w="160" w:type="dxa"/>
            </w:tcMar>
            <w:vAlign w:val="center"/>
          </w:tcPr>
          <w:p w14:paraId="402E4108" w14:textId="292FB339" w:rsidR="00475774" w:rsidRPr="00760ADA" w:rsidRDefault="00760ADA">
            <w:pPr>
              <w:spacing w:line="260" w:lineRule="auto"/>
              <w:jc w:val="center"/>
              <w:rPr>
                <w:color w:val="auto"/>
              </w:rPr>
            </w:pPr>
            <w:r w:rsidRPr="00760ADA">
              <w:rPr>
                <w:b/>
                <w:bCs/>
                <w:color w:val="auto"/>
                <w:sz w:val="17"/>
                <w:szCs w:val="17"/>
              </w:rPr>
              <w:t>Parcial</w:t>
            </w:r>
          </w:p>
        </w:tc>
        <w:tc>
          <w:tcPr>
            <w:tcW w:w="5400" w:type="dxa"/>
            <w:shd w:val="clear" w:color="auto" w:fill="FFFFFF"/>
            <w:tcMar>
              <w:top w:w="120" w:type="dxa"/>
              <w:left w:w="160" w:type="dxa"/>
              <w:bottom w:w="120" w:type="dxa"/>
              <w:right w:w="160" w:type="dxa"/>
            </w:tcMar>
            <w:vAlign w:val="center"/>
          </w:tcPr>
          <w:p w14:paraId="4981A94C" w14:textId="77777777" w:rsidR="00475774" w:rsidRPr="00405FEB" w:rsidRDefault="00000000">
            <w:pPr>
              <w:spacing w:line="260" w:lineRule="auto"/>
            </w:pPr>
            <w:r w:rsidRPr="00405FEB">
              <w:rPr>
                <w:sz w:val="19"/>
                <w:szCs w:val="19"/>
              </w:rPr>
              <w:t>Hay riesgos físicos identificados y una intención estratégica (paneles solares, Plan 2026-2030), pero no hay plan de transición formal, ni análisis de escenarios, ni evaluación de efectos financieros.</w:t>
            </w:r>
          </w:p>
        </w:tc>
      </w:tr>
      <w:tr w:rsidR="00475774" w:rsidRPr="00405FEB" w14:paraId="4F7ACD64" w14:textId="77777777" w:rsidTr="00100B41">
        <w:tblPrEx>
          <w:tblCellMar>
            <w:top w:w="0" w:type="dxa"/>
            <w:bottom w:w="0" w:type="dxa"/>
          </w:tblCellMar>
        </w:tblPrEx>
        <w:tc>
          <w:tcPr>
            <w:tcW w:w="2600" w:type="dxa"/>
            <w:shd w:val="clear" w:color="auto" w:fill="FFFFFF"/>
            <w:tcMar>
              <w:top w:w="120" w:type="dxa"/>
              <w:left w:w="160" w:type="dxa"/>
              <w:bottom w:w="120" w:type="dxa"/>
              <w:right w:w="160" w:type="dxa"/>
            </w:tcMar>
            <w:vAlign w:val="center"/>
          </w:tcPr>
          <w:p w14:paraId="11CF5B7F" w14:textId="77777777" w:rsidR="00475774" w:rsidRPr="00760ADA" w:rsidRDefault="00000000">
            <w:pPr>
              <w:spacing w:line="260" w:lineRule="auto"/>
              <w:rPr>
                <w:color w:val="auto"/>
              </w:rPr>
            </w:pPr>
            <w:r w:rsidRPr="00760ADA">
              <w:rPr>
                <w:b/>
                <w:bCs/>
                <w:color w:val="auto"/>
                <w:sz w:val="19"/>
                <w:szCs w:val="19"/>
              </w:rPr>
              <w:t>3. Gestión del riesgo</w:t>
            </w:r>
          </w:p>
        </w:tc>
        <w:tc>
          <w:tcPr>
            <w:tcW w:w="1800" w:type="dxa"/>
            <w:tcMar>
              <w:top w:w="120" w:type="dxa"/>
              <w:left w:w="160" w:type="dxa"/>
              <w:bottom w:w="120" w:type="dxa"/>
              <w:right w:w="160" w:type="dxa"/>
            </w:tcMar>
            <w:vAlign w:val="center"/>
          </w:tcPr>
          <w:p w14:paraId="5AF5E31D" w14:textId="382EB8FB" w:rsidR="00475774" w:rsidRPr="00760ADA" w:rsidRDefault="00760ADA">
            <w:pPr>
              <w:spacing w:line="260" w:lineRule="auto"/>
              <w:jc w:val="center"/>
              <w:rPr>
                <w:color w:val="auto"/>
              </w:rPr>
            </w:pPr>
            <w:r w:rsidRPr="00760ADA">
              <w:rPr>
                <w:b/>
                <w:bCs/>
                <w:color w:val="auto"/>
                <w:sz w:val="17"/>
                <w:szCs w:val="17"/>
              </w:rPr>
              <w:t>Parcial</w:t>
            </w:r>
          </w:p>
        </w:tc>
        <w:tc>
          <w:tcPr>
            <w:tcW w:w="5400" w:type="dxa"/>
            <w:shd w:val="clear" w:color="auto" w:fill="FFFFFF"/>
            <w:tcMar>
              <w:top w:w="120" w:type="dxa"/>
              <w:left w:w="160" w:type="dxa"/>
              <w:bottom w:w="120" w:type="dxa"/>
              <w:right w:w="160" w:type="dxa"/>
            </w:tcMar>
            <w:vAlign w:val="center"/>
          </w:tcPr>
          <w:p w14:paraId="2616B06B" w14:textId="77777777" w:rsidR="00475774" w:rsidRPr="00405FEB" w:rsidRDefault="00000000">
            <w:pPr>
              <w:spacing w:line="260" w:lineRule="auto"/>
            </w:pPr>
            <w:r w:rsidRPr="00405FEB">
              <w:rPr>
                <w:sz w:val="19"/>
                <w:szCs w:val="19"/>
              </w:rPr>
              <w:t xml:space="preserve">Existe una matriz de riesgos con componente ambiental y un plan de emergencias, pero no un ciclo documentado de </w:t>
            </w:r>
            <w:r w:rsidRPr="00405FEB">
              <w:rPr>
                <w:sz w:val="19"/>
                <w:szCs w:val="19"/>
              </w:rPr>
              <w:lastRenderedPageBreak/>
              <w:t>identificación-evaluación-priorización-supervisión, ni integración explícita al riesgo institucional general.</w:t>
            </w:r>
          </w:p>
        </w:tc>
      </w:tr>
      <w:tr w:rsidR="00475774" w:rsidRPr="00405FEB" w14:paraId="5985D415" w14:textId="77777777" w:rsidTr="00100B41">
        <w:tblPrEx>
          <w:tblCellMar>
            <w:top w:w="0" w:type="dxa"/>
            <w:bottom w:w="0" w:type="dxa"/>
          </w:tblCellMar>
        </w:tblPrEx>
        <w:tc>
          <w:tcPr>
            <w:tcW w:w="2600" w:type="dxa"/>
            <w:shd w:val="clear" w:color="auto" w:fill="FFFFFF"/>
            <w:tcMar>
              <w:top w:w="120" w:type="dxa"/>
              <w:left w:w="160" w:type="dxa"/>
              <w:bottom w:w="120" w:type="dxa"/>
              <w:right w:w="160" w:type="dxa"/>
            </w:tcMar>
            <w:vAlign w:val="center"/>
          </w:tcPr>
          <w:p w14:paraId="35264AF9" w14:textId="77777777" w:rsidR="00475774" w:rsidRPr="00760ADA" w:rsidRDefault="00000000">
            <w:pPr>
              <w:spacing w:line="260" w:lineRule="auto"/>
              <w:rPr>
                <w:color w:val="auto"/>
              </w:rPr>
            </w:pPr>
            <w:r w:rsidRPr="00760ADA">
              <w:rPr>
                <w:b/>
                <w:bCs/>
                <w:color w:val="auto"/>
                <w:sz w:val="19"/>
                <w:szCs w:val="19"/>
              </w:rPr>
              <w:lastRenderedPageBreak/>
              <w:t>4. Métricas y objetivos</w:t>
            </w:r>
          </w:p>
        </w:tc>
        <w:tc>
          <w:tcPr>
            <w:tcW w:w="1800" w:type="dxa"/>
            <w:tcMar>
              <w:top w:w="120" w:type="dxa"/>
              <w:left w:w="160" w:type="dxa"/>
              <w:bottom w:w="120" w:type="dxa"/>
              <w:right w:w="160" w:type="dxa"/>
            </w:tcMar>
            <w:vAlign w:val="center"/>
          </w:tcPr>
          <w:p w14:paraId="1916FD8A" w14:textId="5D7F203F" w:rsidR="00475774" w:rsidRPr="00760ADA" w:rsidRDefault="00760ADA">
            <w:pPr>
              <w:spacing w:line="260" w:lineRule="auto"/>
              <w:jc w:val="center"/>
              <w:rPr>
                <w:color w:val="auto"/>
              </w:rPr>
            </w:pPr>
            <w:r w:rsidRPr="00760ADA">
              <w:rPr>
                <w:b/>
                <w:bCs/>
                <w:color w:val="auto"/>
                <w:sz w:val="17"/>
                <w:szCs w:val="17"/>
              </w:rPr>
              <w:t>Parcial</w:t>
            </w:r>
          </w:p>
        </w:tc>
        <w:tc>
          <w:tcPr>
            <w:tcW w:w="5400" w:type="dxa"/>
            <w:shd w:val="clear" w:color="auto" w:fill="FFFFFF"/>
            <w:tcMar>
              <w:top w:w="120" w:type="dxa"/>
              <w:left w:w="160" w:type="dxa"/>
              <w:bottom w:w="120" w:type="dxa"/>
              <w:right w:w="160" w:type="dxa"/>
            </w:tcMar>
            <w:vAlign w:val="center"/>
          </w:tcPr>
          <w:p w14:paraId="22094AC3" w14:textId="77777777" w:rsidR="00475774" w:rsidRPr="00405FEB" w:rsidRDefault="00000000">
            <w:pPr>
              <w:spacing w:line="260" w:lineRule="auto"/>
            </w:pPr>
            <w:r w:rsidRPr="00405FEB">
              <w:rPr>
                <w:sz w:val="19"/>
                <w:szCs w:val="19"/>
              </w:rPr>
              <w:t xml:space="preserve">Hay métricas operativas sólidas (PTAR, residuos, agua, energía) con seguimiento mensual, pero no hay inventario de emisiones GEI bajo GHG </w:t>
            </w:r>
            <w:proofErr w:type="spellStart"/>
            <w:r w:rsidRPr="00405FEB">
              <w:rPr>
                <w:sz w:val="19"/>
                <w:szCs w:val="19"/>
              </w:rPr>
              <w:t>Protocol</w:t>
            </w:r>
            <w:proofErr w:type="spellEnd"/>
            <w:r w:rsidRPr="00405FEB">
              <w:rPr>
                <w:sz w:val="19"/>
                <w:szCs w:val="19"/>
              </w:rPr>
              <w:t>, ni metas numéricas de reducción con plazos definidos.</w:t>
            </w:r>
          </w:p>
        </w:tc>
      </w:tr>
      <w:tr w:rsidR="00475774" w:rsidRPr="00405FEB" w14:paraId="159ADCFC" w14:textId="77777777" w:rsidTr="00100B41">
        <w:tblPrEx>
          <w:tblCellMar>
            <w:top w:w="0" w:type="dxa"/>
            <w:bottom w:w="0" w:type="dxa"/>
          </w:tblCellMar>
        </w:tblPrEx>
        <w:tc>
          <w:tcPr>
            <w:tcW w:w="2600" w:type="dxa"/>
            <w:shd w:val="clear" w:color="auto" w:fill="FFFFFF"/>
            <w:tcMar>
              <w:top w:w="120" w:type="dxa"/>
              <w:left w:w="160" w:type="dxa"/>
              <w:bottom w:w="120" w:type="dxa"/>
              <w:right w:w="160" w:type="dxa"/>
            </w:tcMar>
            <w:vAlign w:val="center"/>
          </w:tcPr>
          <w:p w14:paraId="7E262123" w14:textId="77777777" w:rsidR="00475774" w:rsidRPr="00760ADA" w:rsidRDefault="00000000">
            <w:pPr>
              <w:spacing w:line="260" w:lineRule="auto"/>
              <w:rPr>
                <w:color w:val="auto"/>
              </w:rPr>
            </w:pPr>
            <w:r w:rsidRPr="00760ADA">
              <w:rPr>
                <w:b/>
                <w:bCs/>
                <w:color w:val="auto"/>
                <w:sz w:val="19"/>
                <w:szCs w:val="19"/>
              </w:rPr>
              <w:t>5. Requerimientos generales de presentación</w:t>
            </w:r>
          </w:p>
        </w:tc>
        <w:tc>
          <w:tcPr>
            <w:tcW w:w="1800" w:type="dxa"/>
            <w:tcMar>
              <w:top w:w="120" w:type="dxa"/>
              <w:left w:w="160" w:type="dxa"/>
              <w:bottom w:w="120" w:type="dxa"/>
              <w:right w:w="160" w:type="dxa"/>
            </w:tcMar>
            <w:vAlign w:val="center"/>
          </w:tcPr>
          <w:p w14:paraId="17D2310E" w14:textId="65B62758" w:rsidR="00475774" w:rsidRPr="00760ADA" w:rsidRDefault="00760ADA">
            <w:pPr>
              <w:spacing w:line="260" w:lineRule="auto"/>
              <w:jc w:val="center"/>
              <w:rPr>
                <w:color w:val="auto"/>
              </w:rPr>
            </w:pPr>
            <w:r w:rsidRPr="00760ADA">
              <w:rPr>
                <w:b/>
                <w:bCs/>
                <w:color w:val="auto"/>
                <w:sz w:val="17"/>
                <w:szCs w:val="17"/>
              </w:rPr>
              <w:t>No Cumple / Ausente</w:t>
            </w:r>
          </w:p>
        </w:tc>
        <w:tc>
          <w:tcPr>
            <w:tcW w:w="5400" w:type="dxa"/>
            <w:shd w:val="clear" w:color="auto" w:fill="FFFFFF"/>
            <w:tcMar>
              <w:top w:w="120" w:type="dxa"/>
              <w:left w:w="160" w:type="dxa"/>
              <w:bottom w:w="120" w:type="dxa"/>
              <w:right w:w="160" w:type="dxa"/>
            </w:tcMar>
            <w:vAlign w:val="center"/>
          </w:tcPr>
          <w:p w14:paraId="75B0AAF1" w14:textId="77777777" w:rsidR="00475774" w:rsidRPr="00405FEB" w:rsidRDefault="00000000">
            <w:pPr>
              <w:spacing w:line="260" w:lineRule="auto"/>
            </w:pPr>
            <w:r w:rsidRPr="00405FEB">
              <w:rPr>
                <w:sz w:val="19"/>
                <w:szCs w:val="19"/>
              </w:rPr>
              <w:t>No se usa ningún marco de reporte de sostenibilidad (ni GRI, ni ODS, ni NIIF); la información ambiental y financiera no están conectadas explícitamente.</w:t>
            </w:r>
          </w:p>
        </w:tc>
      </w:tr>
      <w:tr w:rsidR="00475774" w:rsidRPr="00405FEB" w14:paraId="15CAE1C3" w14:textId="77777777" w:rsidTr="00100B41">
        <w:tblPrEx>
          <w:tblCellMar>
            <w:top w:w="0" w:type="dxa"/>
            <w:bottom w:w="0" w:type="dxa"/>
          </w:tblCellMar>
        </w:tblPrEx>
        <w:tc>
          <w:tcPr>
            <w:tcW w:w="2600" w:type="dxa"/>
            <w:shd w:val="clear" w:color="auto" w:fill="FFFFFF"/>
            <w:tcMar>
              <w:top w:w="120" w:type="dxa"/>
              <w:left w:w="160" w:type="dxa"/>
              <w:bottom w:w="120" w:type="dxa"/>
              <w:right w:w="160" w:type="dxa"/>
            </w:tcMar>
            <w:vAlign w:val="center"/>
          </w:tcPr>
          <w:p w14:paraId="711C65B8" w14:textId="77777777" w:rsidR="00475774" w:rsidRPr="00760ADA" w:rsidRDefault="00000000">
            <w:pPr>
              <w:spacing w:line="260" w:lineRule="auto"/>
              <w:rPr>
                <w:color w:val="auto"/>
              </w:rPr>
            </w:pPr>
            <w:r w:rsidRPr="00760ADA">
              <w:rPr>
                <w:b/>
                <w:bCs/>
                <w:color w:val="auto"/>
                <w:sz w:val="19"/>
                <w:szCs w:val="19"/>
              </w:rPr>
              <w:t>6. Disposiciones de transición</w:t>
            </w:r>
          </w:p>
        </w:tc>
        <w:tc>
          <w:tcPr>
            <w:tcW w:w="1800" w:type="dxa"/>
            <w:tcMar>
              <w:top w:w="120" w:type="dxa"/>
              <w:left w:w="160" w:type="dxa"/>
              <w:bottom w:w="120" w:type="dxa"/>
              <w:right w:w="160" w:type="dxa"/>
            </w:tcMar>
            <w:vAlign w:val="center"/>
          </w:tcPr>
          <w:p w14:paraId="69772A32" w14:textId="4167B3A1" w:rsidR="00475774" w:rsidRPr="00760ADA" w:rsidRDefault="00760ADA">
            <w:pPr>
              <w:spacing w:line="260" w:lineRule="auto"/>
              <w:jc w:val="center"/>
              <w:rPr>
                <w:color w:val="auto"/>
              </w:rPr>
            </w:pPr>
            <w:r w:rsidRPr="00760ADA">
              <w:rPr>
                <w:b/>
                <w:bCs/>
                <w:color w:val="auto"/>
                <w:sz w:val="17"/>
                <w:szCs w:val="17"/>
              </w:rPr>
              <w:t>Cumple</w:t>
            </w:r>
          </w:p>
        </w:tc>
        <w:tc>
          <w:tcPr>
            <w:tcW w:w="5400" w:type="dxa"/>
            <w:shd w:val="clear" w:color="auto" w:fill="FFFFFF"/>
            <w:tcMar>
              <w:top w:w="120" w:type="dxa"/>
              <w:left w:w="160" w:type="dxa"/>
              <w:bottom w:w="120" w:type="dxa"/>
              <w:right w:w="160" w:type="dxa"/>
            </w:tcMar>
            <w:vAlign w:val="center"/>
          </w:tcPr>
          <w:p w14:paraId="1B9A9ECD" w14:textId="77777777" w:rsidR="00475774" w:rsidRPr="00405FEB" w:rsidRDefault="00000000">
            <w:pPr>
              <w:spacing w:line="260" w:lineRule="auto"/>
            </w:pPr>
            <w:r w:rsidRPr="00405FEB">
              <w:rPr>
                <w:sz w:val="19"/>
                <w:szCs w:val="19"/>
              </w:rPr>
              <w:t>Totalmente disponibles: al no haberse iniciado ningún ejercicio bajo NIIF S1/S2, la FTTG podría acogerse a todos los alivios de primer año si decide adoptar el marco.</w:t>
            </w:r>
          </w:p>
        </w:tc>
      </w:tr>
    </w:tbl>
    <w:p w14:paraId="2343ADAA" w14:textId="77777777" w:rsidR="00475774" w:rsidRPr="00405FEB" w:rsidRDefault="00475774">
      <w:pPr>
        <w:spacing w:after="200"/>
      </w:pPr>
    </w:p>
    <w:tbl>
      <w:tblPr>
        <w:tblW w:w="5000" w:type="pct"/>
        <w:tblBorders>
          <w:left w:val="single" w:sz="36" w:space="0" w:color="000000" w:themeColor="text1"/>
        </w:tblBorders>
        <w:tblCellMar>
          <w:left w:w="0" w:type="dxa"/>
          <w:bottom w:w="240" w:type="dxa"/>
          <w:right w:w="0" w:type="dxa"/>
        </w:tblCellMar>
        <w:tblLook w:val="0000" w:firstRow="0" w:lastRow="0" w:firstColumn="0" w:lastColumn="0" w:noHBand="0" w:noVBand="0"/>
      </w:tblPr>
      <w:tblGrid>
        <w:gridCol w:w="9995"/>
      </w:tblGrid>
      <w:tr w:rsidR="00475774" w:rsidRPr="00405FEB" w14:paraId="7BD3FE04" w14:textId="77777777" w:rsidTr="00100B41">
        <w:tc>
          <w:tcPr>
            <w:tcW w:w="0" w:type="auto"/>
            <w:shd w:val="clear" w:color="auto" w:fill="E8E8E8" w:themeFill="background2"/>
            <w:tcMar>
              <w:top w:w="160" w:type="dxa"/>
              <w:left w:w="260" w:type="dxa"/>
              <w:bottom w:w="160" w:type="dxa"/>
              <w:right w:w="260" w:type="dxa"/>
            </w:tcMar>
          </w:tcPr>
          <w:p w14:paraId="5E584821" w14:textId="11857992" w:rsidR="00475774" w:rsidRPr="007205CF" w:rsidRDefault="00000000" w:rsidP="00544E5F">
            <w:pPr>
              <w:spacing w:after="60"/>
              <w:jc w:val="both"/>
            </w:pPr>
            <w:r w:rsidRPr="007205CF">
              <w:rPr>
                <w:sz w:val="21"/>
                <w:szCs w:val="21"/>
              </w:rPr>
              <w:t>En síntesis: la FTTG cuenta con una base operativa de gestión ambiental relativamente madura (indicadores, políticas, plan de manejo ambiental, simulacros), pero esta información fue construida para fines de cumplimiento ambiental local (ISO 14001, Ministerio del Ambiente) y de rendición de cuentas municipal — no para un informe de sostenibilidad bajo el lenguaje y la estructura que exige NIIF S1/S2. La brecha principal no es de datos inexistentes, sino de traducción, conexión financiera y ausencia de un enfoque climático estructurado (emisiones, escenarios, plan de transición).</w:t>
            </w:r>
          </w:p>
        </w:tc>
      </w:tr>
    </w:tbl>
    <w:p w14:paraId="7806C459" w14:textId="77777777" w:rsidR="007205CF" w:rsidRDefault="007205CF" w:rsidP="007205CF"/>
    <w:p w14:paraId="72EF77D9" w14:textId="77777777" w:rsidR="007205CF" w:rsidRDefault="007205CF" w:rsidP="007205CF"/>
    <w:p w14:paraId="2ED6C39C" w14:textId="6E3EE063" w:rsidR="00475774" w:rsidRPr="007205CF" w:rsidRDefault="00000000" w:rsidP="007205CF">
      <w:pPr>
        <w:pStyle w:val="Ttulo1"/>
      </w:pPr>
      <w:bookmarkStart w:id="4" w:name="_Toc235355468"/>
      <w:bookmarkStart w:id="5" w:name="_Toc235368009"/>
      <w:r w:rsidRPr="00760ADA">
        <w:t>3. Diagnóstico</w:t>
      </w:r>
      <w:bookmarkEnd w:id="4"/>
      <w:bookmarkEnd w:id="5"/>
    </w:p>
    <w:p w14:paraId="001AFA10" w14:textId="77777777" w:rsidR="00475774" w:rsidRPr="00760ADA" w:rsidRDefault="00000000" w:rsidP="009332FD">
      <w:pPr>
        <w:pStyle w:val="Ttulo2"/>
        <w:pBdr>
          <w:bottom w:val="single" w:sz="8" w:space="1" w:color="000000" w:themeColor="text1"/>
        </w:pBdr>
        <w:spacing w:line="360" w:lineRule="auto"/>
      </w:pPr>
      <w:bookmarkStart w:id="6" w:name="_Toc235355469"/>
      <w:bookmarkStart w:id="7" w:name="_Toc235368010"/>
      <w:r w:rsidRPr="00760ADA">
        <w:t>3.0. Alcance y carácter de aplicación</w:t>
      </w:r>
      <w:bookmarkEnd w:id="6"/>
      <w:bookmarkEnd w:id="7"/>
    </w:p>
    <w:p w14:paraId="25F7E8BE" w14:textId="77777777" w:rsidR="00475774" w:rsidRPr="00405FEB" w:rsidRDefault="00000000" w:rsidP="009332FD">
      <w:pPr>
        <w:spacing w:after="160" w:line="360" w:lineRule="auto"/>
        <w:ind w:firstLine="720"/>
        <w:jc w:val="both"/>
      </w:pPr>
      <w:r w:rsidRPr="00405FEB">
        <w:t>La entrevista a la Dirección de Medio Ambiente confirma de manera explícita que, a la fecha, no se conocen las Normas NIIF S1 y NIIF S2 dentro de la institución, ni se ha discutido su eventual aplicación. Tampoco se utiliza ningún marco de reporte de sostenibilidad reconocido (GRI, ODS); la gestión se guía por indicadores internos de desempeño alineados al Sistema de Gestión Ambiental (SGA) y a la norma ISO 14001:2015.</w:t>
      </w:r>
    </w:p>
    <w:tbl>
      <w:tblPr>
        <w:tblW w:w="980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left w:w="10" w:type="dxa"/>
          <w:right w:w="10" w:type="dxa"/>
        </w:tblCellMar>
        <w:tblLook w:val="0000" w:firstRow="0" w:lastRow="0" w:firstColumn="0" w:lastColumn="0" w:noHBand="0" w:noVBand="0"/>
      </w:tblPr>
      <w:tblGrid>
        <w:gridCol w:w="4900"/>
        <w:gridCol w:w="4900"/>
      </w:tblGrid>
      <w:tr w:rsidR="00475774" w:rsidRPr="00405FEB" w14:paraId="3BD9E452" w14:textId="77777777" w:rsidTr="007205CF">
        <w:tblPrEx>
          <w:tblCellMar>
            <w:top w:w="0" w:type="dxa"/>
            <w:bottom w:w="0" w:type="dxa"/>
          </w:tblCellMar>
        </w:tblPrEx>
        <w:trPr>
          <w:tblHeader/>
        </w:trPr>
        <w:tc>
          <w:tcPr>
            <w:tcW w:w="4900" w:type="dxa"/>
            <w:shd w:val="clear" w:color="auto" w:fill="000000" w:themeFill="text1"/>
            <w:tcMar>
              <w:top w:w="100" w:type="dxa"/>
              <w:left w:w="160" w:type="dxa"/>
              <w:bottom w:w="100" w:type="dxa"/>
              <w:right w:w="160" w:type="dxa"/>
            </w:tcMar>
          </w:tcPr>
          <w:p w14:paraId="32A88BF4" w14:textId="77777777" w:rsidR="00475774" w:rsidRPr="00405FEB" w:rsidRDefault="00000000">
            <w:r w:rsidRPr="00405FEB">
              <w:rPr>
                <w:b/>
                <w:bCs/>
                <w:color w:val="FFFFFF"/>
                <w:sz w:val="19"/>
                <w:szCs w:val="19"/>
              </w:rPr>
              <w:t>SÍ TIENE / CUMPLE</w:t>
            </w:r>
          </w:p>
        </w:tc>
        <w:tc>
          <w:tcPr>
            <w:tcW w:w="4900" w:type="dxa"/>
            <w:shd w:val="clear" w:color="auto" w:fill="000000" w:themeFill="text1"/>
            <w:tcMar>
              <w:top w:w="100" w:type="dxa"/>
              <w:left w:w="160" w:type="dxa"/>
              <w:bottom w:w="100" w:type="dxa"/>
              <w:right w:w="160" w:type="dxa"/>
            </w:tcMar>
          </w:tcPr>
          <w:p w14:paraId="070DEA15" w14:textId="77777777" w:rsidR="00475774" w:rsidRPr="00405FEB" w:rsidRDefault="00000000">
            <w:r w:rsidRPr="00405FEB">
              <w:rPr>
                <w:b/>
                <w:bCs/>
                <w:color w:val="FFFFFF"/>
                <w:sz w:val="19"/>
                <w:szCs w:val="19"/>
              </w:rPr>
              <w:t>NO TIENE / LE FALTA</w:t>
            </w:r>
          </w:p>
        </w:tc>
      </w:tr>
      <w:tr w:rsidR="00475774" w:rsidRPr="00405FEB" w14:paraId="021EB0E2" w14:textId="77777777" w:rsidTr="00100B41">
        <w:tblPrEx>
          <w:tblCellMar>
            <w:top w:w="0" w:type="dxa"/>
            <w:bottom w:w="0" w:type="dxa"/>
          </w:tblCellMar>
        </w:tblPrEx>
        <w:tc>
          <w:tcPr>
            <w:tcW w:w="4900" w:type="dxa"/>
            <w:tcMar>
              <w:top w:w="140" w:type="dxa"/>
              <w:left w:w="200" w:type="dxa"/>
              <w:bottom w:w="140" w:type="dxa"/>
              <w:right w:w="200" w:type="dxa"/>
            </w:tcMar>
          </w:tcPr>
          <w:p w14:paraId="3118FC93" w14:textId="08C4BC7D" w:rsidR="00475774" w:rsidRPr="00405FEB" w:rsidRDefault="00000000" w:rsidP="00405FEB">
            <w:pPr>
              <w:pStyle w:val="Prrafodelista"/>
              <w:numPr>
                <w:ilvl w:val="0"/>
                <w:numId w:val="4"/>
              </w:numPr>
              <w:spacing w:after="100" w:line="260" w:lineRule="auto"/>
              <w:rPr>
                <w:rFonts w:ascii="Cambria" w:hAnsi="Cambria"/>
              </w:rPr>
            </w:pPr>
            <w:r w:rsidRPr="00405FEB">
              <w:rPr>
                <w:rFonts w:ascii="Cambria" w:hAnsi="Cambria"/>
                <w:sz w:val="19"/>
                <w:szCs w:val="19"/>
              </w:rPr>
              <w:t xml:space="preserve">Voluntad institucional de mejora </w:t>
            </w:r>
            <w:proofErr w:type="gramStart"/>
            <w:r w:rsidR="00405FEB" w:rsidRPr="00405FEB">
              <w:rPr>
                <w:rFonts w:ascii="Cambria" w:hAnsi="Cambria"/>
                <w:sz w:val="19"/>
                <w:szCs w:val="19"/>
              </w:rPr>
              <w:t>continua</w:t>
            </w:r>
            <w:proofErr w:type="gramEnd"/>
            <w:r w:rsidRPr="00405FEB">
              <w:rPr>
                <w:rFonts w:ascii="Cambria" w:hAnsi="Cambria"/>
                <w:sz w:val="19"/>
                <w:szCs w:val="19"/>
              </w:rPr>
              <w:t xml:space="preserve"> declarada en la Política Ambiental (base para justificar la adopción de un marco de referencia internacional).</w:t>
            </w:r>
          </w:p>
          <w:p w14:paraId="269E64A0" w14:textId="77777777" w:rsidR="00475774" w:rsidRPr="00405FEB" w:rsidRDefault="00000000" w:rsidP="00405FEB">
            <w:pPr>
              <w:pStyle w:val="Prrafodelista"/>
              <w:numPr>
                <w:ilvl w:val="0"/>
                <w:numId w:val="4"/>
              </w:numPr>
              <w:spacing w:after="100" w:line="260" w:lineRule="auto"/>
              <w:rPr>
                <w:rFonts w:ascii="Cambria" w:hAnsi="Cambria"/>
              </w:rPr>
            </w:pPr>
            <w:r w:rsidRPr="00405FEB">
              <w:rPr>
                <w:rFonts w:ascii="Cambria" w:hAnsi="Cambria"/>
                <w:sz w:val="19"/>
                <w:szCs w:val="19"/>
              </w:rPr>
              <w:t xml:space="preserve">Cadena de aprobación documental clara (elaborado / revisado / aprobado) en los </w:t>
            </w:r>
            <w:r w:rsidRPr="00405FEB">
              <w:rPr>
                <w:rFonts w:ascii="Cambria" w:hAnsi="Cambria"/>
                <w:sz w:val="19"/>
                <w:szCs w:val="19"/>
              </w:rPr>
              <w:lastRenderedPageBreak/>
              <w:t>informes existentes, útil para sostener una futura declaración de responsabilidad sobre el informe de sostenibilidad.</w:t>
            </w:r>
          </w:p>
        </w:tc>
        <w:tc>
          <w:tcPr>
            <w:tcW w:w="4900" w:type="dxa"/>
            <w:tcMar>
              <w:top w:w="140" w:type="dxa"/>
              <w:left w:w="200" w:type="dxa"/>
              <w:bottom w:w="140" w:type="dxa"/>
              <w:right w:w="200" w:type="dxa"/>
            </w:tcMar>
          </w:tcPr>
          <w:p w14:paraId="25872412" w14:textId="77777777" w:rsidR="00475774" w:rsidRPr="00100B41" w:rsidRDefault="00000000" w:rsidP="00100B41">
            <w:pPr>
              <w:pStyle w:val="Prrafodelista"/>
              <w:numPr>
                <w:ilvl w:val="0"/>
                <w:numId w:val="4"/>
              </w:numPr>
              <w:spacing w:after="100" w:line="260" w:lineRule="auto"/>
              <w:rPr>
                <w:rFonts w:ascii="Cambria" w:hAnsi="Cambria"/>
                <w:sz w:val="19"/>
                <w:szCs w:val="19"/>
              </w:rPr>
            </w:pPr>
            <w:r w:rsidRPr="00405FEB">
              <w:rPr>
                <w:rFonts w:ascii="Cambria" w:hAnsi="Cambria"/>
                <w:sz w:val="19"/>
                <w:szCs w:val="19"/>
              </w:rPr>
              <w:lastRenderedPageBreak/>
              <w:t>Ningún conocimiento previo de NIIF S1/S2 ni de su lógica de aplicación voluntaria.</w:t>
            </w:r>
          </w:p>
          <w:p w14:paraId="4C7F8720" w14:textId="548091C5" w:rsidR="00475774" w:rsidRPr="00100B41" w:rsidRDefault="00000000" w:rsidP="00100B41">
            <w:pPr>
              <w:pStyle w:val="Prrafodelista"/>
              <w:numPr>
                <w:ilvl w:val="0"/>
                <w:numId w:val="4"/>
              </w:numPr>
              <w:spacing w:after="100" w:line="260" w:lineRule="auto"/>
              <w:rPr>
                <w:rFonts w:ascii="Cambria" w:hAnsi="Cambria"/>
                <w:sz w:val="19"/>
                <w:szCs w:val="19"/>
              </w:rPr>
            </w:pPr>
            <w:r w:rsidRPr="00405FEB">
              <w:rPr>
                <w:rFonts w:ascii="Cambria" w:hAnsi="Cambria"/>
                <w:sz w:val="19"/>
                <w:szCs w:val="19"/>
              </w:rPr>
              <w:t>Ninguna declaración de referencia normativa en ningún documento existente.</w:t>
            </w:r>
          </w:p>
          <w:p w14:paraId="536FC67E" w14:textId="77777777" w:rsidR="00475774" w:rsidRPr="00405FEB" w:rsidRDefault="00000000" w:rsidP="00100B41">
            <w:pPr>
              <w:pStyle w:val="Prrafodelista"/>
              <w:numPr>
                <w:ilvl w:val="0"/>
                <w:numId w:val="4"/>
              </w:numPr>
              <w:spacing w:after="100" w:line="260" w:lineRule="auto"/>
              <w:rPr>
                <w:rFonts w:ascii="Cambria" w:hAnsi="Cambria"/>
              </w:rPr>
            </w:pPr>
            <w:r w:rsidRPr="00405FEB">
              <w:rPr>
                <w:rFonts w:ascii="Cambria" w:hAnsi="Cambria"/>
                <w:sz w:val="19"/>
                <w:szCs w:val="19"/>
              </w:rPr>
              <w:t>Ningún marco de sostenibilidad reconocido (GRI, ODS, SASB) en uso actual.</w:t>
            </w:r>
          </w:p>
        </w:tc>
      </w:tr>
    </w:tbl>
    <w:p w14:paraId="6E749129" w14:textId="77777777" w:rsidR="00475774" w:rsidRPr="00405FEB" w:rsidRDefault="00000000" w:rsidP="009332FD">
      <w:pPr>
        <w:pStyle w:val="Ttulo2"/>
        <w:pBdr>
          <w:bottom w:val="single" w:sz="4" w:space="1" w:color="000000" w:themeColor="text1"/>
        </w:pBdr>
        <w:spacing w:line="360" w:lineRule="auto"/>
      </w:pPr>
      <w:bookmarkStart w:id="8" w:name="_Toc235355470"/>
      <w:bookmarkStart w:id="9" w:name="_Toc235368011"/>
      <w:r w:rsidRPr="00405FEB">
        <w:t>3.1. Gobernanza</w:t>
      </w:r>
      <w:bookmarkEnd w:id="8"/>
      <w:bookmarkEnd w:id="9"/>
    </w:p>
    <w:p w14:paraId="3D9AAE6A" w14:textId="181B182C" w:rsidR="00475774" w:rsidRPr="00405FEB" w:rsidRDefault="00000000" w:rsidP="009332FD">
      <w:pPr>
        <w:spacing w:after="160" w:line="360" w:lineRule="auto"/>
        <w:ind w:firstLine="720"/>
        <w:jc w:val="both"/>
      </w:pPr>
      <w:r w:rsidRPr="00405FEB">
        <w:t xml:space="preserve">La FTTG cuenta con una Dirección de Medio Ambiente y Responsabilidad Social, liderada por su </w:t>
      </w:r>
      <w:proofErr w:type="gramStart"/>
      <w:r w:rsidRPr="00405FEB">
        <w:t>Directora</w:t>
      </w:r>
      <w:proofErr w:type="gramEnd"/>
      <w:r w:rsidRPr="00405FEB">
        <w:t>, de quien depende un Analista de Medio Ambiente encargado de consolidar los indicadores y elaborar los informes mensuales de seguimiento. Estos informes siguen una cadena formal de elaboración, revisión y aprobación. La Gerencia General participa directamente en la rendición de cuentas ante la ciudadanía, firmando el acta correspondiente.</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15"/>
        <w:gridCol w:w="4985"/>
      </w:tblGrid>
      <w:tr w:rsidR="00475774" w:rsidRPr="00405FEB" w14:paraId="1FDF7617" w14:textId="77777777" w:rsidTr="007205CF">
        <w:tblPrEx>
          <w:tblCellMar>
            <w:top w:w="0" w:type="dxa"/>
            <w:bottom w:w="0" w:type="dxa"/>
          </w:tblCellMar>
        </w:tblPrEx>
        <w:trPr>
          <w:tblHeader/>
        </w:trPr>
        <w:tc>
          <w:tcPr>
            <w:tcW w:w="4815" w:type="dxa"/>
            <w:shd w:val="clear" w:color="auto" w:fill="000000" w:themeFill="text1"/>
            <w:tcMar>
              <w:top w:w="100" w:type="dxa"/>
              <w:left w:w="160" w:type="dxa"/>
              <w:bottom w:w="100" w:type="dxa"/>
              <w:right w:w="160" w:type="dxa"/>
            </w:tcMar>
          </w:tcPr>
          <w:p w14:paraId="7221E5D5" w14:textId="50CD6CF4" w:rsidR="00475774" w:rsidRPr="00405FEB" w:rsidRDefault="007205CF">
            <w:r w:rsidRPr="00405FEB">
              <w:rPr>
                <w:b/>
                <w:bCs/>
                <w:color w:val="FFFFFF"/>
                <w:sz w:val="19"/>
                <w:szCs w:val="19"/>
              </w:rPr>
              <w:t>Sí Tiene / Cumple</w:t>
            </w:r>
          </w:p>
        </w:tc>
        <w:tc>
          <w:tcPr>
            <w:tcW w:w="4985" w:type="dxa"/>
            <w:shd w:val="clear" w:color="auto" w:fill="000000" w:themeFill="text1"/>
            <w:tcMar>
              <w:top w:w="100" w:type="dxa"/>
              <w:left w:w="160" w:type="dxa"/>
              <w:bottom w:w="100" w:type="dxa"/>
              <w:right w:w="160" w:type="dxa"/>
            </w:tcMar>
          </w:tcPr>
          <w:p w14:paraId="197B079B" w14:textId="7E9E1C52" w:rsidR="00475774" w:rsidRPr="00405FEB" w:rsidRDefault="007205CF">
            <w:r w:rsidRPr="00405FEB">
              <w:rPr>
                <w:b/>
                <w:bCs/>
                <w:color w:val="FFFFFF"/>
                <w:sz w:val="19"/>
                <w:szCs w:val="19"/>
              </w:rPr>
              <w:t>No Tiene / Le Falta</w:t>
            </w:r>
          </w:p>
        </w:tc>
      </w:tr>
      <w:tr w:rsidR="00475774" w:rsidRPr="00405FEB" w14:paraId="70E964C2" w14:textId="77777777" w:rsidTr="00100B41">
        <w:tblPrEx>
          <w:tblCellMar>
            <w:top w:w="0" w:type="dxa"/>
            <w:bottom w:w="0" w:type="dxa"/>
          </w:tblCellMar>
        </w:tblPrEx>
        <w:trPr>
          <w:trHeight w:val="2643"/>
        </w:trPr>
        <w:tc>
          <w:tcPr>
            <w:tcW w:w="4815" w:type="dxa"/>
            <w:tcMar>
              <w:top w:w="140" w:type="dxa"/>
              <w:left w:w="200" w:type="dxa"/>
              <w:bottom w:w="140" w:type="dxa"/>
              <w:right w:w="200" w:type="dxa"/>
            </w:tcMar>
          </w:tcPr>
          <w:p w14:paraId="5AC20D59" w14:textId="77777777" w:rsidR="00475774" w:rsidRPr="00405FEB" w:rsidRDefault="00000000" w:rsidP="005537FA">
            <w:pPr>
              <w:pStyle w:val="Prrafodelista"/>
              <w:numPr>
                <w:ilvl w:val="0"/>
                <w:numId w:val="6"/>
              </w:numPr>
              <w:spacing w:after="100" w:line="260" w:lineRule="auto"/>
              <w:rPr>
                <w:rFonts w:ascii="Cambria" w:hAnsi="Cambria"/>
              </w:rPr>
            </w:pPr>
            <w:r w:rsidRPr="00405FEB">
              <w:rPr>
                <w:rFonts w:ascii="Cambria" w:hAnsi="Cambria"/>
                <w:sz w:val="19"/>
                <w:szCs w:val="19"/>
              </w:rPr>
              <w:t>Área técnica designada (Dirección de Medio Ambiente y RS) con responsable nombrado.</w:t>
            </w:r>
          </w:p>
          <w:p w14:paraId="6186E3A0" w14:textId="77777777" w:rsidR="00475774" w:rsidRPr="00405FEB" w:rsidRDefault="00000000" w:rsidP="005537FA">
            <w:pPr>
              <w:pStyle w:val="Prrafodelista"/>
              <w:numPr>
                <w:ilvl w:val="0"/>
                <w:numId w:val="6"/>
              </w:numPr>
              <w:spacing w:after="100" w:line="260" w:lineRule="auto"/>
              <w:rPr>
                <w:rFonts w:ascii="Cambria" w:hAnsi="Cambria"/>
              </w:rPr>
            </w:pPr>
            <w:r w:rsidRPr="00405FEB">
              <w:rPr>
                <w:rFonts w:ascii="Cambria" w:hAnsi="Cambria"/>
                <w:sz w:val="19"/>
                <w:szCs w:val="19"/>
              </w:rPr>
              <w:t>Cadena de aprobación documental (elaborado/revisado/aprobado) visible en los informes.</w:t>
            </w:r>
          </w:p>
          <w:p w14:paraId="0ED7583B" w14:textId="77777777" w:rsidR="00475774" w:rsidRPr="00405FEB" w:rsidRDefault="00000000" w:rsidP="005537FA">
            <w:pPr>
              <w:pStyle w:val="Prrafodelista"/>
              <w:numPr>
                <w:ilvl w:val="0"/>
                <w:numId w:val="6"/>
              </w:numPr>
              <w:spacing w:after="100" w:line="260" w:lineRule="auto"/>
              <w:rPr>
                <w:rFonts w:ascii="Cambria" w:hAnsi="Cambria"/>
              </w:rPr>
            </w:pPr>
            <w:r w:rsidRPr="00405FEB">
              <w:rPr>
                <w:rFonts w:ascii="Cambria" w:hAnsi="Cambria"/>
                <w:sz w:val="19"/>
                <w:szCs w:val="19"/>
              </w:rPr>
              <w:t>Reporte anual formal a autoridades externas (MAE, municipio, prefectura).</w:t>
            </w:r>
          </w:p>
          <w:p w14:paraId="76608082" w14:textId="77777777" w:rsidR="00475774" w:rsidRPr="00405FEB" w:rsidRDefault="00000000" w:rsidP="005537FA">
            <w:pPr>
              <w:pStyle w:val="Prrafodelista"/>
              <w:numPr>
                <w:ilvl w:val="0"/>
                <w:numId w:val="6"/>
              </w:numPr>
              <w:spacing w:after="100" w:line="260" w:lineRule="auto"/>
              <w:rPr>
                <w:rFonts w:ascii="Cambria" w:hAnsi="Cambria"/>
              </w:rPr>
            </w:pPr>
            <w:r w:rsidRPr="00405FEB">
              <w:rPr>
                <w:rFonts w:ascii="Cambria" w:hAnsi="Cambria"/>
                <w:sz w:val="19"/>
                <w:szCs w:val="19"/>
              </w:rPr>
              <w:t>Participación de la Gerencia General en la rendición de cuentas pública.</w:t>
            </w:r>
          </w:p>
        </w:tc>
        <w:tc>
          <w:tcPr>
            <w:tcW w:w="4985" w:type="dxa"/>
            <w:tcMar>
              <w:top w:w="140" w:type="dxa"/>
              <w:left w:w="200" w:type="dxa"/>
              <w:bottom w:w="140" w:type="dxa"/>
              <w:right w:w="200" w:type="dxa"/>
            </w:tcMar>
          </w:tcPr>
          <w:p w14:paraId="6F2EFA74" w14:textId="77777777" w:rsidR="00475774" w:rsidRPr="00405FEB" w:rsidRDefault="00000000" w:rsidP="005537FA">
            <w:pPr>
              <w:pStyle w:val="Prrafodelista"/>
              <w:numPr>
                <w:ilvl w:val="0"/>
                <w:numId w:val="7"/>
              </w:numPr>
              <w:spacing w:after="100" w:line="260" w:lineRule="auto"/>
              <w:rPr>
                <w:rFonts w:ascii="Cambria" w:hAnsi="Cambria"/>
              </w:rPr>
            </w:pPr>
            <w:r w:rsidRPr="00405FEB">
              <w:rPr>
                <w:rFonts w:ascii="Cambria" w:hAnsi="Cambria"/>
                <w:sz w:val="19"/>
                <w:szCs w:val="19"/>
              </w:rPr>
              <w:t>Sin evidencia de supervisión del Directorio sobre riesgos/oportunidades de sostenibilidad.</w:t>
            </w:r>
          </w:p>
          <w:p w14:paraId="784B1E76" w14:textId="77777777" w:rsidR="00475774" w:rsidRPr="00405FEB" w:rsidRDefault="00000000" w:rsidP="005537FA">
            <w:pPr>
              <w:pStyle w:val="Prrafodelista"/>
              <w:numPr>
                <w:ilvl w:val="0"/>
                <w:numId w:val="7"/>
              </w:numPr>
              <w:spacing w:after="100" w:line="260" w:lineRule="auto"/>
              <w:rPr>
                <w:rFonts w:ascii="Cambria" w:hAnsi="Cambria"/>
              </w:rPr>
            </w:pPr>
            <w:r w:rsidRPr="00405FEB">
              <w:rPr>
                <w:rFonts w:ascii="Cambria" w:hAnsi="Cambria"/>
                <w:sz w:val="19"/>
                <w:szCs w:val="19"/>
              </w:rPr>
              <w:t>Sin mandatos ni términos de referencia documentados que asignen esta responsabilidad a nivel de gobierno corporativo.</w:t>
            </w:r>
          </w:p>
          <w:p w14:paraId="604FCFF2" w14:textId="77777777" w:rsidR="00475774" w:rsidRPr="00405FEB" w:rsidRDefault="00000000" w:rsidP="005537FA">
            <w:pPr>
              <w:pStyle w:val="Prrafodelista"/>
              <w:numPr>
                <w:ilvl w:val="0"/>
                <w:numId w:val="7"/>
              </w:numPr>
              <w:spacing w:after="100" w:line="260" w:lineRule="auto"/>
              <w:rPr>
                <w:rFonts w:ascii="Cambria" w:hAnsi="Cambria"/>
              </w:rPr>
            </w:pPr>
            <w:r w:rsidRPr="00405FEB">
              <w:rPr>
                <w:rFonts w:ascii="Cambria" w:hAnsi="Cambria"/>
                <w:sz w:val="19"/>
                <w:szCs w:val="19"/>
              </w:rPr>
              <w:t>Barrera reconocida: falta de comunicación y consolidación de datos entre Direcciones.</w:t>
            </w:r>
          </w:p>
        </w:tc>
      </w:tr>
    </w:tbl>
    <w:p w14:paraId="1D7B581F" w14:textId="77777777" w:rsidR="007205CF" w:rsidRDefault="007205CF" w:rsidP="007205CF">
      <w:bookmarkStart w:id="10" w:name="_Toc235355471"/>
    </w:p>
    <w:tbl>
      <w:tblPr>
        <w:tblW w:w="9800" w:type="dxa"/>
        <w:tblBorders>
          <w:top w:val="single" w:sz="4" w:space="0" w:color="auto"/>
          <w:left w:val="single" w:sz="4" w:space="0" w:color="auto"/>
          <w:bottom w:val="single" w:sz="4" w:space="0" w:color="auto"/>
          <w:right w:val="single" w:sz="4" w:space="0" w:color="auto"/>
        </w:tblBorders>
        <w:shd w:val="clear" w:color="auto" w:fill="CAEDFB" w:themeFill="accent4" w:themeFillTint="33"/>
        <w:tblCellMar>
          <w:top w:w="60" w:type="dxa"/>
          <w:left w:w="0" w:type="dxa"/>
          <w:bottom w:w="260" w:type="dxa"/>
          <w:right w:w="0" w:type="dxa"/>
        </w:tblCellMar>
        <w:tblLook w:val="0000" w:firstRow="0" w:lastRow="0" w:firstColumn="0" w:lastColumn="0" w:noHBand="0" w:noVBand="0"/>
      </w:tblPr>
      <w:tblGrid>
        <w:gridCol w:w="9800"/>
      </w:tblGrid>
      <w:tr w:rsidR="007205CF" w:rsidRPr="00405FEB" w14:paraId="237CCA48" w14:textId="77777777" w:rsidTr="00544E5F">
        <w:tc>
          <w:tcPr>
            <w:tcW w:w="9776" w:type="dxa"/>
            <w:shd w:val="clear" w:color="auto" w:fill="A6E1F8"/>
            <w:tcMar>
              <w:top w:w="100" w:type="dxa"/>
              <w:left w:w="220" w:type="dxa"/>
              <w:bottom w:w="100" w:type="dxa"/>
              <w:right w:w="220" w:type="dxa"/>
            </w:tcMar>
          </w:tcPr>
          <w:p w14:paraId="6D319DBA" w14:textId="56835229" w:rsidR="007205CF" w:rsidRPr="00405FEB" w:rsidRDefault="007205CF" w:rsidP="002C7AD7">
            <w:r w:rsidRPr="00100B41">
              <w:rPr>
                <w:b/>
                <w:bCs/>
                <w:color w:val="auto"/>
                <w:sz w:val="19"/>
                <w:szCs w:val="19"/>
              </w:rPr>
              <w:t>Hallazgo Clave De La Entrevista</w:t>
            </w:r>
          </w:p>
        </w:tc>
      </w:tr>
      <w:tr w:rsidR="007205CF" w:rsidRPr="00405FEB" w14:paraId="25FE7D01" w14:textId="77777777" w:rsidTr="00544E5F">
        <w:tc>
          <w:tcPr>
            <w:tcW w:w="9776" w:type="dxa"/>
            <w:shd w:val="clear" w:color="auto" w:fill="CAEDFB" w:themeFill="accent4" w:themeFillTint="33"/>
            <w:tcMar>
              <w:top w:w="160" w:type="dxa"/>
              <w:left w:w="260" w:type="dxa"/>
              <w:bottom w:w="160" w:type="dxa"/>
              <w:right w:w="260" w:type="dxa"/>
            </w:tcMar>
          </w:tcPr>
          <w:p w14:paraId="0568F152" w14:textId="500D9FFF" w:rsidR="00544E5F" w:rsidRPr="00405FEB" w:rsidRDefault="00544E5F" w:rsidP="00544E5F">
            <w:pPr>
              <w:spacing w:line="276" w:lineRule="auto"/>
              <w:jc w:val="both"/>
            </w:pPr>
            <w:r w:rsidRPr="00544E5F">
              <w:t xml:space="preserve">Se identificó como principal barrera interna la falta de comunicación entre Direcciones para consolidar información (“a veces nosotros solicitamos reportes de ellos y no los tenemos a la mano”). Esto no es una carencia de recursos, sino de gobernanza transversal: no existe, por ejemplo, un comité de sostenibilidad </w:t>
            </w:r>
            <w:proofErr w:type="spellStart"/>
            <w:r w:rsidRPr="00544E5F">
              <w:t>interdireccional</w:t>
            </w:r>
            <w:proofErr w:type="spellEnd"/>
            <w:r w:rsidRPr="00544E5F">
              <w:t xml:space="preserve"> que centralice la información antes de que llegue al área ambiental</w:t>
            </w:r>
          </w:p>
        </w:tc>
      </w:tr>
    </w:tbl>
    <w:p w14:paraId="71A869D8" w14:textId="77777777" w:rsidR="007205CF" w:rsidRDefault="007205CF" w:rsidP="007205CF"/>
    <w:p w14:paraId="26CB8BE8" w14:textId="20FBA9A9" w:rsidR="00475774" w:rsidRPr="00405FEB" w:rsidRDefault="00000000" w:rsidP="00100B41">
      <w:pPr>
        <w:pStyle w:val="Ttulo2"/>
        <w:pBdr>
          <w:bottom w:val="single" w:sz="2" w:space="1" w:color="auto"/>
        </w:pBdr>
        <w:spacing w:line="360" w:lineRule="auto"/>
      </w:pPr>
      <w:bookmarkStart w:id="11" w:name="_Toc235368012"/>
      <w:r w:rsidRPr="00405FEB">
        <w:t>3.2. Estrategia</w:t>
      </w:r>
      <w:bookmarkEnd w:id="10"/>
      <w:bookmarkEnd w:id="11"/>
    </w:p>
    <w:p w14:paraId="69C2FBB3" w14:textId="77777777" w:rsidR="00475774" w:rsidRPr="00405FEB" w:rsidRDefault="00000000" w:rsidP="00100B41">
      <w:pPr>
        <w:pStyle w:val="Ttulo3"/>
      </w:pPr>
      <w:bookmarkStart w:id="12" w:name="_Toc235355472"/>
      <w:bookmarkStart w:id="13" w:name="_Toc235368013"/>
      <w:r w:rsidRPr="00405FEB">
        <w:t>3.2.1 Riesgos y oportunidades</w:t>
      </w:r>
      <w:bookmarkEnd w:id="12"/>
      <w:bookmarkEnd w:id="13"/>
    </w:p>
    <w:p w14:paraId="783EF99C" w14:textId="1FE1F870" w:rsidR="00475774" w:rsidRPr="00405FEB" w:rsidRDefault="00000000" w:rsidP="009332FD">
      <w:pPr>
        <w:spacing w:after="160" w:line="360" w:lineRule="auto"/>
        <w:ind w:firstLine="720"/>
        <w:jc w:val="both"/>
      </w:pPr>
      <w:r w:rsidRPr="00405FEB">
        <w:lastRenderedPageBreak/>
        <w:t>La FTTG cuenta con una matriz de riesgos institucional que incorpora un componente ambiental, en la cual se han identificado riesgos físicos climáticos relevantes para su operación (inundaciones, temperaturas extremas). No obstante, al preguntarse explícitamente por riesgos de transición</w:t>
      </w:r>
      <w:r w:rsidR="005537FA">
        <w:t xml:space="preserve">: </w:t>
      </w:r>
      <w:r w:rsidRPr="00405FEB">
        <w:t>cambios regulatorios, incremento de costos energéticos, exigencias de sostenibilidad por parte de los usuarios la respuesta fue negativa: no se ha realizado este ejercicio.</w:t>
      </w:r>
    </w:p>
    <w:p w14:paraId="22FAD1FB" w14:textId="77777777" w:rsidR="00475774" w:rsidRPr="00405FEB" w:rsidRDefault="00000000" w:rsidP="009332FD">
      <w:pPr>
        <w:pStyle w:val="Ttulo3"/>
        <w:spacing w:line="360" w:lineRule="auto"/>
      </w:pPr>
      <w:bookmarkStart w:id="14" w:name="_Toc235355473"/>
      <w:bookmarkStart w:id="15" w:name="_Toc235368014"/>
      <w:r w:rsidRPr="00405FEB">
        <w:t>3.2.2 Modelo de negocio y cadena de valor</w:t>
      </w:r>
      <w:bookmarkEnd w:id="14"/>
      <w:bookmarkEnd w:id="15"/>
    </w:p>
    <w:p w14:paraId="0B564ADA" w14:textId="3B0493CA" w:rsidR="00475774" w:rsidRPr="00405FEB" w:rsidRDefault="00000000" w:rsidP="009332FD">
      <w:pPr>
        <w:spacing w:after="160" w:line="360" w:lineRule="auto"/>
        <w:ind w:firstLine="720"/>
        <w:jc w:val="both"/>
      </w:pPr>
      <w:r w:rsidRPr="00405FEB">
        <w:t>Existe una comprensión operativa clara de los actores de la cadena de valor: cooperativas de transporte, concesionarios y locales comerciales y carretilleros organizados formalmente bajo una empresa de servicios. Sin embargo, no existe un análisis documentado de cómo los riesgos de sostenibilidad afectan específicamente a cada uno de estos eslabones.</w:t>
      </w:r>
    </w:p>
    <w:p w14:paraId="0882374F" w14:textId="77777777" w:rsidR="00475774" w:rsidRPr="00405FEB" w:rsidRDefault="00000000" w:rsidP="009332FD">
      <w:pPr>
        <w:pStyle w:val="Ttulo3"/>
        <w:spacing w:line="360" w:lineRule="auto"/>
      </w:pPr>
      <w:bookmarkStart w:id="16" w:name="_Toc235355474"/>
      <w:bookmarkStart w:id="17" w:name="_Toc235368015"/>
      <w:r w:rsidRPr="00405FEB">
        <w:t>3.2.3 Estrategia y toma de decisiones</w:t>
      </w:r>
      <w:bookmarkEnd w:id="16"/>
      <w:bookmarkEnd w:id="17"/>
    </w:p>
    <w:p w14:paraId="06908853" w14:textId="77777777" w:rsidR="00475774" w:rsidRPr="00405FEB" w:rsidRDefault="00000000" w:rsidP="009332FD">
      <w:pPr>
        <w:spacing w:after="160" w:line="360" w:lineRule="auto"/>
        <w:ind w:firstLine="720"/>
      </w:pPr>
      <w:r w:rsidRPr="00405FEB">
        <w:t>La institución muestra señales de intención estratégica: se está gestionando la contratación de un estudio de factibilidad para paneles solares, y el Plan Estratégico 2026-2030 incluye un Eje 4 de “Sostenibilidad Ambiental y Social”. Las cooperativas de transporte, por su parte, han incorporado gradualmente unidades más modernas.</w:t>
      </w:r>
    </w:p>
    <w:tbl>
      <w:tblPr>
        <w:tblW w:w="5000" w:type="pct"/>
        <w:tblBorders>
          <w:top w:val="single" w:sz="4" w:space="0" w:color="auto"/>
          <w:left w:val="single" w:sz="4" w:space="0" w:color="auto"/>
          <w:bottom w:val="single" w:sz="4" w:space="0" w:color="auto"/>
          <w:right w:val="single" w:sz="4" w:space="0" w:color="auto"/>
        </w:tblBorders>
        <w:tblCellMar>
          <w:top w:w="60" w:type="dxa"/>
          <w:left w:w="0" w:type="dxa"/>
          <w:bottom w:w="260" w:type="dxa"/>
          <w:right w:w="0" w:type="dxa"/>
        </w:tblCellMar>
        <w:tblLook w:val="0000" w:firstRow="0" w:lastRow="0" w:firstColumn="0" w:lastColumn="0" w:noHBand="0" w:noVBand="0"/>
      </w:tblPr>
      <w:tblGrid>
        <w:gridCol w:w="10030"/>
      </w:tblGrid>
      <w:tr w:rsidR="00475774" w:rsidRPr="00405FEB" w14:paraId="04BFB59E" w14:textId="77777777" w:rsidTr="00BD6669">
        <w:tc>
          <w:tcPr>
            <w:tcW w:w="0" w:type="auto"/>
            <w:shd w:val="clear" w:color="auto" w:fill="A6E1F8"/>
            <w:tcMar>
              <w:top w:w="100" w:type="dxa"/>
              <w:left w:w="220" w:type="dxa"/>
              <w:bottom w:w="100" w:type="dxa"/>
              <w:right w:w="220" w:type="dxa"/>
            </w:tcMar>
          </w:tcPr>
          <w:p w14:paraId="71CA9B96" w14:textId="5BAA483C" w:rsidR="00475774" w:rsidRPr="00405FEB" w:rsidRDefault="00BD6669">
            <w:r w:rsidRPr="00BD6669">
              <w:rPr>
                <w:b/>
                <w:bCs/>
                <w:color w:val="auto"/>
                <w:sz w:val="19"/>
                <w:szCs w:val="19"/>
              </w:rPr>
              <w:t>Lo que falta para un plan de transición válido bajo NIIF S2</w:t>
            </w:r>
          </w:p>
        </w:tc>
      </w:tr>
      <w:tr w:rsidR="00475774" w:rsidRPr="00405FEB" w14:paraId="2C6C58CE" w14:textId="77777777" w:rsidTr="00BD6669">
        <w:tc>
          <w:tcPr>
            <w:tcW w:w="0" w:type="auto"/>
            <w:shd w:val="clear" w:color="auto" w:fill="CAEDFB" w:themeFill="accent4" w:themeFillTint="33"/>
            <w:tcMar>
              <w:top w:w="160" w:type="dxa"/>
              <w:left w:w="260" w:type="dxa"/>
              <w:bottom w:w="160" w:type="dxa"/>
              <w:right w:w="260" w:type="dxa"/>
            </w:tcMar>
          </w:tcPr>
          <w:p w14:paraId="49A72612" w14:textId="77777777" w:rsidR="00475774" w:rsidRPr="00405FEB" w:rsidRDefault="00000000">
            <w:pPr>
              <w:spacing w:line="276" w:lineRule="auto"/>
            </w:pPr>
            <w:r w:rsidRPr="00405FEB">
              <w:rPr>
                <w:sz w:val="21"/>
                <w:szCs w:val="21"/>
              </w:rPr>
              <w:t>Lo que existe hoy son iniciativas puntuales y estudios preliminares, no un plan de transición climática formal. Para cumplir el estándar mínimo de la norma haría falta consolidar: (1) una meta de reducción de emisiones asociada a estas iniciativas, (2) un cronograma de implementación con fechas concretas (por ejemplo, del estudio de paneles solares), y (3) una fuente de financiamiento identificada. Hoy estos tres elementos existen solo como intención, no como plan estructurado.</w:t>
            </w:r>
          </w:p>
        </w:tc>
      </w:tr>
    </w:tbl>
    <w:p w14:paraId="5397AFA0" w14:textId="77777777" w:rsidR="00475774" w:rsidRPr="00405FEB" w:rsidRDefault="00000000" w:rsidP="009332FD">
      <w:pPr>
        <w:pStyle w:val="Ttulo3"/>
        <w:spacing w:line="360" w:lineRule="auto"/>
      </w:pPr>
      <w:bookmarkStart w:id="18" w:name="_Toc235355475"/>
      <w:bookmarkStart w:id="19" w:name="_Toc235368016"/>
      <w:r w:rsidRPr="00405FEB">
        <w:t>3.2.4 Efectos financieros actuales y previstos</w:t>
      </w:r>
      <w:bookmarkEnd w:id="18"/>
      <w:bookmarkEnd w:id="19"/>
    </w:p>
    <w:p w14:paraId="7D397054" w14:textId="77777777" w:rsidR="00475774" w:rsidRPr="00405FEB" w:rsidRDefault="00000000" w:rsidP="009332FD">
      <w:pPr>
        <w:spacing w:after="160" w:line="360" w:lineRule="auto"/>
        <w:ind w:firstLine="720"/>
        <w:jc w:val="both"/>
      </w:pPr>
      <w:r w:rsidRPr="00405FEB">
        <w:t>La entrevista confirma explícitamente que no se ha cuantificado el ahorro generado por medidas de eficiencia energética, ni se ha evaluado el impacto financiero potencial de los riesgos climáticos identificados (inundaciones, cortes de energía). Tampoco existen pólizas de seguro que cubran eventos climáticos extremos. Sí existe, en cambio, un rubro presupuestario para inversiones en sostenibilidad (asociado al proyecto de energía solar).</w:t>
      </w:r>
    </w:p>
    <w:p w14:paraId="1F97333D" w14:textId="77777777" w:rsidR="00475774" w:rsidRPr="00405FEB" w:rsidRDefault="00000000" w:rsidP="009332FD">
      <w:pPr>
        <w:pStyle w:val="Ttulo3"/>
        <w:spacing w:line="360" w:lineRule="auto"/>
      </w:pPr>
      <w:bookmarkStart w:id="20" w:name="_Toc235355476"/>
      <w:bookmarkStart w:id="21" w:name="_Toc235368017"/>
      <w:r w:rsidRPr="00405FEB">
        <w:t>3.2.5 Resiliencia climática</w:t>
      </w:r>
      <w:bookmarkEnd w:id="20"/>
      <w:bookmarkEnd w:id="21"/>
    </w:p>
    <w:p w14:paraId="06957438" w14:textId="77777777" w:rsidR="00475774" w:rsidRPr="00405FEB" w:rsidRDefault="00000000" w:rsidP="009332FD">
      <w:pPr>
        <w:spacing w:after="160" w:line="360" w:lineRule="auto"/>
        <w:ind w:firstLine="720"/>
        <w:jc w:val="both"/>
      </w:pPr>
      <w:r w:rsidRPr="00405FEB">
        <w:t xml:space="preserve">La FTTG cuenta con un plan de emergencias ambientales y ejecuta simulacros periódicos en sus tres terminales, lo que constituye una base operativa de resiliencia. Sin embargo, no se ha desarrollado un </w:t>
      </w:r>
      <w:r w:rsidRPr="00405FEB">
        <w:lastRenderedPageBreak/>
        <w:t>análisis de escenarios climáticos formal, y se confirmó explícitamente que no se ha definido ningún indicador de alerta temprana para riesgos ambientales.</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00"/>
        <w:gridCol w:w="4900"/>
      </w:tblGrid>
      <w:tr w:rsidR="00475774" w:rsidRPr="00405FEB" w14:paraId="033AA72F" w14:textId="77777777" w:rsidTr="00BD6669">
        <w:tblPrEx>
          <w:tblCellMar>
            <w:top w:w="0" w:type="dxa"/>
            <w:bottom w:w="0" w:type="dxa"/>
          </w:tblCellMar>
        </w:tblPrEx>
        <w:trPr>
          <w:tblHeader/>
        </w:trPr>
        <w:tc>
          <w:tcPr>
            <w:tcW w:w="4900" w:type="dxa"/>
            <w:shd w:val="clear" w:color="auto" w:fill="000000" w:themeFill="text1"/>
            <w:tcMar>
              <w:top w:w="100" w:type="dxa"/>
              <w:left w:w="160" w:type="dxa"/>
              <w:bottom w:w="100" w:type="dxa"/>
              <w:right w:w="160" w:type="dxa"/>
            </w:tcMar>
          </w:tcPr>
          <w:p w14:paraId="2E983FA4" w14:textId="5F4CE982" w:rsidR="00475774" w:rsidRPr="00405FEB" w:rsidRDefault="00BD6669">
            <w:r w:rsidRPr="00405FEB">
              <w:rPr>
                <w:b/>
                <w:bCs/>
                <w:color w:val="FFFFFF"/>
                <w:sz w:val="19"/>
                <w:szCs w:val="19"/>
              </w:rPr>
              <w:t>Sí Tiene / Cumple</w:t>
            </w:r>
          </w:p>
        </w:tc>
        <w:tc>
          <w:tcPr>
            <w:tcW w:w="4900" w:type="dxa"/>
            <w:shd w:val="clear" w:color="auto" w:fill="000000" w:themeFill="text1"/>
            <w:tcMar>
              <w:top w:w="100" w:type="dxa"/>
              <w:left w:w="160" w:type="dxa"/>
              <w:bottom w:w="100" w:type="dxa"/>
              <w:right w:w="160" w:type="dxa"/>
            </w:tcMar>
          </w:tcPr>
          <w:p w14:paraId="21CE525E" w14:textId="3829E970" w:rsidR="00475774" w:rsidRPr="00405FEB" w:rsidRDefault="00BD6669">
            <w:r w:rsidRPr="00405FEB">
              <w:rPr>
                <w:b/>
                <w:bCs/>
                <w:color w:val="FFFFFF"/>
                <w:sz w:val="19"/>
                <w:szCs w:val="19"/>
              </w:rPr>
              <w:t>No Tiene / Le Falta</w:t>
            </w:r>
          </w:p>
        </w:tc>
      </w:tr>
      <w:tr w:rsidR="00475774" w:rsidRPr="00405FEB" w14:paraId="7DC432C7" w14:textId="77777777" w:rsidTr="00BD6669">
        <w:tblPrEx>
          <w:tblCellMar>
            <w:top w:w="0" w:type="dxa"/>
            <w:bottom w:w="0" w:type="dxa"/>
          </w:tblCellMar>
        </w:tblPrEx>
        <w:tc>
          <w:tcPr>
            <w:tcW w:w="4900" w:type="dxa"/>
            <w:tcMar>
              <w:top w:w="140" w:type="dxa"/>
              <w:left w:w="200" w:type="dxa"/>
              <w:bottom w:w="140" w:type="dxa"/>
              <w:right w:w="200" w:type="dxa"/>
            </w:tcMar>
          </w:tcPr>
          <w:p w14:paraId="7C2C710A" w14:textId="77777777" w:rsidR="00475774" w:rsidRPr="00405FEB" w:rsidRDefault="00000000" w:rsidP="005537FA">
            <w:pPr>
              <w:pStyle w:val="Prrafodelista"/>
              <w:numPr>
                <w:ilvl w:val="0"/>
                <w:numId w:val="8"/>
              </w:numPr>
              <w:spacing w:after="100" w:line="260" w:lineRule="auto"/>
              <w:rPr>
                <w:rFonts w:ascii="Cambria" w:hAnsi="Cambria"/>
              </w:rPr>
            </w:pPr>
            <w:r w:rsidRPr="00405FEB">
              <w:rPr>
                <w:rFonts w:ascii="Cambria" w:hAnsi="Cambria"/>
                <w:sz w:val="19"/>
                <w:szCs w:val="19"/>
              </w:rPr>
              <w:t>Matriz de riesgos institucional con componente ambiental.</w:t>
            </w:r>
          </w:p>
          <w:p w14:paraId="4FF98AF7" w14:textId="77777777" w:rsidR="00475774" w:rsidRPr="00405FEB" w:rsidRDefault="00000000" w:rsidP="005537FA">
            <w:pPr>
              <w:pStyle w:val="Prrafodelista"/>
              <w:numPr>
                <w:ilvl w:val="0"/>
                <w:numId w:val="8"/>
              </w:numPr>
              <w:spacing w:after="100" w:line="260" w:lineRule="auto"/>
              <w:rPr>
                <w:rFonts w:ascii="Cambria" w:hAnsi="Cambria"/>
              </w:rPr>
            </w:pPr>
            <w:r w:rsidRPr="00405FEB">
              <w:rPr>
                <w:rFonts w:ascii="Cambria" w:hAnsi="Cambria"/>
                <w:sz w:val="19"/>
                <w:szCs w:val="19"/>
              </w:rPr>
              <w:t>Riesgos físicos climáticos identificados (inundación, temperatura).</w:t>
            </w:r>
          </w:p>
          <w:p w14:paraId="3354F9BA" w14:textId="532C7DD2" w:rsidR="00475774" w:rsidRPr="00405FEB" w:rsidRDefault="00000000" w:rsidP="005537FA">
            <w:pPr>
              <w:pStyle w:val="Prrafodelista"/>
              <w:numPr>
                <w:ilvl w:val="0"/>
                <w:numId w:val="8"/>
              </w:numPr>
              <w:spacing w:after="100" w:line="260" w:lineRule="auto"/>
              <w:rPr>
                <w:rFonts w:ascii="Cambria" w:hAnsi="Cambria"/>
              </w:rPr>
            </w:pPr>
            <w:r w:rsidRPr="00405FEB">
              <w:rPr>
                <w:rFonts w:ascii="Cambria" w:hAnsi="Cambria"/>
                <w:sz w:val="19"/>
                <w:szCs w:val="19"/>
              </w:rPr>
              <w:t>Plan de emergencias ambientales con simulacros periódicos.</w:t>
            </w:r>
          </w:p>
          <w:p w14:paraId="5DFD1FCC" w14:textId="77777777" w:rsidR="00475774" w:rsidRPr="00405FEB" w:rsidRDefault="00000000" w:rsidP="005537FA">
            <w:pPr>
              <w:pStyle w:val="Prrafodelista"/>
              <w:numPr>
                <w:ilvl w:val="0"/>
                <w:numId w:val="8"/>
              </w:numPr>
              <w:spacing w:after="100" w:line="260" w:lineRule="auto"/>
              <w:rPr>
                <w:rFonts w:ascii="Cambria" w:hAnsi="Cambria"/>
              </w:rPr>
            </w:pPr>
            <w:r w:rsidRPr="00405FEB">
              <w:rPr>
                <w:rFonts w:ascii="Cambria" w:hAnsi="Cambria"/>
                <w:sz w:val="19"/>
                <w:szCs w:val="19"/>
              </w:rPr>
              <w:t>Intención estratégica y estudio en curso para paneles solares.</w:t>
            </w:r>
          </w:p>
          <w:p w14:paraId="52B9BD09" w14:textId="77777777" w:rsidR="00475774" w:rsidRPr="00405FEB" w:rsidRDefault="00000000" w:rsidP="005537FA">
            <w:pPr>
              <w:pStyle w:val="Prrafodelista"/>
              <w:numPr>
                <w:ilvl w:val="0"/>
                <w:numId w:val="8"/>
              </w:numPr>
              <w:spacing w:after="100" w:line="260" w:lineRule="auto"/>
              <w:rPr>
                <w:rFonts w:ascii="Cambria" w:hAnsi="Cambria"/>
              </w:rPr>
            </w:pPr>
            <w:r w:rsidRPr="00405FEB">
              <w:rPr>
                <w:rFonts w:ascii="Cambria" w:hAnsi="Cambria"/>
                <w:sz w:val="19"/>
                <w:szCs w:val="19"/>
              </w:rPr>
              <w:t>Eje de sostenibilidad incorporado en el Plan Estratégico 2026-2030.</w:t>
            </w:r>
          </w:p>
          <w:p w14:paraId="3A95D9A3" w14:textId="77777777" w:rsidR="00475774" w:rsidRPr="00405FEB" w:rsidRDefault="00000000" w:rsidP="005537FA">
            <w:pPr>
              <w:pStyle w:val="Prrafodelista"/>
              <w:numPr>
                <w:ilvl w:val="0"/>
                <w:numId w:val="8"/>
              </w:numPr>
              <w:spacing w:after="100" w:line="260" w:lineRule="auto"/>
              <w:rPr>
                <w:rFonts w:ascii="Cambria" w:hAnsi="Cambria"/>
              </w:rPr>
            </w:pPr>
            <w:r w:rsidRPr="00405FEB">
              <w:rPr>
                <w:rFonts w:ascii="Cambria" w:hAnsi="Cambria"/>
                <w:sz w:val="19"/>
                <w:szCs w:val="19"/>
              </w:rPr>
              <w:t>Rubro presupuestario para inversión en sostenibilidad.</w:t>
            </w:r>
          </w:p>
        </w:tc>
        <w:tc>
          <w:tcPr>
            <w:tcW w:w="4900" w:type="dxa"/>
            <w:tcMar>
              <w:top w:w="140" w:type="dxa"/>
              <w:left w:w="200" w:type="dxa"/>
              <w:bottom w:w="140" w:type="dxa"/>
              <w:right w:w="200" w:type="dxa"/>
            </w:tcMar>
          </w:tcPr>
          <w:p w14:paraId="21CB141D" w14:textId="77777777" w:rsidR="00475774" w:rsidRPr="00405FEB" w:rsidRDefault="00000000" w:rsidP="005537FA">
            <w:pPr>
              <w:pStyle w:val="Prrafodelista"/>
              <w:numPr>
                <w:ilvl w:val="0"/>
                <w:numId w:val="9"/>
              </w:numPr>
              <w:spacing w:after="100" w:line="260" w:lineRule="auto"/>
              <w:rPr>
                <w:rFonts w:ascii="Cambria" w:hAnsi="Cambria"/>
              </w:rPr>
            </w:pPr>
            <w:r w:rsidRPr="00405FEB">
              <w:rPr>
                <w:rFonts w:ascii="Cambria" w:hAnsi="Cambria"/>
                <w:sz w:val="19"/>
                <w:szCs w:val="19"/>
              </w:rPr>
              <w:t>Riesgos de transición no identificados (confirmado explícitamente en entrevista).</w:t>
            </w:r>
          </w:p>
          <w:p w14:paraId="06CF6478" w14:textId="77777777" w:rsidR="00475774" w:rsidRPr="00405FEB" w:rsidRDefault="00000000" w:rsidP="005537FA">
            <w:pPr>
              <w:pStyle w:val="Prrafodelista"/>
              <w:numPr>
                <w:ilvl w:val="0"/>
                <w:numId w:val="9"/>
              </w:numPr>
              <w:spacing w:after="100" w:line="260" w:lineRule="auto"/>
              <w:rPr>
                <w:rFonts w:ascii="Cambria" w:hAnsi="Cambria"/>
              </w:rPr>
            </w:pPr>
            <w:r w:rsidRPr="00405FEB">
              <w:rPr>
                <w:rFonts w:ascii="Cambria" w:hAnsi="Cambria"/>
                <w:sz w:val="19"/>
                <w:szCs w:val="19"/>
              </w:rPr>
              <w:t>Sin plan de transición climática formal (metas + hitos + financiamiento).</w:t>
            </w:r>
          </w:p>
          <w:p w14:paraId="5D4E1174" w14:textId="77777777" w:rsidR="00475774" w:rsidRPr="00405FEB" w:rsidRDefault="00000000" w:rsidP="005537FA">
            <w:pPr>
              <w:pStyle w:val="Prrafodelista"/>
              <w:numPr>
                <w:ilvl w:val="0"/>
                <w:numId w:val="9"/>
              </w:numPr>
              <w:spacing w:after="100" w:line="260" w:lineRule="auto"/>
              <w:rPr>
                <w:rFonts w:ascii="Cambria" w:hAnsi="Cambria"/>
              </w:rPr>
            </w:pPr>
            <w:r w:rsidRPr="00405FEB">
              <w:rPr>
                <w:rFonts w:ascii="Cambria" w:hAnsi="Cambria"/>
                <w:sz w:val="19"/>
                <w:szCs w:val="19"/>
              </w:rPr>
              <w:t>Sin cuantificación de ahorro por eficiencia energética.</w:t>
            </w:r>
          </w:p>
          <w:p w14:paraId="17008262" w14:textId="77777777" w:rsidR="00475774" w:rsidRPr="00405FEB" w:rsidRDefault="00000000" w:rsidP="005537FA">
            <w:pPr>
              <w:pStyle w:val="Prrafodelista"/>
              <w:numPr>
                <w:ilvl w:val="0"/>
                <w:numId w:val="9"/>
              </w:numPr>
              <w:spacing w:after="100" w:line="260" w:lineRule="auto"/>
              <w:rPr>
                <w:rFonts w:ascii="Cambria" w:hAnsi="Cambria"/>
              </w:rPr>
            </w:pPr>
            <w:r w:rsidRPr="00405FEB">
              <w:rPr>
                <w:rFonts w:ascii="Cambria" w:hAnsi="Cambria"/>
                <w:sz w:val="19"/>
                <w:szCs w:val="19"/>
              </w:rPr>
              <w:t>Sin evaluación de impacto financiero de riesgos climáticos.</w:t>
            </w:r>
          </w:p>
          <w:p w14:paraId="0996AB05" w14:textId="77777777" w:rsidR="00475774" w:rsidRPr="00405FEB" w:rsidRDefault="00000000" w:rsidP="005537FA">
            <w:pPr>
              <w:pStyle w:val="Prrafodelista"/>
              <w:numPr>
                <w:ilvl w:val="0"/>
                <w:numId w:val="9"/>
              </w:numPr>
              <w:spacing w:after="100" w:line="260" w:lineRule="auto"/>
              <w:rPr>
                <w:rFonts w:ascii="Cambria" w:hAnsi="Cambria"/>
              </w:rPr>
            </w:pPr>
            <w:r w:rsidRPr="00405FEB">
              <w:rPr>
                <w:rFonts w:ascii="Cambria" w:hAnsi="Cambria"/>
                <w:sz w:val="19"/>
                <w:szCs w:val="19"/>
              </w:rPr>
              <w:t>Sin seguros para eventos climáticos extremos.</w:t>
            </w:r>
          </w:p>
          <w:p w14:paraId="742B81E1" w14:textId="77777777" w:rsidR="00475774" w:rsidRPr="00405FEB" w:rsidRDefault="00000000" w:rsidP="005537FA">
            <w:pPr>
              <w:pStyle w:val="Prrafodelista"/>
              <w:numPr>
                <w:ilvl w:val="0"/>
                <w:numId w:val="9"/>
              </w:numPr>
              <w:spacing w:after="100" w:line="260" w:lineRule="auto"/>
              <w:rPr>
                <w:rFonts w:ascii="Cambria" w:hAnsi="Cambria"/>
              </w:rPr>
            </w:pPr>
            <w:r w:rsidRPr="00405FEB">
              <w:rPr>
                <w:rFonts w:ascii="Cambria" w:hAnsi="Cambria"/>
                <w:sz w:val="19"/>
                <w:szCs w:val="19"/>
              </w:rPr>
              <w:t>Sin análisis de escenarios climáticos.</w:t>
            </w:r>
          </w:p>
          <w:p w14:paraId="4422953E" w14:textId="77777777" w:rsidR="00475774" w:rsidRPr="00405FEB" w:rsidRDefault="00000000" w:rsidP="005537FA">
            <w:pPr>
              <w:pStyle w:val="Prrafodelista"/>
              <w:numPr>
                <w:ilvl w:val="0"/>
                <w:numId w:val="9"/>
              </w:numPr>
              <w:spacing w:after="100" w:line="260" w:lineRule="auto"/>
              <w:rPr>
                <w:rFonts w:ascii="Cambria" w:hAnsi="Cambria"/>
              </w:rPr>
            </w:pPr>
            <w:r w:rsidRPr="00405FEB">
              <w:rPr>
                <w:rFonts w:ascii="Cambria" w:hAnsi="Cambria"/>
                <w:sz w:val="19"/>
                <w:szCs w:val="19"/>
              </w:rPr>
              <w:t>Sin indicadores de alerta temprana definidos.</w:t>
            </w:r>
          </w:p>
        </w:tc>
      </w:tr>
    </w:tbl>
    <w:p w14:paraId="6ADCF287" w14:textId="77777777" w:rsidR="00475774" w:rsidRPr="00405FEB" w:rsidRDefault="00000000" w:rsidP="009332FD">
      <w:pPr>
        <w:pStyle w:val="Ttulo2"/>
        <w:pBdr>
          <w:bottom w:val="single" w:sz="4" w:space="1" w:color="auto"/>
        </w:pBdr>
        <w:spacing w:line="360" w:lineRule="auto"/>
      </w:pPr>
      <w:bookmarkStart w:id="22" w:name="_Toc235355477"/>
      <w:bookmarkStart w:id="23" w:name="_Toc235368018"/>
      <w:r w:rsidRPr="00405FEB">
        <w:t>3.3. Gestión del riesgo</w:t>
      </w:r>
      <w:bookmarkEnd w:id="22"/>
      <w:bookmarkEnd w:id="23"/>
    </w:p>
    <w:p w14:paraId="39511729" w14:textId="77777777" w:rsidR="00475774" w:rsidRPr="00405FEB" w:rsidRDefault="00000000" w:rsidP="00BD6669">
      <w:pPr>
        <w:spacing w:after="160" w:line="360" w:lineRule="auto"/>
        <w:ind w:firstLine="720"/>
        <w:jc w:val="both"/>
      </w:pPr>
      <w:r w:rsidRPr="00405FEB">
        <w:t>La FTTG dispone de varios componentes de gestión de riesgo ambiental ya operativos: una matriz de riesgos con enfoque ambiental, un plan de emergencias, simulacros regulares, y el monitoreo mensual de la Planta de Tratamiento de Aguas Residuales (PTAR), que registró 100% de cumplimiento de parámetros en los cuatro periodos evaluados dentro del informe de mayo 2026. El indicador de incidentes por derrames se encuentra en seguimiento semestral, sin eventos registrados en el periodo evaluado.</w:t>
      </w:r>
    </w:p>
    <w:p w14:paraId="76F24BF2" w14:textId="77777777" w:rsidR="00475774" w:rsidRPr="00405FEB" w:rsidRDefault="00000000" w:rsidP="00BD6669">
      <w:pPr>
        <w:spacing w:after="160" w:line="360" w:lineRule="auto"/>
        <w:ind w:firstLine="720"/>
        <w:jc w:val="both"/>
      </w:pPr>
      <w:r w:rsidRPr="00405FEB">
        <w:t>Lo que no se evidencia es un ciclo documentado y explícito de identificación, evaluación, priorización y supervisión de riesgos de sostenibilidad como proceso formal e integrado a la gestión de riesgos institucional general. La gestión ambiental, aunque activa, opera dentro del Sistema de Gestión Ambiental de forma relativamente paralela al resto de la gestión de riesgos corporativa.</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00"/>
        <w:gridCol w:w="4900"/>
      </w:tblGrid>
      <w:tr w:rsidR="00475774" w:rsidRPr="00405FEB" w14:paraId="6623F6B4" w14:textId="77777777" w:rsidTr="00BD6669">
        <w:tblPrEx>
          <w:tblCellMar>
            <w:top w:w="0" w:type="dxa"/>
            <w:bottom w:w="0" w:type="dxa"/>
          </w:tblCellMar>
        </w:tblPrEx>
        <w:trPr>
          <w:tblHeader/>
        </w:trPr>
        <w:tc>
          <w:tcPr>
            <w:tcW w:w="4900" w:type="dxa"/>
            <w:shd w:val="clear" w:color="auto" w:fill="000000" w:themeFill="text1"/>
            <w:tcMar>
              <w:top w:w="100" w:type="dxa"/>
              <w:left w:w="160" w:type="dxa"/>
              <w:bottom w:w="100" w:type="dxa"/>
              <w:right w:w="160" w:type="dxa"/>
            </w:tcMar>
          </w:tcPr>
          <w:p w14:paraId="48586AC4" w14:textId="7EB1FC22" w:rsidR="00475774" w:rsidRPr="00405FEB" w:rsidRDefault="00BD6669">
            <w:r w:rsidRPr="00405FEB">
              <w:rPr>
                <w:b/>
                <w:bCs/>
                <w:color w:val="FFFFFF"/>
                <w:sz w:val="19"/>
                <w:szCs w:val="19"/>
              </w:rPr>
              <w:t>Sí Tiene / Cumple</w:t>
            </w:r>
          </w:p>
        </w:tc>
        <w:tc>
          <w:tcPr>
            <w:tcW w:w="4900" w:type="dxa"/>
            <w:shd w:val="clear" w:color="auto" w:fill="000000" w:themeFill="text1"/>
            <w:tcMar>
              <w:top w:w="100" w:type="dxa"/>
              <w:left w:w="160" w:type="dxa"/>
              <w:bottom w:w="100" w:type="dxa"/>
              <w:right w:w="160" w:type="dxa"/>
            </w:tcMar>
          </w:tcPr>
          <w:p w14:paraId="0304B1C1" w14:textId="031E63C9" w:rsidR="00475774" w:rsidRPr="00405FEB" w:rsidRDefault="00BD6669">
            <w:r w:rsidRPr="00405FEB">
              <w:rPr>
                <w:b/>
                <w:bCs/>
                <w:color w:val="FFFFFF"/>
                <w:sz w:val="19"/>
                <w:szCs w:val="19"/>
              </w:rPr>
              <w:t>No Tiene / Le Falta</w:t>
            </w:r>
          </w:p>
        </w:tc>
      </w:tr>
      <w:tr w:rsidR="00475774" w:rsidRPr="00405FEB" w14:paraId="334B9BB1" w14:textId="77777777" w:rsidTr="00BD6669">
        <w:tblPrEx>
          <w:tblCellMar>
            <w:top w:w="0" w:type="dxa"/>
            <w:bottom w:w="0" w:type="dxa"/>
          </w:tblCellMar>
        </w:tblPrEx>
        <w:tc>
          <w:tcPr>
            <w:tcW w:w="4900" w:type="dxa"/>
            <w:tcMar>
              <w:top w:w="140" w:type="dxa"/>
              <w:left w:w="200" w:type="dxa"/>
              <w:bottom w:w="140" w:type="dxa"/>
              <w:right w:w="200" w:type="dxa"/>
            </w:tcMar>
          </w:tcPr>
          <w:p w14:paraId="0CBC3D13" w14:textId="77777777" w:rsidR="00475774" w:rsidRPr="00405FEB" w:rsidRDefault="00000000" w:rsidP="005537FA">
            <w:pPr>
              <w:pStyle w:val="Prrafodelista"/>
              <w:numPr>
                <w:ilvl w:val="0"/>
                <w:numId w:val="10"/>
              </w:numPr>
              <w:spacing w:after="100" w:line="260" w:lineRule="auto"/>
              <w:rPr>
                <w:rFonts w:ascii="Cambria" w:hAnsi="Cambria"/>
              </w:rPr>
            </w:pPr>
            <w:r w:rsidRPr="00405FEB">
              <w:rPr>
                <w:rFonts w:ascii="Cambria" w:hAnsi="Cambria"/>
                <w:sz w:val="19"/>
                <w:szCs w:val="19"/>
              </w:rPr>
              <w:t>Matriz de riesgos con componente ambiental ya desarrollada.</w:t>
            </w:r>
          </w:p>
          <w:p w14:paraId="2C7FB8AD" w14:textId="77777777" w:rsidR="00475774" w:rsidRPr="00405FEB" w:rsidRDefault="00000000" w:rsidP="005537FA">
            <w:pPr>
              <w:pStyle w:val="Prrafodelista"/>
              <w:numPr>
                <w:ilvl w:val="0"/>
                <w:numId w:val="10"/>
              </w:numPr>
              <w:spacing w:after="100" w:line="260" w:lineRule="auto"/>
              <w:rPr>
                <w:rFonts w:ascii="Cambria" w:hAnsi="Cambria"/>
              </w:rPr>
            </w:pPr>
            <w:r w:rsidRPr="00405FEB">
              <w:rPr>
                <w:rFonts w:ascii="Cambria" w:hAnsi="Cambria"/>
                <w:sz w:val="19"/>
                <w:szCs w:val="19"/>
              </w:rPr>
              <w:t>Plan de emergencias ambientales vigente, con simulacros ejecutados.</w:t>
            </w:r>
          </w:p>
          <w:p w14:paraId="3ADC9638" w14:textId="77777777" w:rsidR="00475774" w:rsidRPr="00405FEB" w:rsidRDefault="00000000" w:rsidP="005537FA">
            <w:pPr>
              <w:pStyle w:val="Prrafodelista"/>
              <w:numPr>
                <w:ilvl w:val="0"/>
                <w:numId w:val="10"/>
              </w:numPr>
              <w:spacing w:after="100" w:line="260" w:lineRule="auto"/>
              <w:rPr>
                <w:rFonts w:ascii="Cambria" w:hAnsi="Cambria"/>
              </w:rPr>
            </w:pPr>
            <w:r w:rsidRPr="00405FEB">
              <w:rPr>
                <w:rFonts w:ascii="Cambria" w:hAnsi="Cambria"/>
                <w:sz w:val="19"/>
                <w:szCs w:val="19"/>
              </w:rPr>
              <w:t>Monitoreo mensual de PTAR con 100% de cumplimiento en el periodo evaluado.</w:t>
            </w:r>
          </w:p>
          <w:p w14:paraId="3B7BC639" w14:textId="77777777" w:rsidR="00475774" w:rsidRPr="00405FEB" w:rsidRDefault="00000000" w:rsidP="005537FA">
            <w:pPr>
              <w:pStyle w:val="Prrafodelista"/>
              <w:numPr>
                <w:ilvl w:val="0"/>
                <w:numId w:val="10"/>
              </w:numPr>
              <w:spacing w:after="100" w:line="260" w:lineRule="auto"/>
              <w:rPr>
                <w:rFonts w:ascii="Cambria" w:hAnsi="Cambria"/>
              </w:rPr>
            </w:pPr>
            <w:r w:rsidRPr="00405FEB">
              <w:rPr>
                <w:rFonts w:ascii="Cambria" w:hAnsi="Cambria"/>
                <w:sz w:val="19"/>
                <w:szCs w:val="19"/>
              </w:rPr>
              <w:t>Indicador semestral de incidentes por derrames, sin eventos registrados.</w:t>
            </w:r>
          </w:p>
        </w:tc>
        <w:tc>
          <w:tcPr>
            <w:tcW w:w="4900" w:type="dxa"/>
            <w:tcMar>
              <w:top w:w="140" w:type="dxa"/>
              <w:left w:w="200" w:type="dxa"/>
              <w:bottom w:w="140" w:type="dxa"/>
              <w:right w:w="200" w:type="dxa"/>
            </w:tcMar>
          </w:tcPr>
          <w:p w14:paraId="1670576B" w14:textId="77777777" w:rsidR="00475774" w:rsidRPr="00405FEB" w:rsidRDefault="00000000" w:rsidP="005537FA">
            <w:pPr>
              <w:pStyle w:val="Prrafodelista"/>
              <w:numPr>
                <w:ilvl w:val="0"/>
                <w:numId w:val="11"/>
              </w:numPr>
              <w:spacing w:after="100" w:line="260" w:lineRule="auto"/>
              <w:rPr>
                <w:rFonts w:ascii="Cambria" w:hAnsi="Cambria"/>
              </w:rPr>
            </w:pPr>
            <w:r w:rsidRPr="00405FEB">
              <w:rPr>
                <w:rFonts w:ascii="Cambria" w:hAnsi="Cambria"/>
                <w:sz w:val="19"/>
                <w:szCs w:val="19"/>
              </w:rPr>
              <w:t>Sin ciclo documentado de 4 pasos (identificar-evaluar-priorizar-supervisar) específico para sostenibilidad/clima.</w:t>
            </w:r>
          </w:p>
          <w:p w14:paraId="6ED66E1F" w14:textId="77777777" w:rsidR="00475774" w:rsidRPr="00405FEB" w:rsidRDefault="00000000" w:rsidP="005537FA">
            <w:pPr>
              <w:pStyle w:val="Prrafodelista"/>
              <w:numPr>
                <w:ilvl w:val="0"/>
                <w:numId w:val="11"/>
              </w:numPr>
              <w:spacing w:after="100" w:line="260" w:lineRule="auto"/>
              <w:rPr>
                <w:rFonts w:ascii="Cambria" w:hAnsi="Cambria"/>
              </w:rPr>
            </w:pPr>
            <w:r w:rsidRPr="00405FEB">
              <w:rPr>
                <w:rFonts w:ascii="Cambria" w:hAnsi="Cambria"/>
                <w:sz w:val="19"/>
                <w:szCs w:val="19"/>
              </w:rPr>
              <w:t>Sin evidencia de integración explícita entre la gestión de riesgos ambientales y la gestión de riesgos institucional general.</w:t>
            </w:r>
          </w:p>
        </w:tc>
      </w:tr>
    </w:tbl>
    <w:p w14:paraId="76A095A9" w14:textId="0866CCB5" w:rsidR="00475774" w:rsidRPr="00405FEB" w:rsidRDefault="00000000" w:rsidP="009332FD">
      <w:pPr>
        <w:pStyle w:val="Ttulo2"/>
        <w:pBdr>
          <w:bottom w:val="single" w:sz="4" w:space="1" w:color="auto"/>
        </w:pBdr>
        <w:spacing w:line="360" w:lineRule="auto"/>
      </w:pPr>
      <w:bookmarkStart w:id="24" w:name="_Toc235355478"/>
      <w:bookmarkStart w:id="25" w:name="_Toc235368019"/>
      <w:r w:rsidRPr="00405FEB">
        <w:lastRenderedPageBreak/>
        <w:t>3.4. Métricas y objetivos</w:t>
      </w:r>
      <w:bookmarkEnd w:id="24"/>
      <w:bookmarkEnd w:id="25"/>
    </w:p>
    <w:p w14:paraId="099A75B9" w14:textId="77777777" w:rsidR="00475774" w:rsidRPr="00405FEB" w:rsidRDefault="00000000" w:rsidP="00BD6669">
      <w:pPr>
        <w:spacing w:after="160" w:line="360" w:lineRule="auto"/>
        <w:ind w:firstLine="720"/>
        <w:jc w:val="both"/>
      </w:pPr>
      <w:r w:rsidRPr="00405FEB">
        <w:t>Este es el pilar con mayor desarrollo operativo dentro de la FTTG, aunque con una brecha crítica en el componente climático. La institución mantiene un sistema de indicadores mensuales estructurado dentro de su Sistema de Gestión Ambiental, con estados definidos (Evaluado / En seguimiento / Pendiente de evaluación / No aplica) y una periodicidad clara para cada uno.</w:t>
      </w:r>
    </w:p>
    <w:p w14:paraId="05A30178" w14:textId="77777777" w:rsidR="00475774" w:rsidRPr="00405FEB" w:rsidRDefault="00475774">
      <w:pPr>
        <w:spacing w:after="100"/>
      </w:pPr>
    </w:p>
    <w:tbl>
      <w:tblPr>
        <w:tblW w:w="9800" w:type="dxa"/>
        <w:tblBorders>
          <w:top w:val="single" w:sz="4" w:space="0" w:color="auto"/>
          <w:bottom w:val="single" w:sz="4" w:space="0" w:color="auto"/>
          <w:insideV w:val="single" w:sz="2" w:space="0" w:color="C9DCEE"/>
        </w:tblBorders>
        <w:tblCellMar>
          <w:left w:w="10" w:type="dxa"/>
          <w:right w:w="10" w:type="dxa"/>
        </w:tblCellMar>
        <w:tblLook w:val="0000" w:firstRow="0" w:lastRow="0" w:firstColumn="0" w:lastColumn="0" w:noHBand="0" w:noVBand="0"/>
      </w:tblPr>
      <w:tblGrid>
        <w:gridCol w:w="3800"/>
        <w:gridCol w:w="4200"/>
        <w:gridCol w:w="1800"/>
      </w:tblGrid>
      <w:tr w:rsidR="00475774" w:rsidRPr="00405FEB" w14:paraId="1337DCFD" w14:textId="77777777" w:rsidTr="00BD6669">
        <w:tblPrEx>
          <w:tblCellMar>
            <w:top w:w="0" w:type="dxa"/>
            <w:bottom w:w="0" w:type="dxa"/>
          </w:tblCellMar>
        </w:tblPrEx>
        <w:trPr>
          <w:tblHeader/>
        </w:trPr>
        <w:tc>
          <w:tcPr>
            <w:tcW w:w="3800" w:type="dxa"/>
            <w:shd w:val="clear" w:color="auto" w:fill="000000" w:themeFill="text1"/>
            <w:tcMar>
              <w:top w:w="100" w:type="dxa"/>
              <w:left w:w="140" w:type="dxa"/>
              <w:bottom w:w="100" w:type="dxa"/>
              <w:right w:w="140" w:type="dxa"/>
            </w:tcMar>
            <w:vAlign w:val="center"/>
          </w:tcPr>
          <w:p w14:paraId="597C021A" w14:textId="77777777" w:rsidR="00475774" w:rsidRPr="00405FEB" w:rsidRDefault="00000000">
            <w:pPr>
              <w:spacing w:line="250" w:lineRule="auto"/>
              <w:jc w:val="center"/>
            </w:pPr>
            <w:r w:rsidRPr="00405FEB">
              <w:rPr>
                <w:b/>
                <w:bCs/>
                <w:color w:val="FFFFFF"/>
                <w:sz w:val="18"/>
                <w:szCs w:val="18"/>
              </w:rPr>
              <w:t>Indicador</w:t>
            </w:r>
          </w:p>
        </w:tc>
        <w:tc>
          <w:tcPr>
            <w:tcW w:w="4200" w:type="dxa"/>
            <w:shd w:val="clear" w:color="auto" w:fill="000000" w:themeFill="text1"/>
            <w:tcMar>
              <w:top w:w="100" w:type="dxa"/>
              <w:left w:w="140" w:type="dxa"/>
              <w:bottom w:w="100" w:type="dxa"/>
              <w:right w:w="140" w:type="dxa"/>
            </w:tcMar>
            <w:vAlign w:val="center"/>
          </w:tcPr>
          <w:p w14:paraId="0569916A" w14:textId="77777777" w:rsidR="00475774" w:rsidRPr="00405FEB" w:rsidRDefault="00000000">
            <w:pPr>
              <w:spacing w:line="250" w:lineRule="auto"/>
              <w:jc w:val="center"/>
            </w:pPr>
            <w:r w:rsidRPr="00405FEB">
              <w:rPr>
                <w:b/>
                <w:bCs/>
                <w:color w:val="FFFFFF"/>
                <w:sz w:val="18"/>
                <w:szCs w:val="18"/>
              </w:rPr>
              <w:t>Dato más reciente (mayo 2026)</w:t>
            </w:r>
          </w:p>
        </w:tc>
        <w:tc>
          <w:tcPr>
            <w:tcW w:w="1800" w:type="dxa"/>
            <w:shd w:val="clear" w:color="auto" w:fill="000000" w:themeFill="text1"/>
            <w:tcMar>
              <w:top w:w="100" w:type="dxa"/>
              <w:left w:w="140" w:type="dxa"/>
              <w:bottom w:w="100" w:type="dxa"/>
              <w:right w:w="140" w:type="dxa"/>
            </w:tcMar>
            <w:vAlign w:val="center"/>
          </w:tcPr>
          <w:p w14:paraId="3DFC4D8D" w14:textId="77777777" w:rsidR="00475774" w:rsidRPr="00405FEB" w:rsidRDefault="00000000">
            <w:pPr>
              <w:spacing w:line="250" w:lineRule="auto"/>
              <w:jc w:val="center"/>
            </w:pPr>
            <w:r w:rsidRPr="00405FEB">
              <w:rPr>
                <w:b/>
                <w:bCs/>
                <w:color w:val="FFFFFF"/>
                <w:sz w:val="18"/>
                <w:szCs w:val="18"/>
              </w:rPr>
              <w:t>Frecuencia</w:t>
            </w:r>
          </w:p>
        </w:tc>
      </w:tr>
      <w:tr w:rsidR="00475774" w:rsidRPr="00405FEB" w14:paraId="64B1E21C" w14:textId="77777777" w:rsidTr="00BD6669">
        <w:tblPrEx>
          <w:tblCellMar>
            <w:top w:w="0" w:type="dxa"/>
            <w:bottom w:w="0" w:type="dxa"/>
          </w:tblCellMar>
        </w:tblPrEx>
        <w:tc>
          <w:tcPr>
            <w:tcW w:w="3800" w:type="dxa"/>
            <w:shd w:val="clear" w:color="auto" w:fill="FFFFFF"/>
            <w:tcMar>
              <w:top w:w="100" w:type="dxa"/>
              <w:left w:w="140" w:type="dxa"/>
              <w:bottom w:w="100" w:type="dxa"/>
              <w:right w:w="140" w:type="dxa"/>
            </w:tcMar>
            <w:vAlign w:val="center"/>
          </w:tcPr>
          <w:p w14:paraId="61258351" w14:textId="77777777" w:rsidR="00475774" w:rsidRPr="00405FEB" w:rsidRDefault="00000000">
            <w:pPr>
              <w:spacing w:line="250" w:lineRule="auto"/>
            </w:pPr>
            <w:r w:rsidRPr="00405FEB">
              <w:rPr>
                <w:sz w:val="18"/>
                <w:szCs w:val="18"/>
              </w:rPr>
              <w:t>Cumplimiento parámetros PTAR</w:t>
            </w:r>
          </w:p>
        </w:tc>
        <w:tc>
          <w:tcPr>
            <w:tcW w:w="4200" w:type="dxa"/>
            <w:shd w:val="clear" w:color="auto" w:fill="FFFFFF"/>
            <w:tcMar>
              <w:top w:w="100" w:type="dxa"/>
              <w:left w:w="140" w:type="dxa"/>
              <w:bottom w:w="100" w:type="dxa"/>
              <w:right w:w="140" w:type="dxa"/>
            </w:tcMar>
            <w:vAlign w:val="center"/>
          </w:tcPr>
          <w:p w14:paraId="772B971C" w14:textId="77777777" w:rsidR="00475774" w:rsidRPr="00405FEB" w:rsidRDefault="00000000">
            <w:pPr>
              <w:spacing w:line="250" w:lineRule="auto"/>
              <w:jc w:val="center"/>
            </w:pPr>
            <w:r w:rsidRPr="00405FEB">
              <w:rPr>
                <w:sz w:val="18"/>
                <w:szCs w:val="18"/>
              </w:rPr>
              <w:t>100% (4 periodos evaluados)</w:t>
            </w:r>
          </w:p>
        </w:tc>
        <w:tc>
          <w:tcPr>
            <w:tcW w:w="1800" w:type="dxa"/>
            <w:shd w:val="clear" w:color="auto" w:fill="FFFFFF"/>
            <w:tcMar>
              <w:top w:w="100" w:type="dxa"/>
              <w:left w:w="140" w:type="dxa"/>
              <w:bottom w:w="100" w:type="dxa"/>
              <w:right w:w="140" w:type="dxa"/>
            </w:tcMar>
            <w:vAlign w:val="center"/>
          </w:tcPr>
          <w:p w14:paraId="5E510176" w14:textId="77777777" w:rsidR="00475774" w:rsidRPr="00405FEB" w:rsidRDefault="00000000">
            <w:pPr>
              <w:spacing w:line="250" w:lineRule="auto"/>
              <w:jc w:val="center"/>
            </w:pPr>
            <w:r w:rsidRPr="00405FEB">
              <w:rPr>
                <w:sz w:val="18"/>
                <w:szCs w:val="18"/>
              </w:rPr>
              <w:t>Mensual</w:t>
            </w:r>
          </w:p>
        </w:tc>
      </w:tr>
      <w:tr w:rsidR="00475774" w:rsidRPr="00405FEB" w14:paraId="33F448C2" w14:textId="77777777" w:rsidTr="00BD6669">
        <w:tblPrEx>
          <w:tblCellMar>
            <w:top w:w="0" w:type="dxa"/>
            <w:bottom w:w="0" w:type="dxa"/>
          </w:tblCellMar>
        </w:tblPrEx>
        <w:tc>
          <w:tcPr>
            <w:tcW w:w="3800" w:type="dxa"/>
            <w:shd w:val="clear" w:color="auto" w:fill="F4F8FC"/>
            <w:tcMar>
              <w:top w:w="100" w:type="dxa"/>
              <w:left w:w="140" w:type="dxa"/>
              <w:bottom w:w="100" w:type="dxa"/>
              <w:right w:w="140" w:type="dxa"/>
            </w:tcMar>
            <w:vAlign w:val="center"/>
          </w:tcPr>
          <w:p w14:paraId="173C28A3" w14:textId="77777777" w:rsidR="00475774" w:rsidRPr="00405FEB" w:rsidRDefault="00000000">
            <w:pPr>
              <w:spacing w:line="250" w:lineRule="auto"/>
            </w:pPr>
            <w:r w:rsidRPr="00405FEB">
              <w:rPr>
                <w:sz w:val="18"/>
                <w:szCs w:val="18"/>
              </w:rPr>
              <w:t>Materiales reciclables recuperados</w:t>
            </w:r>
          </w:p>
        </w:tc>
        <w:tc>
          <w:tcPr>
            <w:tcW w:w="4200" w:type="dxa"/>
            <w:shd w:val="clear" w:color="auto" w:fill="F4F8FC"/>
            <w:tcMar>
              <w:top w:w="100" w:type="dxa"/>
              <w:left w:w="140" w:type="dxa"/>
              <w:bottom w:w="100" w:type="dxa"/>
              <w:right w:w="140" w:type="dxa"/>
            </w:tcMar>
            <w:vAlign w:val="center"/>
          </w:tcPr>
          <w:p w14:paraId="79EFAE3B" w14:textId="77777777" w:rsidR="00475774" w:rsidRPr="00405FEB" w:rsidRDefault="00000000">
            <w:pPr>
              <w:spacing w:line="250" w:lineRule="auto"/>
              <w:jc w:val="center"/>
            </w:pPr>
            <w:r w:rsidRPr="00405FEB">
              <w:rPr>
                <w:sz w:val="18"/>
                <w:szCs w:val="18"/>
              </w:rPr>
              <w:t>1.177 kg (969 cartón, 194 PET, 14 archivo)</w:t>
            </w:r>
          </w:p>
        </w:tc>
        <w:tc>
          <w:tcPr>
            <w:tcW w:w="1800" w:type="dxa"/>
            <w:shd w:val="clear" w:color="auto" w:fill="F4F8FC"/>
            <w:tcMar>
              <w:top w:w="100" w:type="dxa"/>
              <w:left w:w="140" w:type="dxa"/>
              <w:bottom w:w="100" w:type="dxa"/>
              <w:right w:w="140" w:type="dxa"/>
            </w:tcMar>
            <w:vAlign w:val="center"/>
          </w:tcPr>
          <w:p w14:paraId="7AFC1666" w14:textId="77777777" w:rsidR="00475774" w:rsidRPr="00405FEB" w:rsidRDefault="00000000">
            <w:pPr>
              <w:spacing w:line="250" w:lineRule="auto"/>
              <w:jc w:val="center"/>
            </w:pPr>
            <w:r w:rsidRPr="00405FEB">
              <w:rPr>
                <w:sz w:val="18"/>
                <w:szCs w:val="18"/>
              </w:rPr>
              <w:t>Mensual</w:t>
            </w:r>
          </w:p>
        </w:tc>
      </w:tr>
      <w:tr w:rsidR="00475774" w:rsidRPr="00405FEB" w14:paraId="148B2D2B" w14:textId="77777777" w:rsidTr="00BD6669">
        <w:tblPrEx>
          <w:tblCellMar>
            <w:top w:w="0" w:type="dxa"/>
            <w:bottom w:w="0" w:type="dxa"/>
          </w:tblCellMar>
        </w:tblPrEx>
        <w:tc>
          <w:tcPr>
            <w:tcW w:w="3800" w:type="dxa"/>
            <w:shd w:val="clear" w:color="auto" w:fill="FFFFFF"/>
            <w:tcMar>
              <w:top w:w="100" w:type="dxa"/>
              <w:left w:w="140" w:type="dxa"/>
              <w:bottom w:w="100" w:type="dxa"/>
              <w:right w:w="140" w:type="dxa"/>
            </w:tcMar>
            <w:vAlign w:val="center"/>
          </w:tcPr>
          <w:p w14:paraId="3D97FE23" w14:textId="77777777" w:rsidR="00475774" w:rsidRPr="00405FEB" w:rsidRDefault="00000000">
            <w:pPr>
              <w:spacing w:line="250" w:lineRule="auto"/>
            </w:pPr>
            <w:r w:rsidRPr="00405FEB">
              <w:rPr>
                <w:sz w:val="18"/>
                <w:szCs w:val="18"/>
              </w:rPr>
              <w:t>Acumulado reciclaje ene-</w:t>
            </w:r>
            <w:proofErr w:type="spellStart"/>
            <w:r w:rsidRPr="00405FEB">
              <w:rPr>
                <w:sz w:val="18"/>
                <w:szCs w:val="18"/>
              </w:rPr>
              <w:t>may</w:t>
            </w:r>
            <w:proofErr w:type="spellEnd"/>
            <w:r w:rsidRPr="00405FEB">
              <w:rPr>
                <w:sz w:val="18"/>
                <w:szCs w:val="18"/>
              </w:rPr>
              <w:t xml:space="preserve"> 2026</w:t>
            </w:r>
          </w:p>
        </w:tc>
        <w:tc>
          <w:tcPr>
            <w:tcW w:w="4200" w:type="dxa"/>
            <w:shd w:val="clear" w:color="auto" w:fill="FFFFFF"/>
            <w:tcMar>
              <w:top w:w="100" w:type="dxa"/>
              <w:left w:w="140" w:type="dxa"/>
              <w:bottom w:w="100" w:type="dxa"/>
              <w:right w:w="140" w:type="dxa"/>
            </w:tcMar>
            <w:vAlign w:val="center"/>
          </w:tcPr>
          <w:p w14:paraId="0AFD5F62" w14:textId="77777777" w:rsidR="00475774" w:rsidRPr="00405FEB" w:rsidRDefault="00000000">
            <w:pPr>
              <w:spacing w:line="250" w:lineRule="auto"/>
              <w:jc w:val="center"/>
            </w:pPr>
            <w:r w:rsidRPr="00405FEB">
              <w:rPr>
                <w:sz w:val="18"/>
                <w:szCs w:val="18"/>
              </w:rPr>
              <w:t>6.145 kg (4.866 cartón, 1.222 PET, 57 archivo)</w:t>
            </w:r>
          </w:p>
        </w:tc>
        <w:tc>
          <w:tcPr>
            <w:tcW w:w="1800" w:type="dxa"/>
            <w:shd w:val="clear" w:color="auto" w:fill="FFFFFF"/>
            <w:tcMar>
              <w:top w:w="100" w:type="dxa"/>
              <w:left w:w="140" w:type="dxa"/>
              <w:bottom w:w="100" w:type="dxa"/>
              <w:right w:w="140" w:type="dxa"/>
            </w:tcMar>
            <w:vAlign w:val="center"/>
          </w:tcPr>
          <w:p w14:paraId="3540DDD6" w14:textId="77777777" w:rsidR="00475774" w:rsidRPr="00405FEB" w:rsidRDefault="00000000">
            <w:pPr>
              <w:spacing w:line="250" w:lineRule="auto"/>
              <w:jc w:val="center"/>
            </w:pPr>
            <w:r w:rsidRPr="00405FEB">
              <w:rPr>
                <w:sz w:val="18"/>
                <w:szCs w:val="18"/>
              </w:rPr>
              <w:t>Acumulado</w:t>
            </w:r>
          </w:p>
        </w:tc>
      </w:tr>
      <w:tr w:rsidR="00475774" w:rsidRPr="00405FEB" w14:paraId="2D0EE5D0" w14:textId="77777777" w:rsidTr="00BD6669">
        <w:tblPrEx>
          <w:tblCellMar>
            <w:top w:w="0" w:type="dxa"/>
            <w:bottom w:w="0" w:type="dxa"/>
          </w:tblCellMar>
        </w:tblPrEx>
        <w:tc>
          <w:tcPr>
            <w:tcW w:w="3800" w:type="dxa"/>
            <w:shd w:val="clear" w:color="auto" w:fill="F4F8FC"/>
            <w:tcMar>
              <w:top w:w="100" w:type="dxa"/>
              <w:left w:w="140" w:type="dxa"/>
              <w:bottom w:w="100" w:type="dxa"/>
              <w:right w:w="140" w:type="dxa"/>
            </w:tcMar>
            <w:vAlign w:val="center"/>
          </w:tcPr>
          <w:p w14:paraId="3A50769B" w14:textId="77777777" w:rsidR="00475774" w:rsidRPr="00405FEB" w:rsidRDefault="00000000">
            <w:pPr>
              <w:spacing w:line="250" w:lineRule="auto"/>
            </w:pPr>
            <w:r w:rsidRPr="00405FEB">
              <w:rPr>
                <w:sz w:val="18"/>
                <w:szCs w:val="18"/>
              </w:rPr>
              <w:t>Desechos peligrosos generados</w:t>
            </w:r>
          </w:p>
        </w:tc>
        <w:tc>
          <w:tcPr>
            <w:tcW w:w="4200" w:type="dxa"/>
            <w:shd w:val="clear" w:color="auto" w:fill="F4F8FC"/>
            <w:tcMar>
              <w:top w:w="100" w:type="dxa"/>
              <w:left w:w="140" w:type="dxa"/>
              <w:bottom w:w="100" w:type="dxa"/>
              <w:right w:w="140" w:type="dxa"/>
            </w:tcMar>
            <w:vAlign w:val="center"/>
          </w:tcPr>
          <w:p w14:paraId="3BE2E3B0" w14:textId="77777777" w:rsidR="00475774" w:rsidRPr="00405FEB" w:rsidRDefault="00000000">
            <w:pPr>
              <w:spacing w:line="250" w:lineRule="auto"/>
              <w:jc w:val="center"/>
            </w:pPr>
            <w:r w:rsidRPr="00405FEB">
              <w:rPr>
                <w:sz w:val="18"/>
                <w:szCs w:val="18"/>
              </w:rPr>
              <w:t>Generación registrada, sin cuantificar en el informe mensual</w:t>
            </w:r>
          </w:p>
        </w:tc>
        <w:tc>
          <w:tcPr>
            <w:tcW w:w="1800" w:type="dxa"/>
            <w:shd w:val="clear" w:color="auto" w:fill="F4F8FC"/>
            <w:tcMar>
              <w:top w:w="100" w:type="dxa"/>
              <w:left w:w="140" w:type="dxa"/>
              <w:bottom w:w="100" w:type="dxa"/>
              <w:right w:w="140" w:type="dxa"/>
            </w:tcMar>
            <w:vAlign w:val="center"/>
          </w:tcPr>
          <w:p w14:paraId="0A45A671" w14:textId="77777777" w:rsidR="00475774" w:rsidRPr="00405FEB" w:rsidRDefault="00000000">
            <w:pPr>
              <w:spacing w:line="250" w:lineRule="auto"/>
              <w:jc w:val="center"/>
            </w:pPr>
            <w:r w:rsidRPr="00405FEB">
              <w:rPr>
                <w:sz w:val="18"/>
                <w:szCs w:val="18"/>
              </w:rPr>
              <w:t>Anual</w:t>
            </w:r>
          </w:p>
        </w:tc>
      </w:tr>
      <w:tr w:rsidR="00475774" w:rsidRPr="00405FEB" w14:paraId="34D4B026" w14:textId="77777777" w:rsidTr="00BD6669">
        <w:tblPrEx>
          <w:tblCellMar>
            <w:top w:w="0" w:type="dxa"/>
            <w:bottom w:w="0" w:type="dxa"/>
          </w:tblCellMar>
        </w:tblPrEx>
        <w:tc>
          <w:tcPr>
            <w:tcW w:w="3800" w:type="dxa"/>
            <w:shd w:val="clear" w:color="auto" w:fill="FFFFFF"/>
            <w:tcMar>
              <w:top w:w="100" w:type="dxa"/>
              <w:left w:w="140" w:type="dxa"/>
              <w:bottom w:w="100" w:type="dxa"/>
              <w:right w:w="140" w:type="dxa"/>
            </w:tcMar>
            <w:vAlign w:val="center"/>
          </w:tcPr>
          <w:p w14:paraId="2F932F36" w14:textId="77777777" w:rsidR="00475774" w:rsidRPr="00405FEB" w:rsidRDefault="00000000">
            <w:pPr>
              <w:spacing w:line="250" w:lineRule="auto"/>
            </w:pPr>
            <w:r w:rsidRPr="00405FEB">
              <w:rPr>
                <w:sz w:val="18"/>
                <w:szCs w:val="18"/>
              </w:rPr>
              <w:t>Incidentes por derrames</w:t>
            </w:r>
          </w:p>
        </w:tc>
        <w:tc>
          <w:tcPr>
            <w:tcW w:w="4200" w:type="dxa"/>
            <w:shd w:val="clear" w:color="auto" w:fill="FFFFFF"/>
            <w:tcMar>
              <w:top w:w="100" w:type="dxa"/>
              <w:left w:w="140" w:type="dxa"/>
              <w:bottom w:w="100" w:type="dxa"/>
              <w:right w:w="140" w:type="dxa"/>
            </w:tcMar>
            <w:vAlign w:val="center"/>
          </w:tcPr>
          <w:p w14:paraId="3C86EB81" w14:textId="77777777" w:rsidR="00475774" w:rsidRPr="00405FEB" w:rsidRDefault="00000000">
            <w:pPr>
              <w:spacing w:line="250" w:lineRule="auto"/>
              <w:jc w:val="center"/>
            </w:pPr>
            <w:r w:rsidRPr="00405FEB">
              <w:rPr>
                <w:sz w:val="18"/>
                <w:szCs w:val="18"/>
              </w:rPr>
              <w:t>0 registrados en el periodo</w:t>
            </w:r>
          </w:p>
        </w:tc>
        <w:tc>
          <w:tcPr>
            <w:tcW w:w="1800" w:type="dxa"/>
            <w:shd w:val="clear" w:color="auto" w:fill="FFFFFF"/>
            <w:tcMar>
              <w:top w:w="100" w:type="dxa"/>
              <w:left w:w="140" w:type="dxa"/>
              <w:bottom w:w="100" w:type="dxa"/>
              <w:right w:w="140" w:type="dxa"/>
            </w:tcMar>
            <w:vAlign w:val="center"/>
          </w:tcPr>
          <w:p w14:paraId="1F05993E" w14:textId="77777777" w:rsidR="00475774" w:rsidRPr="00405FEB" w:rsidRDefault="00000000">
            <w:pPr>
              <w:spacing w:line="250" w:lineRule="auto"/>
              <w:jc w:val="center"/>
            </w:pPr>
            <w:r w:rsidRPr="00405FEB">
              <w:rPr>
                <w:sz w:val="18"/>
                <w:szCs w:val="18"/>
              </w:rPr>
              <w:t>Semestral</w:t>
            </w:r>
          </w:p>
        </w:tc>
      </w:tr>
      <w:tr w:rsidR="00475774" w:rsidRPr="00405FEB" w14:paraId="3B6C9450" w14:textId="77777777" w:rsidTr="00BD6669">
        <w:tblPrEx>
          <w:tblCellMar>
            <w:top w:w="0" w:type="dxa"/>
            <w:bottom w:w="0" w:type="dxa"/>
          </w:tblCellMar>
        </w:tblPrEx>
        <w:tc>
          <w:tcPr>
            <w:tcW w:w="3800" w:type="dxa"/>
            <w:shd w:val="clear" w:color="auto" w:fill="F4F8FC"/>
            <w:tcMar>
              <w:top w:w="100" w:type="dxa"/>
              <w:left w:w="140" w:type="dxa"/>
              <w:bottom w:w="100" w:type="dxa"/>
              <w:right w:w="140" w:type="dxa"/>
            </w:tcMar>
            <w:vAlign w:val="center"/>
          </w:tcPr>
          <w:p w14:paraId="5E76665D" w14:textId="77777777" w:rsidR="00475774" w:rsidRPr="00405FEB" w:rsidRDefault="00000000">
            <w:pPr>
              <w:spacing w:line="250" w:lineRule="auto"/>
            </w:pPr>
            <w:r w:rsidRPr="00405FEB">
              <w:rPr>
                <w:sz w:val="18"/>
                <w:szCs w:val="18"/>
              </w:rPr>
              <w:t>Cumplimiento PMA (TTG / TTMP / TTMC)</w:t>
            </w:r>
          </w:p>
        </w:tc>
        <w:tc>
          <w:tcPr>
            <w:tcW w:w="4200" w:type="dxa"/>
            <w:shd w:val="clear" w:color="auto" w:fill="F4F8FC"/>
            <w:tcMar>
              <w:top w:w="100" w:type="dxa"/>
              <w:left w:w="140" w:type="dxa"/>
              <w:bottom w:w="100" w:type="dxa"/>
              <w:right w:w="140" w:type="dxa"/>
            </w:tcMar>
            <w:vAlign w:val="center"/>
          </w:tcPr>
          <w:p w14:paraId="7F41DF57" w14:textId="77777777" w:rsidR="00475774" w:rsidRPr="00405FEB" w:rsidRDefault="00000000">
            <w:pPr>
              <w:spacing w:line="250" w:lineRule="auto"/>
              <w:jc w:val="center"/>
            </w:pPr>
            <w:r w:rsidRPr="00405FEB">
              <w:rPr>
                <w:sz w:val="18"/>
                <w:szCs w:val="18"/>
              </w:rPr>
              <w:t>Evaluado en los tres terminales</w:t>
            </w:r>
          </w:p>
        </w:tc>
        <w:tc>
          <w:tcPr>
            <w:tcW w:w="1800" w:type="dxa"/>
            <w:shd w:val="clear" w:color="auto" w:fill="F4F8FC"/>
            <w:tcMar>
              <w:top w:w="100" w:type="dxa"/>
              <w:left w:w="140" w:type="dxa"/>
              <w:bottom w:w="100" w:type="dxa"/>
              <w:right w:w="140" w:type="dxa"/>
            </w:tcMar>
            <w:vAlign w:val="center"/>
          </w:tcPr>
          <w:p w14:paraId="1D21F97B" w14:textId="77777777" w:rsidR="00475774" w:rsidRPr="00405FEB" w:rsidRDefault="00000000">
            <w:pPr>
              <w:spacing w:line="250" w:lineRule="auto"/>
              <w:jc w:val="center"/>
            </w:pPr>
            <w:r w:rsidRPr="00405FEB">
              <w:rPr>
                <w:sz w:val="18"/>
                <w:szCs w:val="18"/>
              </w:rPr>
              <w:t>Mensual</w:t>
            </w:r>
          </w:p>
        </w:tc>
      </w:tr>
      <w:tr w:rsidR="00475774" w:rsidRPr="00405FEB" w14:paraId="2A8D3E26" w14:textId="77777777" w:rsidTr="00BD6669">
        <w:tblPrEx>
          <w:tblCellMar>
            <w:top w:w="0" w:type="dxa"/>
            <w:bottom w:w="0" w:type="dxa"/>
          </w:tblCellMar>
        </w:tblPrEx>
        <w:tc>
          <w:tcPr>
            <w:tcW w:w="3800" w:type="dxa"/>
            <w:shd w:val="clear" w:color="auto" w:fill="FFFFFF"/>
            <w:tcMar>
              <w:top w:w="100" w:type="dxa"/>
              <w:left w:w="140" w:type="dxa"/>
              <w:bottom w:w="100" w:type="dxa"/>
              <w:right w:w="140" w:type="dxa"/>
            </w:tcMar>
            <w:vAlign w:val="center"/>
          </w:tcPr>
          <w:p w14:paraId="4F82967B" w14:textId="77777777" w:rsidR="00475774" w:rsidRPr="00405FEB" w:rsidRDefault="00000000">
            <w:pPr>
              <w:spacing w:line="250" w:lineRule="auto"/>
            </w:pPr>
            <w:r w:rsidRPr="00405FEB">
              <w:rPr>
                <w:sz w:val="18"/>
                <w:szCs w:val="18"/>
              </w:rPr>
              <w:t>Consumo de agua — TTG / TTMP / TTMC</w:t>
            </w:r>
          </w:p>
        </w:tc>
        <w:tc>
          <w:tcPr>
            <w:tcW w:w="4200" w:type="dxa"/>
            <w:shd w:val="clear" w:color="auto" w:fill="FFFFFF"/>
            <w:tcMar>
              <w:top w:w="100" w:type="dxa"/>
              <w:left w:w="140" w:type="dxa"/>
              <w:bottom w:w="100" w:type="dxa"/>
              <w:right w:w="140" w:type="dxa"/>
            </w:tcMar>
            <w:vAlign w:val="center"/>
          </w:tcPr>
          <w:p w14:paraId="5FD3C938" w14:textId="77777777" w:rsidR="00475774" w:rsidRPr="00405FEB" w:rsidRDefault="00000000">
            <w:pPr>
              <w:spacing w:line="250" w:lineRule="auto"/>
              <w:jc w:val="center"/>
            </w:pPr>
            <w:r w:rsidRPr="00405FEB">
              <w:rPr>
                <w:sz w:val="18"/>
                <w:szCs w:val="18"/>
              </w:rPr>
              <w:t>9.373 / 1.069 / 902 m³ por mes (promedio ene-abr 2026)</w:t>
            </w:r>
          </w:p>
        </w:tc>
        <w:tc>
          <w:tcPr>
            <w:tcW w:w="1800" w:type="dxa"/>
            <w:shd w:val="clear" w:color="auto" w:fill="FFFFFF"/>
            <w:tcMar>
              <w:top w:w="100" w:type="dxa"/>
              <w:left w:w="140" w:type="dxa"/>
              <w:bottom w:w="100" w:type="dxa"/>
              <w:right w:w="140" w:type="dxa"/>
            </w:tcMar>
            <w:vAlign w:val="center"/>
          </w:tcPr>
          <w:p w14:paraId="5ADB4FB2" w14:textId="77777777" w:rsidR="00475774" w:rsidRPr="00405FEB" w:rsidRDefault="00000000">
            <w:pPr>
              <w:spacing w:line="250" w:lineRule="auto"/>
              <w:jc w:val="center"/>
            </w:pPr>
            <w:r w:rsidRPr="00405FEB">
              <w:rPr>
                <w:sz w:val="18"/>
                <w:szCs w:val="18"/>
              </w:rPr>
              <w:t>Mensual</w:t>
            </w:r>
          </w:p>
        </w:tc>
      </w:tr>
      <w:tr w:rsidR="00475774" w:rsidRPr="00405FEB" w14:paraId="535750E4" w14:textId="77777777" w:rsidTr="00BD6669">
        <w:tblPrEx>
          <w:tblCellMar>
            <w:top w:w="0" w:type="dxa"/>
            <w:bottom w:w="0" w:type="dxa"/>
          </w:tblCellMar>
        </w:tblPrEx>
        <w:tc>
          <w:tcPr>
            <w:tcW w:w="3800" w:type="dxa"/>
            <w:shd w:val="clear" w:color="auto" w:fill="F4F8FC"/>
            <w:tcMar>
              <w:top w:w="100" w:type="dxa"/>
              <w:left w:w="140" w:type="dxa"/>
              <w:bottom w:w="100" w:type="dxa"/>
              <w:right w:w="140" w:type="dxa"/>
            </w:tcMar>
            <w:vAlign w:val="center"/>
          </w:tcPr>
          <w:p w14:paraId="07961385" w14:textId="77777777" w:rsidR="00475774" w:rsidRPr="00405FEB" w:rsidRDefault="00000000">
            <w:pPr>
              <w:spacing w:line="250" w:lineRule="auto"/>
            </w:pPr>
            <w:r w:rsidRPr="00405FEB">
              <w:rPr>
                <w:sz w:val="18"/>
                <w:szCs w:val="18"/>
              </w:rPr>
              <w:t>Consumo de energía — TTG / TTMP / TTMC</w:t>
            </w:r>
          </w:p>
        </w:tc>
        <w:tc>
          <w:tcPr>
            <w:tcW w:w="4200" w:type="dxa"/>
            <w:shd w:val="clear" w:color="auto" w:fill="F4F8FC"/>
            <w:tcMar>
              <w:top w:w="100" w:type="dxa"/>
              <w:left w:w="140" w:type="dxa"/>
              <w:bottom w:w="100" w:type="dxa"/>
              <w:right w:w="140" w:type="dxa"/>
            </w:tcMar>
            <w:vAlign w:val="center"/>
          </w:tcPr>
          <w:p w14:paraId="23779562" w14:textId="77777777" w:rsidR="00475774" w:rsidRPr="00405FEB" w:rsidRDefault="00000000">
            <w:pPr>
              <w:spacing w:line="250" w:lineRule="auto"/>
              <w:jc w:val="center"/>
            </w:pPr>
            <w:r w:rsidRPr="00405FEB">
              <w:rPr>
                <w:sz w:val="18"/>
                <w:szCs w:val="18"/>
              </w:rPr>
              <w:t>394.830 / 92.730 / 51.910 kWh por mes (promedio ene-abr 2026)</w:t>
            </w:r>
          </w:p>
        </w:tc>
        <w:tc>
          <w:tcPr>
            <w:tcW w:w="1800" w:type="dxa"/>
            <w:shd w:val="clear" w:color="auto" w:fill="F4F8FC"/>
            <w:tcMar>
              <w:top w:w="100" w:type="dxa"/>
              <w:left w:w="140" w:type="dxa"/>
              <w:bottom w:w="100" w:type="dxa"/>
              <w:right w:w="140" w:type="dxa"/>
            </w:tcMar>
            <w:vAlign w:val="center"/>
          </w:tcPr>
          <w:p w14:paraId="3DAA8FB1" w14:textId="77777777" w:rsidR="00475774" w:rsidRPr="00405FEB" w:rsidRDefault="00000000">
            <w:pPr>
              <w:spacing w:line="250" w:lineRule="auto"/>
              <w:jc w:val="center"/>
            </w:pPr>
            <w:r w:rsidRPr="00405FEB">
              <w:rPr>
                <w:sz w:val="18"/>
                <w:szCs w:val="18"/>
              </w:rPr>
              <w:t>Mensual</w:t>
            </w:r>
          </w:p>
        </w:tc>
      </w:tr>
      <w:tr w:rsidR="00475774" w:rsidRPr="00405FEB" w14:paraId="5CB96E04" w14:textId="77777777" w:rsidTr="00BD6669">
        <w:tblPrEx>
          <w:tblCellMar>
            <w:top w:w="0" w:type="dxa"/>
            <w:bottom w:w="0" w:type="dxa"/>
          </w:tblCellMar>
        </w:tblPrEx>
        <w:tc>
          <w:tcPr>
            <w:tcW w:w="3800" w:type="dxa"/>
            <w:shd w:val="clear" w:color="auto" w:fill="FFFFFF"/>
            <w:tcMar>
              <w:top w:w="100" w:type="dxa"/>
              <w:left w:w="140" w:type="dxa"/>
              <w:bottom w:w="100" w:type="dxa"/>
              <w:right w:w="140" w:type="dxa"/>
            </w:tcMar>
            <w:vAlign w:val="center"/>
          </w:tcPr>
          <w:p w14:paraId="57C721A1" w14:textId="77777777" w:rsidR="00475774" w:rsidRPr="00405FEB" w:rsidRDefault="00000000">
            <w:pPr>
              <w:spacing w:line="250" w:lineRule="auto"/>
            </w:pPr>
            <w:r w:rsidRPr="00405FEB">
              <w:rPr>
                <w:sz w:val="18"/>
                <w:szCs w:val="18"/>
              </w:rPr>
              <w:t>Mes crítico de consumo (las 3 terminales)</w:t>
            </w:r>
          </w:p>
        </w:tc>
        <w:tc>
          <w:tcPr>
            <w:tcW w:w="4200" w:type="dxa"/>
            <w:shd w:val="clear" w:color="auto" w:fill="FFFFFF"/>
            <w:tcMar>
              <w:top w:w="100" w:type="dxa"/>
              <w:left w:w="140" w:type="dxa"/>
              <w:bottom w:w="100" w:type="dxa"/>
              <w:right w:w="140" w:type="dxa"/>
            </w:tcMar>
            <w:vAlign w:val="center"/>
          </w:tcPr>
          <w:p w14:paraId="0D61FF6C" w14:textId="77777777" w:rsidR="00475774" w:rsidRPr="00405FEB" w:rsidRDefault="00000000">
            <w:pPr>
              <w:spacing w:line="250" w:lineRule="auto"/>
              <w:jc w:val="center"/>
            </w:pPr>
            <w:r w:rsidRPr="00405FEB">
              <w:rPr>
                <w:sz w:val="18"/>
                <w:szCs w:val="18"/>
              </w:rPr>
              <w:t>Enero (mayor demanda de agua y energía)</w:t>
            </w:r>
          </w:p>
        </w:tc>
        <w:tc>
          <w:tcPr>
            <w:tcW w:w="1800" w:type="dxa"/>
            <w:shd w:val="clear" w:color="auto" w:fill="FFFFFF"/>
            <w:tcMar>
              <w:top w:w="100" w:type="dxa"/>
              <w:left w:w="140" w:type="dxa"/>
              <w:bottom w:w="100" w:type="dxa"/>
              <w:right w:w="140" w:type="dxa"/>
            </w:tcMar>
            <w:vAlign w:val="center"/>
          </w:tcPr>
          <w:p w14:paraId="03909539" w14:textId="77777777" w:rsidR="00475774" w:rsidRPr="00405FEB" w:rsidRDefault="00000000">
            <w:pPr>
              <w:spacing w:line="250" w:lineRule="auto"/>
              <w:jc w:val="center"/>
            </w:pPr>
            <w:r w:rsidRPr="00405FEB">
              <w:rPr>
                <w:sz w:val="18"/>
                <w:szCs w:val="18"/>
              </w:rPr>
              <w:t>Anual</w:t>
            </w:r>
          </w:p>
        </w:tc>
      </w:tr>
    </w:tbl>
    <w:p w14:paraId="50BE8624" w14:textId="77777777" w:rsidR="00475774" w:rsidRPr="00405FEB" w:rsidRDefault="00475774">
      <w:pPr>
        <w:spacing w:after="200"/>
      </w:pPr>
    </w:p>
    <w:p w14:paraId="382CE221" w14:textId="6D9256E8" w:rsidR="00475774" w:rsidRDefault="00000000" w:rsidP="00BD6669">
      <w:pPr>
        <w:spacing w:after="160" w:line="360" w:lineRule="auto"/>
        <w:ind w:firstLine="720"/>
        <w:jc w:val="both"/>
      </w:pPr>
      <w:r w:rsidRPr="00405FEB">
        <w:t>En materia de emisiones, la entrevista aclara que la FTTG no cuenta con una certificación vigente de huella de carbono: se certificó en el año 2020, pero no hubo recertificación posterior. Sí se realizan mediciones puntuales de gases a través de las consultorías del Plan de Manejo Ambiental</w:t>
      </w:r>
      <w:r w:rsidR="005537FA">
        <w:t xml:space="preserve">, </w:t>
      </w:r>
      <w:r w:rsidRPr="00405FEB">
        <w:t xml:space="preserve">enfocadas principalmente en emisiones vehiculares y, de forma separada, por la unidad de salud y seguridad ocupacional en áreas administrativas pero estas mediciones no se han integrado en un inventario de emisiones de Alcance 1, 2 y 3 bajo una metodología estandarizada como el GHG </w:t>
      </w:r>
      <w:proofErr w:type="spellStart"/>
      <w:r w:rsidRPr="00405FEB">
        <w:t>Protocol</w:t>
      </w:r>
      <w:proofErr w:type="spellEnd"/>
      <w:r w:rsidRPr="00405FEB">
        <w:t>.</w:t>
      </w:r>
    </w:p>
    <w:tbl>
      <w:tblPr>
        <w:tblW w:w="5000" w:type="pct"/>
        <w:tblBorders>
          <w:top w:val="single" w:sz="4" w:space="0" w:color="8C6D1F"/>
          <w:left w:val="single" w:sz="4" w:space="0" w:color="8C6D1F"/>
          <w:bottom w:val="single" w:sz="4" w:space="0" w:color="8C6D1F"/>
          <w:right w:val="single" w:sz="4" w:space="0" w:color="8C6D1F"/>
          <w:insideH w:val="none" w:sz="0" w:space="0" w:color="FFFFFF"/>
          <w:insideV w:val="none" w:sz="0" w:space="0" w:color="FFFFFF"/>
        </w:tblBorders>
        <w:tblCellMar>
          <w:top w:w="60" w:type="dxa"/>
          <w:left w:w="0" w:type="dxa"/>
          <w:bottom w:w="260" w:type="dxa"/>
          <w:right w:w="0" w:type="dxa"/>
        </w:tblCellMar>
        <w:tblLook w:val="0000" w:firstRow="0" w:lastRow="0" w:firstColumn="0" w:lastColumn="0" w:noHBand="0" w:noVBand="0"/>
      </w:tblPr>
      <w:tblGrid>
        <w:gridCol w:w="10030"/>
      </w:tblGrid>
      <w:tr w:rsidR="00C44E32" w:rsidRPr="00405FEB" w14:paraId="07138669" w14:textId="77777777" w:rsidTr="00BD6669">
        <w:tc>
          <w:tcPr>
            <w:tcW w:w="3602" w:type="pct"/>
            <w:shd w:val="clear" w:color="auto" w:fill="A6E1F8"/>
            <w:tcMar>
              <w:top w:w="100" w:type="dxa"/>
              <w:left w:w="220" w:type="dxa"/>
              <w:bottom w:w="100" w:type="dxa"/>
              <w:right w:w="220" w:type="dxa"/>
            </w:tcMar>
          </w:tcPr>
          <w:p w14:paraId="6CD6CA15" w14:textId="3E4D0595" w:rsidR="00C44E32" w:rsidRPr="00405FEB" w:rsidRDefault="00BD6669" w:rsidP="002C7AD7">
            <w:r w:rsidRPr="00BD6669">
              <w:rPr>
                <w:b/>
                <w:bCs/>
                <w:color w:val="auto"/>
                <w:sz w:val="19"/>
                <w:szCs w:val="19"/>
              </w:rPr>
              <w:t xml:space="preserve">Brecha Central </w:t>
            </w:r>
            <w:r>
              <w:rPr>
                <w:b/>
                <w:bCs/>
                <w:color w:val="auto"/>
                <w:sz w:val="19"/>
                <w:szCs w:val="19"/>
              </w:rPr>
              <w:t>d</w:t>
            </w:r>
            <w:r w:rsidRPr="00BD6669">
              <w:rPr>
                <w:b/>
                <w:bCs/>
                <w:color w:val="auto"/>
                <w:sz w:val="19"/>
                <w:szCs w:val="19"/>
              </w:rPr>
              <w:t xml:space="preserve">e </w:t>
            </w:r>
            <w:r w:rsidR="00544E5F">
              <w:rPr>
                <w:b/>
                <w:bCs/>
                <w:color w:val="auto"/>
                <w:sz w:val="19"/>
                <w:szCs w:val="19"/>
              </w:rPr>
              <w:t>e</w:t>
            </w:r>
            <w:r w:rsidRPr="00BD6669">
              <w:rPr>
                <w:b/>
                <w:bCs/>
                <w:color w:val="auto"/>
                <w:sz w:val="19"/>
                <w:szCs w:val="19"/>
              </w:rPr>
              <w:t>ste Pilar</w:t>
            </w:r>
          </w:p>
        </w:tc>
      </w:tr>
      <w:tr w:rsidR="00C44E32" w:rsidRPr="00405FEB" w14:paraId="21239831" w14:textId="77777777" w:rsidTr="00544E5F">
        <w:tc>
          <w:tcPr>
            <w:tcW w:w="3602" w:type="pct"/>
            <w:shd w:val="clear" w:color="auto" w:fill="CAEDFB" w:themeFill="accent4" w:themeFillTint="33"/>
            <w:tcMar>
              <w:top w:w="160" w:type="dxa"/>
              <w:left w:w="260" w:type="dxa"/>
              <w:bottom w:w="160" w:type="dxa"/>
              <w:right w:w="260" w:type="dxa"/>
            </w:tcMar>
          </w:tcPr>
          <w:p w14:paraId="13182A83" w14:textId="1116DB3A" w:rsidR="00C44E32" w:rsidRPr="00405FEB" w:rsidRDefault="00C44E32" w:rsidP="00544E5F">
            <w:pPr>
              <w:spacing w:line="276" w:lineRule="auto"/>
              <w:jc w:val="both"/>
            </w:pPr>
            <w:r w:rsidRPr="00405FEB">
              <w:rPr>
                <w:sz w:val="21"/>
                <w:szCs w:val="21"/>
              </w:rPr>
              <w:t>La FTTG mide consumo de agua y energía con mucho detalle, pero no traduce ese consumo en emisiones de gases de efecto invernadero. Este es exactamente el insumo que ya existe</w:t>
            </w:r>
            <w:r>
              <w:rPr>
                <w:sz w:val="21"/>
                <w:szCs w:val="21"/>
              </w:rPr>
              <w:t xml:space="preserve">: </w:t>
            </w:r>
            <w:r w:rsidRPr="00405FEB">
              <w:rPr>
                <w:sz w:val="21"/>
                <w:szCs w:val="21"/>
              </w:rPr>
              <w:t>facturas de electricidad, registros de combustible y que solo requiere aplicarse un factor de emisión reconocido para construir el inventario de Alcance 1 y 2 que exige NIIF S2 párr. 29(a).</w:t>
            </w:r>
          </w:p>
        </w:tc>
      </w:tr>
    </w:tbl>
    <w:p w14:paraId="0BC70350" w14:textId="77777777" w:rsidR="00C44E32" w:rsidRPr="00405FEB" w:rsidRDefault="00C44E32">
      <w:pPr>
        <w:spacing w:after="160" w:line="288" w:lineRule="auto"/>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4"/>
        <w:gridCol w:w="5356"/>
      </w:tblGrid>
      <w:tr w:rsidR="00475774" w:rsidRPr="00405FEB" w14:paraId="20B42685" w14:textId="77777777" w:rsidTr="00544E5F">
        <w:tblPrEx>
          <w:tblCellMar>
            <w:top w:w="0" w:type="dxa"/>
            <w:bottom w:w="0" w:type="dxa"/>
          </w:tblCellMar>
        </w:tblPrEx>
        <w:trPr>
          <w:tblHeader/>
        </w:trPr>
        <w:tc>
          <w:tcPr>
            <w:tcW w:w="2330" w:type="pct"/>
            <w:shd w:val="clear" w:color="auto" w:fill="000000" w:themeFill="text1"/>
            <w:tcMar>
              <w:top w:w="100" w:type="dxa"/>
              <w:left w:w="160" w:type="dxa"/>
              <w:bottom w:w="100" w:type="dxa"/>
              <w:right w:w="160" w:type="dxa"/>
            </w:tcMar>
          </w:tcPr>
          <w:p w14:paraId="56243C1C" w14:textId="15082070" w:rsidR="00475774" w:rsidRPr="00405FEB" w:rsidRDefault="00544E5F">
            <w:r w:rsidRPr="00405FEB">
              <w:rPr>
                <w:b/>
                <w:bCs/>
                <w:color w:val="FFFFFF"/>
                <w:sz w:val="19"/>
                <w:szCs w:val="19"/>
              </w:rPr>
              <w:lastRenderedPageBreak/>
              <w:t>Sí Tiene / Cumple</w:t>
            </w:r>
          </w:p>
        </w:tc>
        <w:tc>
          <w:tcPr>
            <w:tcW w:w="2670" w:type="pct"/>
            <w:shd w:val="clear" w:color="auto" w:fill="000000" w:themeFill="text1"/>
            <w:tcMar>
              <w:top w:w="100" w:type="dxa"/>
              <w:left w:w="160" w:type="dxa"/>
              <w:bottom w:w="100" w:type="dxa"/>
              <w:right w:w="160" w:type="dxa"/>
            </w:tcMar>
          </w:tcPr>
          <w:p w14:paraId="4722E4E6" w14:textId="3C375AA2" w:rsidR="00475774" w:rsidRPr="00405FEB" w:rsidRDefault="00544E5F">
            <w:r w:rsidRPr="00405FEB">
              <w:rPr>
                <w:b/>
                <w:bCs/>
                <w:color w:val="FFFFFF"/>
                <w:sz w:val="19"/>
                <w:szCs w:val="19"/>
              </w:rPr>
              <w:t>No Tiene / Le Falta</w:t>
            </w:r>
          </w:p>
        </w:tc>
      </w:tr>
      <w:tr w:rsidR="00475774" w:rsidRPr="00405FEB" w14:paraId="4AB06FA9" w14:textId="77777777" w:rsidTr="00544E5F">
        <w:tblPrEx>
          <w:tblCellMar>
            <w:top w:w="0" w:type="dxa"/>
            <w:bottom w:w="0" w:type="dxa"/>
          </w:tblCellMar>
        </w:tblPrEx>
        <w:tc>
          <w:tcPr>
            <w:tcW w:w="2330" w:type="pct"/>
            <w:tcMar>
              <w:top w:w="140" w:type="dxa"/>
              <w:left w:w="200" w:type="dxa"/>
              <w:bottom w:w="140" w:type="dxa"/>
              <w:right w:w="200" w:type="dxa"/>
            </w:tcMar>
          </w:tcPr>
          <w:p w14:paraId="3A36836D" w14:textId="77777777" w:rsidR="00475774" w:rsidRPr="00405FEB" w:rsidRDefault="00000000" w:rsidP="00C44E32">
            <w:pPr>
              <w:pStyle w:val="Prrafodelista"/>
              <w:numPr>
                <w:ilvl w:val="0"/>
                <w:numId w:val="12"/>
              </w:numPr>
              <w:spacing w:after="100" w:line="260" w:lineRule="auto"/>
              <w:rPr>
                <w:rFonts w:ascii="Cambria" w:hAnsi="Cambria"/>
              </w:rPr>
            </w:pPr>
            <w:r w:rsidRPr="00405FEB">
              <w:rPr>
                <w:rFonts w:ascii="Cambria" w:hAnsi="Cambria"/>
                <w:sz w:val="19"/>
                <w:szCs w:val="19"/>
              </w:rPr>
              <w:t>Sistema de indicadores mensuales estructurado y documentado (SGA).</w:t>
            </w:r>
          </w:p>
          <w:p w14:paraId="585CAE89" w14:textId="77777777" w:rsidR="00475774" w:rsidRPr="00405FEB" w:rsidRDefault="00000000" w:rsidP="00C44E32">
            <w:pPr>
              <w:pStyle w:val="Prrafodelista"/>
              <w:numPr>
                <w:ilvl w:val="0"/>
                <w:numId w:val="12"/>
              </w:numPr>
              <w:spacing w:after="100" w:line="260" w:lineRule="auto"/>
              <w:rPr>
                <w:rFonts w:ascii="Cambria" w:hAnsi="Cambria"/>
              </w:rPr>
            </w:pPr>
            <w:r w:rsidRPr="00405FEB">
              <w:rPr>
                <w:rFonts w:ascii="Cambria" w:hAnsi="Cambria"/>
                <w:sz w:val="19"/>
                <w:szCs w:val="19"/>
              </w:rPr>
              <w:t>Datos de consumo de agua y energía por terminal, con variación mensual y meses críticos identificados.</w:t>
            </w:r>
          </w:p>
          <w:p w14:paraId="76A0919C" w14:textId="77777777" w:rsidR="00475774" w:rsidRPr="00405FEB" w:rsidRDefault="00000000" w:rsidP="00C44E32">
            <w:pPr>
              <w:pStyle w:val="Prrafodelista"/>
              <w:numPr>
                <w:ilvl w:val="0"/>
                <w:numId w:val="12"/>
              </w:numPr>
              <w:spacing w:after="100" w:line="260" w:lineRule="auto"/>
              <w:rPr>
                <w:rFonts w:ascii="Cambria" w:hAnsi="Cambria"/>
              </w:rPr>
            </w:pPr>
            <w:r w:rsidRPr="00405FEB">
              <w:rPr>
                <w:rFonts w:ascii="Cambria" w:hAnsi="Cambria"/>
                <w:sz w:val="19"/>
                <w:szCs w:val="19"/>
              </w:rPr>
              <w:t>Datos de gestión de residuos reciclables (mensual y acumulado).</w:t>
            </w:r>
          </w:p>
          <w:p w14:paraId="08FF17B2" w14:textId="77777777" w:rsidR="00475774" w:rsidRPr="00405FEB" w:rsidRDefault="00000000" w:rsidP="00C44E32">
            <w:pPr>
              <w:pStyle w:val="Prrafodelista"/>
              <w:numPr>
                <w:ilvl w:val="0"/>
                <w:numId w:val="12"/>
              </w:numPr>
              <w:spacing w:after="100" w:line="260" w:lineRule="auto"/>
              <w:rPr>
                <w:rFonts w:ascii="Cambria" w:hAnsi="Cambria"/>
              </w:rPr>
            </w:pPr>
            <w:r w:rsidRPr="00405FEB">
              <w:rPr>
                <w:rFonts w:ascii="Cambria" w:hAnsi="Cambria"/>
                <w:sz w:val="19"/>
                <w:szCs w:val="19"/>
              </w:rPr>
              <w:t>Monitoreo de cumplimiento legal (PMA) por terminal.</w:t>
            </w:r>
          </w:p>
          <w:p w14:paraId="3D3CAB41" w14:textId="77777777" w:rsidR="00475774" w:rsidRPr="00405FEB" w:rsidRDefault="00000000" w:rsidP="00C44E32">
            <w:pPr>
              <w:pStyle w:val="Prrafodelista"/>
              <w:numPr>
                <w:ilvl w:val="0"/>
                <w:numId w:val="12"/>
              </w:numPr>
              <w:spacing w:after="100" w:line="260" w:lineRule="auto"/>
              <w:rPr>
                <w:rFonts w:ascii="Cambria" w:hAnsi="Cambria"/>
              </w:rPr>
            </w:pPr>
            <w:r w:rsidRPr="00405FEB">
              <w:rPr>
                <w:rFonts w:ascii="Cambria" w:hAnsi="Cambria"/>
                <w:sz w:val="19"/>
                <w:szCs w:val="19"/>
              </w:rPr>
              <w:t>Datos demográficos de la planta de personal (diversidad, discapacidad) reportados en rendición de cuentas.</w:t>
            </w:r>
          </w:p>
        </w:tc>
        <w:tc>
          <w:tcPr>
            <w:tcW w:w="2670" w:type="pct"/>
            <w:tcMar>
              <w:top w:w="140" w:type="dxa"/>
              <w:left w:w="200" w:type="dxa"/>
              <w:bottom w:w="140" w:type="dxa"/>
              <w:right w:w="200" w:type="dxa"/>
            </w:tcMar>
          </w:tcPr>
          <w:p w14:paraId="5B82C12A" w14:textId="77777777" w:rsidR="00475774" w:rsidRPr="00405FEB" w:rsidRDefault="00000000" w:rsidP="00C44E32">
            <w:pPr>
              <w:pStyle w:val="Prrafodelista"/>
              <w:numPr>
                <w:ilvl w:val="0"/>
                <w:numId w:val="12"/>
              </w:numPr>
              <w:spacing w:after="100" w:line="260" w:lineRule="auto"/>
              <w:rPr>
                <w:rFonts w:ascii="Cambria" w:hAnsi="Cambria"/>
              </w:rPr>
            </w:pPr>
            <w:r w:rsidRPr="00405FEB">
              <w:rPr>
                <w:rFonts w:ascii="Cambria" w:hAnsi="Cambria"/>
                <w:sz w:val="19"/>
                <w:szCs w:val="19"/>
              </w:rPr>
              <w:t xml:space="preserve">Sin inventario de emisiones GEI (Alcance 1, 2 y 3) bajo GHG </w:t>
            </w:r>
            <w:proofErr w:type="spellStart"/>
            <w:r w:rsidRPr="00405FEB">
              <w:rPr>
                <w:rFonts w:ascii="Cambria" w:hAnsi="Cambria"/>
                <w:sz w:val="19"/>
                <w:szCs w:val="19"/>
              </w:rPr>
              <w:t>Protocol</w:t>
            </w:r>
            <w:proofErr w:type="spellEnd"/>
            <w:r w:rsidRPr="00405FEB">
              <w:rPr>
                <w:rFonts w:ascii="Cambria" w:hAnsi="Cambria"/>
                <w:sz w:val="19"/>
                <w:szCs w:val="19"/>
              </w:rPr>
              <w:t xml:space="preserve"> u otra metodología estandarizada.</w:t>
            </w:r>
          </w:p>
          <w:p w14:paraId="42395F52" w14:textId="77777777" w:rsidR="00475774" w:rsidRPr="00405FEB" w:rsidRDefault="00000000" w:rsidP="00C44E32">
            <w:pPr>
              <w:pStyle w:val="Prrafodelista"/>
              <w:numPr>
                <w:ilvl w:val="0"/>
                <w:numId w:val="12"/>
              </w:numPr>
              <w:spacing w:after="100" w:line="260" w:lineRule="auto"/>
              <w:rPr>
                <w:rFonts w:ascii="Cambria" w:hAnsi="Cambria"/>
              </w:rPr>
            </w:pPr>
            <w:r w:rsidRPr="00405FEB">
              <w:rPr>
                <w:rFonts w:ascii="Cambria" w:hAnsi="Cambria"/>
                <w:sz w:val="19"/>
                <w:szCs w:val="19"/>
              </w:rPr>
              <w:t>Sin certificación vigente de huella de carbono (vencida desde 2020, sin recertificación).</w:t>
            </w:r>
          </w:p>
          <w:p w14:paraId="678238DC" w14:textId="3BEFD9CA" w:rsidR="00475774" w:rsidRPr="00405FEB" w:rsidRDefault="00000000" w:rsidP="00C44E32">
            <w:pPr>
              <w:pStyle w:val="Prrafodelista"/>
              <w:numPr>
                <w:ilvl w:val="0"/>
                <w:numId w:val="12"/>
              </w:numPr>
              <w:spacing w:after="100" w:line="260" w:lineRule="auto"/>
              <w:rPr>
                <w:rFonts w:ascii="Cambria" w:hAnsi="Cambria"/>
              </w:rPr>
            </w:pPr>
            <w:r w:rsidRPr="00405FEB">
              <w:rPr>
                <w:rFonts w:ascii="Cambria" w:hAnsi="Cambria"/>
                <w:sz w:val="19"/>
                <w:szCs w:val="19"/>
              </w:rPr>
              <w:t>Sin métricas sectoriales SASB adaptadas explícitamente.</w:t>
            </w:r>
          </w:p>
          <w:p w14:paraId="09CC3D2C" w14:textId="77777777" w:rsidR="00475774" w:rsidRPr="00405FEB" w:rsidRDefault="00000000" w:rsidP="00C44E32">
            <w:pPr>
              <w:pStyle w:val="Prrafodelista"/>
              <w:numPr>
                <w:ilvl w:val="0"/>
                <w:numId w:val="12"/>
              </w:numPr>
              <w:spacing w:after="100" w:line="260" w:lineRule="auto"/>
              <w:rPr>
                <w:rFonts w:ascii="Cambria" w:hAnsi="Cambria"/>
              </w:rPr>
            </w:pPr>
            <w:r w:rsidRPr="00405FEB">
              <w:rPr>
                <w:rFonts w:ascii="Cambria" w:hAnsi="Cambria"/>
                <w:sz w:val="19"/>
                <w:szCs w:val="19"/>
              </w:rPr>
              <w:t>Sin metas numéricas de reducción de emisiones o consumo con plazos definidos.</w:t>
            </w:r>
          </w:p>
          <w:p w14:paraId="7B536E03" w14:textId="77777777" w:rsidR="00475774" w:rsidRPr="00405FEB" w:rsidRDefault="00000000" w:rsidP="00C44E32">
            <w:pPr>
              <w:pStyle w:val="Prrafodelista"/>
              <w:numPr>
                <w:ilvl w:val="0"/>
                <w:numId w:val="12"/>
              </w:numPr>
              <w:spacing w:after="100" w:line="260" w:lineRule="auto"/>
              <w:rPr>
                <w:rFonts w:ascii="Cambria" w:hAnsi="Cambria"/>
              </w:rPr>
            </w:pPr>
            <w:r w:rsidRPr="00405FEB">
              <w:rPr>
                <w:rFonts w:ascii="Cambria" w:hAnsi="Cambria"/>
                <w:sz w:val="19"/>
                <w:szCs w:val="19"/>
              </w:rPr>
              <w:t>Sin cuantificación del ahorro por eficiencia energética.</w:t>
            </w:r>
          </w:p>
        </w:tc>
      </w:tr>
    </w:tbl>
    <w:p w14:paraId="6DB888EC" w14:textId="77777777" w:rsidR="00475774" w:rsidRPr="00405FEB" w:rsidRDefault="00000000" w:rsidP="00DE1EC7">
      <w:pPr>
        <w:pStyle w:val="Ttulo2"/>
        <w:pBdr>
          <w:bottom w:val="single" w:sz="4" w:space="1" w:color="auto"/>
        </w:pBdr>
        <w:spacing w:line="360" w:lineRule="auto"/>
      </w:pPr>
      <w:bookmarkStart w:id="26" w:name="_Toc235355479"/>
      <w:bookmarkStart w:id="27" w:name="_Toc235368020"/>
      <w:r w:rsidRPr="00405FEB">
        <w:t>3.5. Juicios e incertidumbre de medición</w:t>
      </w:r>
      <w:bookmarkEnd w:id="26"/>
      <w:bookmarkEnd w:id="27"/>
    </w:p>
    <w:p w14:paraId="5B69C077" w14:textId="13BD2172" w:rsidR="00475774" w:rsidRPr="00405FEB" w:rsidRDefault="00000000" w:rsidP="00DE1EC7">
      <w:pPr>
        <w:spacing w:after="160" w:line="360" w:lineRule="auto"/>
        <w:ind w:firstLine="720"/>
        <w:jc w:val="both"/>
      </w:pPr>
      <w:r w:rsidRPr="00405FEB">
        <w:t>No se identificó, en las fuentes revisadas, una declaración explícita de los juicios significativos empleados</w:t>
      </w:r>
      <w:r w:rsidR="00C44E32">
        <w:t xml:space="preserve"> como:</w:t>
      </w:r>
      <w:r w:rsidRPr="00405FEB">
        <w:t xml:space="preserve"> los criterios usados para calificar un aspecto ambiental como prioritario dentro de la matriz de aspectos ambientales</w:t>
      </w:r>
      <w:r w:rsidR="00C44E32">
        <w:t>.</w:t>
      </w:r>
      <w:r w:rsidRPr="00405FEB">
        <w:t xml:space="preserve"> ni un tratamiento formal de la incertidumbre de medición de los datos reportados</w:t>
      </w:r>
      <w:r w:rsidR="00C44E32">
        <w:t xml:space="preserve"> como:</w:t>
      </w:r>
      <w:r w:rsidRPr="00405FEB">
        <w:t xml:space="preserve"> el nivel de confianza de las mediciones de gases realizadas por consultoría externa. Esta es un área que, si bien no está desarrollada, tampoco representa un vacío estructural grave: puede documentarse relativamente rápido a partir del conocimiento técnico ya existente en el área ambiental.</w:t>
      </w:r>
    </w:p>
    <w:p w14:paraId="03098374" w14:textId="77777777" w:rsidR="00475774" w:rsidRPr="00405FEB" w:rsidRDefault="00000000" w:rsidP="00DE1EC7">
      <w:pPr>
        <w:pStyle w:val="Ttulo2"/>
        <w:pBdr>
          <w:bottom w:val="single" w:sz="4" w:space="1" w:color="auto"/>
        </w:pBdr>
        <w:spacing w:line="360" w:lineRule="auto"/>
      </w:pPr>
      <w:bookmarkStart w:id="28" w:name="_Toc235355480"/>
      <w:bookmarkStart w:id="29" w:name="_Toc235368021"/>
      <w:r w:rsidRPr="00405FEB">
        <w:t>3.6. Requerimientos generales de presentación</w:t>
      </w:r>
      <w:bookmarkEnd w:id="28"/>
      <w:bookmarkEnd w:id="29"/>
    </w:p>
    <w:p w14:paraId="1F04B409" w14:textId="2DFAD793" w:rsidR="00475774" w:rsidRPr="00405FEB" w:rsidRDefault="00000000" w:rsidP="00DE1EC7">
      <w:pPr>
        <w:spacing w:after="160" w:line="360" w:lineRule="auto"/>
        <w:ind w:firstLine="720"/>
        <w:jc w:val="both"/>
      </w:pPr>
      <w:r w:rsidRPr="00405FEB">
        <w:t>La FTTG publica su Política Ambiental en su página web institucional y difunde activamente sus actividades ambientales y sociales a través de redes sociales</w:t>
      </w:r>
      <w:r w:rsidR="00C44E32">
        <w:t>,</w:t>
      </w:r>
      <w:r w:rsidRPr="00405FEB">
        <w:t xml:space="preserve"> particularmente Instagram, con la serie “Terminal al día”. Adicionalmente, reporta anualmente a las autoridades competentes</w:t>
      </w:r>
      <w:r w:rsidR="00C44E32">
        <w:t xml:space="preserve">: </w:t>
      </w:r>
      <w:r w:rsidRPr="00405FEB">
        <w:t>Ministerio del Ambiente, municipio, prefectura y elabora informes internos mensuales y una rendición de cuentas anual pública.</w:t>
      </w:r>
    </w:p>
    <w:p w14:paraId="127B8E46" w14:textId="77777777" w:rsidR="00475774" w:rsidRPr="00405FEB" w:rsidRDefault="00000000" w:rsidP="00544E5F">
      <w:pPr>
        <w:spacing w:after="160" w:line="360" w:lineRule="auto"/>
        <w:ind w:firstLine="720"/>
        <w:jc w:val="both"/>
      </w:pPr>
      <w:r w:rsidRPr="00405FEB">
        <w:t>Sin embargo, ninguno de estos reportes sigue la estructura, el lenguaje o los requerimientos de comparabilidad, conexión con la información financiera, o declaración de conformidad que exige NIIF S1. No se utiliza ningún marco de reporte de sostenibilidad reconocido internacionalmente.</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00"/>
        <w:gridCol w:w="4900"/>
      </w:tblGrid>
      <w:tr w:rsidR="00475774" w:rsidRPr="00405FEB" w14:paraId="55FD13A7" w14:textId="77777777" w:rsidTr="00544E5F">
        <w:tblPrEx>
          <w:tblCellMar>
            <w:top w:w="0" w:type="dxa"/>
            <w:bottom w:w="0" w:type="dxa"/>
          </w:tblCellMar>
        </w:tblPrEx>
        <w:trPr>
          <w:tblHeader/>
        </w:trPr>
        <w:tc>
          <w:tcPr>
            <w:tcW w:w="4900" w:type="dxa"/>
            <w:shd w:val="clear" w:color="auto" w:fill="000000" w:themeFill="text1"/>
            <w:tcMar>
              <w:top w:w="100" w:type="dxa"/>
              <w:left w:w="160" w:type="dxa"/>
              <w:bottom w:w="100" w:type="dxa"/>
              <w:right w:w="160" w:type="dxa"/>
            </w:tcMar>
          </w:tcPr>
          <w:p w14:paraId="290DC51C" w14:textId="2F6DCF12" w:rsidR="00475774" w:rsidRPr="00405FEB" w:rsidRDefault="00544E5F">
            <w:r w:rsidRPr="00405FEB">
              <w:rPr>
                <w:b/>
                <w:bCs/>
                <w:color w:val="FFFFFF"/>
                <w:sz w:val="19"/>
                <w:szCs w:val="19"/>
              </w:rPr>
              <w:lastRenderedPageBreak/>
              <w:t>Sí Tiene / Cumple</w:t>
            </w:r>
          </w:p>
        </w:tc>
        <w:tc>
          <w:tcPr>
            <w:tcW w:w="4900" w:type="dxa"/>
            <w:shd w:val="clear" w:color="auto" w:fill="000000" w:themeFill="text1"/>
            <w:tcMar>
              <w:top w:w="100" w:type="dxa"/>
              <w:left w:w="160" w:type="dxa"/>
              <w:bottom w:w="100" w:type="dxa"/>
              <w:right w:w="160" w:type="dxa"/>
            </w:tcMar>
          </w:tcPr>
          <w:p w14:paraId="104F870F" w14:textId="7EB91C3A" w:rsidR="00475774" w:rsidRPr="00405FEB" w:rsidRDefault="00544E5F">
            <w:r w:rsidRPr="00405FEB">
              <w:rPr>
                <w:b/>
                <w:bCs/>
                <w:color w:val="FFFFFF"/>
                <w:sz w:val="19"/>
                <w:szCs w:val="19"/>
              </w:rPr>
              <w:t>No Tiene / Le Falta</w:t>
            </w:r>
          </w:p>
        </w:tc>
      </w:tr>
      <w:tr w:rsidR="00475774" w:rsidRPr="00405FEB" w14:paraId="2057AB58" w14:textId="77777777" w:rsidTr="00544E5F">
        <w:tblPrEx>
          <w:tblCellMar>
            <w:top w:w="0" w:type="dxa"/>
            <w:bottom w:w="0" w:type="dxa"/>
          </w:tblCellMar>
        </w:tblPrEx>
        <w:tc>
          <w:tcPr>
            <w:tcW w:w="4900" w:type="dxa"/>
            <w:tcMar>
              <w:top w:w="140" w:type="dxa"/>
              <w:left w:w="200" w:type="dxa"/>
              <w:bottom w:w="140" w:type="dxa"/>
              <w:right w:w="200" w:type="dxa"/>
            </w:tcMar>
          </w:tcPr>
          <w:p w14:paraId="68E7D943" w14:textId="77777777" w:rsidR="00475774" w:rsidRPr="00405FEB" w:rsidRDefault="00000000" w:rsidP="00C44E32">
            <w:pPr>
              <w:pStyle w:val="Prrafodelista"/>
              <w:numPr>
                <w:ilvl w:val="0"/>
                <w:numId w:val="14"/>
              </w:numPr>
              <w:spacing w:after="100" w:line="260" w:lineRule="auto"/>
              <w:rPr>
                <w:rFonts w:ascii="Cambria" w:hAnsi="Cambria"/>
              </w:rPr>
            </w:pPr>
            <w:r w:rsidRPr="00405FEB">
              <w:rPr>
                <w:rFonts w:ascii="Cambria" w:hAnsi="Cambria"/>
                <w:sz w:val="19"/>
                <w:szCs w:val="19"/>
              </w:rPr>
              <w:t>Política ambiental publicada en la web institucional.</w:t>
            </w:r>
          </w:p>
          <w:p w14:paraId="2186D940" w14:textId="77777777" w:rsidR="00475774" w:rsidRPr="00405FEB" w:rsidRDefault="00000000" w:rsidP="00C44E32">
            <w:pPr>
              <w:pStyle w:val="Prrafodelista"/>
              <w:numPr>
                <w:ilvl w:val="0"/>
                <w:numId w:val="14"/>
              </w:numPr>
              <w:spacing w:after="100" w:line="260" w:lineRule="auto"/>
              <w:rPr>
                <w:rFonts w:ascii="Cambria" w:hAnsi="Cambria"/>
              </w:rPr>
            </w:pPr>
            <w:r w:rsidRPr="00405FEB">
              <w:rPr>
                <w:rFonts w:ascii="Cambria" w:hAnsi="Cambria"/>
                <w:sz w:val="19"/>
                <w:szCs w:val="19"/>
              </w:rPr>
              <w:t>Difusión activa de actividades ambientales y sociales en redes sociales.</w:t>
            </w:r>
          </w:p>
          <w:p w14:paraId="4D493408" w14:textId="77777777" w:rsidR="00475774" w:rsidRPr="00405FEB" w:rsidRDefault="00000000" w:rsidP="00C44E32">
            <w:pPr>
              <w:pStyle w:val="Prrafodelista"/>
              <w:numPr>
                <w:ilvl w:val="0"/>
                <w:numId w:val="14"/>
              </w:numPr>
              <w:spacing w:after="100" w:line="260" w:lineRule="auto"/>
              <w:rPr>
                <w:rFonts w:ascii="Cambria" w:hAnsi="Cambria"/>
              </w:rPr>
            </w:pPr>
            <w:r w:rsidRPr="00405FEB">
              <w:rPr>
                <w:rFonts w:ascii="Cambria" w:hAnsi="Cambria"/>
                <w:sz w:val="19"/>
                <w:szCs w:val="19"/>
              </w:rPr>
              <w:t>Reporte anual formal a autoridades ambientales y de control.</w:t>
            </w:r>
          </w:p>
          <w:p w14:paraId="0C5DF133" w14:textId="77777777" w:rsidR="00475774" w:rsidRPr="00405FEB" w:rsidRDefault="00000000" w:rsidP="00C44E32">
            <w:pPr>
              <w:pStyle w:val="Prrafodelista"/>
              <w:numPr>
                <w:ilvl w:val="0"/>
                <w:numId w:val="14"/>
              </w:numPr>
              <w:spacing w:after="100" w:line="260" w:lineRule="auto"/>
              <w:rPr>
                <w:rFonts w:ascii="Cambria" w:hAnsi="Cambria"/>
              </w:rPr>
            </w:pPr>
            <w:r w:rsidRPr="00405FEB">
              <w:rPr>
                <w:rFonts w:ascii="Cambria" w:hAnsi="Cambria"/>
                <w:sz w:val="19"/>
                <w:szCs w:val="19"/>
              </w:rPr>
              <w:t>Informes internos mensuales y rendición de cuentas anual pública ya institucionalizados.</w:t>
            </w:r>
          </w:p>
        </w:tc>
        <w:tc>
          <w:tcPr>
            <w:tcW w:w="4900" w:type="dxa"/>
            <w:tcMar>
              <w:top w:w="140" w:type="dxa"/>
              <w:left w:w="200" w:type="dxa"/>
              <w:bottom w:w="140" w:type="dxa"/>
              <w:right w:w="200" w:type="dxa"/>
            </w:tcMar>
          </w:tcPr>
          <w:p w14:paraId="0AFAE049" w14:textId="77777777" w:rsidR="00475774" w:rsidRPr="00405FEB" w:rsidRDefault="00000000" w:rsidP="00C44E32">
            <w:pPr>
              <w:pStyle w:val="Prrafodelista"/>
              <w:numPr>
                <w:ilvl w:val="0"/>
                <w:numId w:val="14"/>
              </w:numPr>
              <w:spacing w:after="100" w:line="260" w:lineRule="auto"/>
              <w:rPr>
                <w:rFonts w:ascii="Cambria" w:hAnsi="Cambria"/>
              </w:rPr>
            </w:pPr>
            <w:r w:rsidRPr="00405FEB">
              <w:rPr>
                <w:rFonts w:ascii="Cambria" w:hAnsi="Cambria"/>
                <w:sz w:val="19"/>
                <w:szCs w:val="19"/>
              </w:rPr>
              <w:t>Sin uso de ningún marco de sostenibilidad reconocido (GRI, ODS, NIIF S1/S2, SASB).</w:t>
            </w:r>
          </w:p>
          <w:p w14:paraId="557B112F" w14:textId="77777777" w:rsidR="00475774" w:rsidRPr="00405FEB" w:rsidRDefault="00000000" w:rsidP="00C44E32">
            <w:pPr>
              <w:pStyle w:val="Prrafodelista"/>
              <w:numPr>
                <w:ilvl w:val="0"/>
                <w:numId w:val="14"/>
              </w:numPr>
              <w:spacing w:after="100" w:line="260" w:lineRule="auto"/>
              <w:rPr>
                <w:rFonts w:ascii="Cambria" w:hAnsi="Cambria"/>
              </w:rPr>
            </w:pPr>
            <w:r w:rsidRPr="00405FEB">
              <w:rPr>
                <w:rFonts w:ascii="Cambria" w:hAnsi="Cambria"/>
                <w:sz w:val="19"/>
                <w:szCs w:val="19"/>
              </w:rPr>
              <w:t>Sin declaración de conformidad o de referencia normativa en ningún reporte existente.</w:t>
            </w:r>
          </w:p>
          <w:p w14:paraId="6D4F088B" w14:textId="77777777" w:rsidR="00475774" w:rsidRPr="00405FEB" w:rsidRDefault="00000000" w:rsidP="00C44E32">
            <w:pPr>
              <w:pStyle w:val="Prrafodelista"/>
              <w:numPr>
                <w:ilvl w:val="0"/>
                <w:numId w:val="14"/>
              </w:numPr>
              <w:spacing w:after="100" w:line="260" w:lineRule="auto"/>
              <w:rPr>
                <w:rFonts w:ascii="Cambria" w:hAnsi="Cambria"/>
              </w:rPr>
            </w:pPr>
            <w:r w:rsidRPr="00405FEB">
              <w:rPr>
                <w:rFonts w:ascii="Cambria" w:hAnsi="Cambria"/>
                <w:sz w:val="19"/>
                <w:szCs w:val="19"/>
              </w:rPr>
              <w:t>Sin conexión explícita entre la información ambiental/social y los estados financieros de la institución.</w:t>
            </w:r>
          </w:p>
          <w:p w14:paraId="0C07BFD9" w14:textId="77777777" w:rsidR="00475774" w:rsidRPr="00405FEB" w:rsidRDefault="00000000" w:rsidP="00C44E32">
            <w:pPr>
              <w:pStyle w:val="Prrafodelista"/>
              <w:numPr>
                <w:ilvl w:val="0"/>
                <w:numId w:val="14"/>
              </w:numPr>
              <w:spacing w:after="100" w:line="260" w:lineRule="auto"/>
              <w:rPr>
                <w:rFonts w:ascii="Cambria" w:hAnsi="Cambria"/>
              </w:rPr>
            </w:pPr>
            <w:r w:rsidRPr="00405FEB">
              <w:rPr>
                <w:rFonts w:ascii="Cambria" w:hAnsi="Cambria"/>
                <w:sz w:val="19"/>
                <w:szCs w:val="19"/>
              </w:rPr>
              <w:t>Comparabilidad limitada: no existe una serie histórica estandarizada y publicada para todos los indicadores ambientales.</w:t>
            </w:r>
          </w:p>
        </w:tc>
      </w:tr>
    </w:tbl>
    <w:p w14:paraId="5E551BB2" w14:textId="77777777" w:rsidR="00475774" w:rsidRPr="00405FEB" w:rsidRDefault="00000000" w:rsidP="00DE1EC7">
      <w:pPr>
        <w:pStyle w:val="Ttulo2"/>
        <w:pBdr>
          <w:bottom w:val="single" w:sz="4" w:space="1" w:color="auto"/>
        </w:pBdr>
        <w:spacing w:line="360" w:lineRule="auto"/>
      </w:pPr>
      <w:bookmarkStart w:id="30" w:name="_Toc235355481"/>
      <w:bookmarkStart w:id="31" w:name="_Toc235368022"/>
      <w:r w:rsidRPr="00405FEB">
        <w:t>3.7. Disposiciones de transición</w:t>
      </w:r>
      <w:bookmarkEnd w:id="30"/>
      <w:bookmarkEnd w:id="31"/>
    </w:p>
    <w:p w14:paraId="02145582" w14:textId="6AC4607B" w:rsidR="00475774" w:rsidRPr="00405FEB" w:rsidRDefault="00000000" w:rsidP="00DE1EC7">
      <w:pPr>
        <w:spacing w:after="160" w:line="360" w:lineRule="auto"/>
        <w:ind w:firstLine="720"/>
        <w:jc w:val="both"/>
      </w:pPr>
      <w:r w:rsidRPr="00405FEB">
        <w:t>Dado que la FTTG no ha iniciado ningún ejercicio de reporte bajo NIIF S1</w:t>
      </w:r>
      <w:r w:rsidR="00544E5F">
        <w:t xml:space="preserve"> y </w:t>
      </w:r>
      <w:r w:rsidRPr="00405FEB">
        <w:t>S2, todas las disposiciones de transición para el primer año de aplicación estarían disponibles si la institución decide adoptar el marco: el enfoque “</w:t>
      </w:r>
      <w:proofErr w:type="spellStart"/>
      <w:r w:rsidRPr="00405FEB">
        <w:t>climate-first</w:t>
      </w:r>
      <w:proofErr w:type="spellEnd"/>
      <w:r w:rsidRPr="00405FEB">
        <w:t>” reportar primero solo NIIF S2, el alivio de información comparativa, el alivio de Alcance 3, y el alivio metodológico de GEI. Esta es, en la práctica, la única área donde la FTTG parte en una posición completamente favorable, precisamente por no haber comenzado aún.</w:t>
      </w:r>
    </w:p>
    <w:tbl>
      <w:tblPr>
        <w:tblW w:w="5000" w:type="pct"/>
        <w:tblBorders>
          <w:left w:val="single" w:sz="36" w:space="0" w:color="auto"/>
        </w:tblBorders>
        <w:tblCellMar>
          <w:left w:w="0" w:type="dxa"/>
          <w:bottom w:w="240" w:type="dxa"/>
          <w:right w:w="0" w:type="dxa"/>
        </w:tblCellMar>
        <w:tblLook w:val="0000" w:firstRow="0" w:lastRow="0" w:firstColumn="0" w:lastColumn="0" w:noHBand="0" w:noVBand="0"/>
      </w:tblPr>
      <w:tblGrid>
        <w:gridCol w:w="9995"/>
      </w:tblGrid>
      <w:tr w:rsidR="00475774" w:rsidRPr="00405FEB" w14:paraId="48B2C61F" w14:textId="77777777" w:rsidTr="00544E5F">
        <w:tc>
          <w:tcPr>
            <w:tcW w:w="0" w:type="auto"/>
            <w:shd w:val="clear" w:color="auto" w:fill="E8E8E8" w:themeFill="background2"/>
            <w:tcMar>
              <w:top w:w="160" w:type="dxa"/>
              <w:left w:w="260" w:type="dxa"/>
              <w:bottom w:w="160" w:type="dxa"/>
              <w:right w:w="260" w:type="dxa"/>
            </w:tcMar>
          </w:tcPr>
          <w:p w14:paraId="4B2AEC29" w14:textId="1C995297" w:rsidR="00475774" w:rsidRPr="00544E5F" w:rsidRDefault="00000000" w:rsidP="00544E5F">
            <w:pPr>
              <w:spacing w:after="60"/>
              <w:jc w:val="both"/>
            </w:pPr>
            <w:r w:rsidRPr="00544E5F">
              <w:rPr>
                <w:sz w:val="21"/>
                <w:szCs w:val="21"/>
              </w:rPr>
              <w:t>Esto significa que la FTTG no necesita “ponerse al día” de golpe. Puede iniciar su primer informe reportando solamente los temas de clima (NIIF S2), dejar el Alcance 3 para el segundo año, no mostrar cifras comparativas del año anterior, y seguir usando sus propios métodos de medición de gases mientras los declara abiertamente. Todos estos alivios existen justamente para instituciones que, como la FTTG, están recién comenzando este camino.</w:t>
            </w:r>
          </w:p>
        </w:tc>
      </w:tr>
    </w:tbl>
    <w:p w14:paraId="3D3607E0" w14:textId="31541078" w:rsidR="00475774" w:rsidRPr="00405FEB" w:rsidRDefault="00475774" w:rsidP="00544E5F">
      <w:pPr>
        <w:pStyle w:val="Ttulo1"/>
        <w:spacing w:line="360" w:lineRule="auto"/>
      </w:pPr>
    </w:p>
    <w:p w14:paraId="5CD8F7DC" w14:textId="56294E8B" w:rsidR="00475774" w:rsidRPr="00544E5F" w:rsidRDefault="00544E5F" w:rsidP="00544E5F">
      <w:pPr>
        <w:pStyle w:val="Ttulo1"/>
        <w:spacing w:line="360" w:lineRule="auto"/>
      </w:pPr>
      <w:bookmarkStart w:id="32" w:name="_Toc235355485"/>
      <w:bookmarkStart w:id="33" w:name="_Toc235368023"/>
      <w:r w:rsidRPr="00544E5F">
        <w:t>4.</w:t>
      </w:r>
      <w:r w:rsidR="00000000" w:rsidRPr="00544E5F">
        <w:t xml:space="preserve"> Conclusiones </w:t>
      </w:r>
      <w:bookmarkEnd w:id="32"/>
      <w:r>
        <w:t>del diagnóstico</w:t>
      </w:r>
      <w:bookmarkEnd w:id="33"/>
      <w:r>
        <w:t xml:space="preserve"> </w:t>
      </w:r>
    </w:p>
    <w:p w14:paraId="0AA9AAD0" w14:textId="3952FEE2" w:rsidR="00475774" w:rsidRPr="00405FEB" w:rsidRDefault="00000000" w:rsidP="00544E5F">
      <w:pPr>
        <w:pStyle w:val="Prrafodelista"/>
        <w:numPr>
          <w:ilvl w:val="0"/>
          <w:numId w:val="15"/>
        </w:numPr>
        <w:spacing w:after="140" w:line="360" w:lineRule="auto"/>
        <w:jc w:val="both"/>
        <w:rPr>
          <w:rFonts w:ascii="Cambria" w:hAnsi="Cambria"/>
        </w:rPr>
      </w:pPr>
      <w:r w:rsidRPr="00405FEB">
        <w:rPr>
          <w:rFonts w:ascii="Cambria" w:hAnsi="Cambria"/>
        </w:rPr>
        <w:t>La FTTG tiene una base de gestión ambiental operativa consolidada (PMA, SGA, política ambiental, indicadores mensuales, simulacros de emergencia), construida principalmente para el cumplimiento de ISO 14001:2015 y de la normativa ambiental ecuatoriana no para un informe de sostenibilidad bajo NIIF S1/S2.</w:t>
      </w:r>
    </w:p>
    <w:p w14:paraId="2A0A92A7" w14:textId="77777777" w:rsidR="00475774" w:rsidRPr="00405FEB" w:rsidRDefault="00000000" w:rsidP="00544E5F">
      <w:pPr>
        <w:pStyle w:val="Prrafodelista"/>
        <w:numPr>
          <w:ilvl w:val="0"/>
          <w:numId w:val="15"/>
        </w:numPr>
        <w:spacing w:after="140" w:line="360" w:lineRule="auto"/>
        <w:jc w:val="both"/>
        <w:rPr>
          <w:rFonts w:ascii="Cambria" w:hAnsi="Cambria"/>
        </w:rPr>
      </w:pPr>
      <w:r w:rsidRPr="00405FEB">
        <w:rPr>
          <w:rFonts w:ascii="Cambria" w:hAnsi="Cambria"/>
        </w:rPr>
        <w:t>El pilar más débil de toda la estructura es la ausencia de un inventario de emisiones de gases de efecto invernadero: existen los datos de origen (consumo de agua, energía y combustible) pero no se han traducido a un formato de Alcance 1/2/3, y la certificación de huella de carbono obtenida en 2020 no se ha renovado.</w:t>
      </w:r>
    </w:p>
    <w:p w14:paraId="72A8E722" w14:textId="77777777" w:rsidR="00475774" w:rsidRPr="00405FEB" w:rsidRDefault="00000000" w:rsidP="00544E5F">
      <w:pPr>
        <w:pStyle w:val="Prrafodelista"/>
        <w:numPr>
          <w:ilvl w:val="0"/>
          <w:numId w:val="15"/>
        </w:numPr>
        <w:spacing w:after="140" w:line="360" w:lineRule="auto"/>
        <w:jc w:val="both"/>
        <w:rPr>
          <w:rFonts w:ascii="Cambria" w:hAnsi="Cambria"/>
        </w:rPr>
      </w:pPr>
      <w:r w:rsidRPr="00405FEB">
        <w:rPr>
          <w:rFonts w:ascii="Cambria" w:hAnsi="Cambria"/>
        </w:rPr>
        <w:lastRenderedPageBreak/>
        <w:t>La gobernanza de sostenibilidad está concentrada en un área técnica (Dirección de Medio Ambiente y Responsabilidad Social) sin evidencia de involucramiento formal y documentado del Directorio o la Gerencia General en la supervisión estratégica de estos temas.</w:t>
      </w:r>
    </w:p>
    <w:p w14:paraId="54B7F4B8" w14:textId="30FABB24" w:rsidR="00475774" w:rsidRPr="00405FEB" w:rsidRDefault="00000000" w:rsidP="00544E5F">
      <w:pPr>
        <w:pStyle w:val="Prrafodelista"/>
        <w:numPr>
          <w:ilvl w:val="0"/>
          <w:numId w:val="15"/>
        </w:numPr>
        <w:spacing w:after="140" w:line="360" w:lineRule="auto"/>
        <w:jc w:val="both"/>
        <w:rPr>
          <w:rFonts w:ascii="Cambria" w:hAnsi="Cambria"/>
        </w:rPr>
      </w:pPr>
      <w:r w:rsidRPr="00405FEB">
        <w:rPr>
          <w:rFonts w:ascii="Cambria" w:hAnsi="Cambria"/>
        </w:rPr>
        <w:t>No existe, a la fecha, ningún plan de transición climática formal, análisis de escenarios, ni evaluación del impacto financiero de los riesgos climáticos estos son ejercicios completamente nuevos para la institución, aunque cuenta con la información cualitativa de base para iniciarlos (riesgos físicos ya identificados, plan de emergencias vigente).</w:t>
      </w:r>
    </w:p>
    <w:p w14:paraId="303409F1" w14:textId="77777777" w:rsidR="00475774" w:rsidRPr="00405FEB" w:rsidRDefault="00000000" w:rsidP="00544E5F">
      <w:pPr>
        <w:pStyle w:val="Prrafodelista"/>
        <w:numPr>
          <w:ilvl w:val="0"/>
          <w:numId w:val="15"/>
        </w:numPr>
        <w:spacing w:after="140" w:line="360" w:lineRule="auto"/>
        <w:jc w:val="both"/>
        <w:rPr>
          <w:rFonts w:ascii="Cambria" w:hAnsi="Cambria"/>
        </w:rPr>
      </w:pPr>
      <w:r w:rsidRPr="00405FEB">
        <w:rPr>
          <w:rFonts w:ascii="Cambria" w:hAnsi="Cambria"/>
        </w:rPr>
        <w:t>La principal ventaja estructural de la FTTG es que, al no haber iniciado ningún ejercicio bajo NIIF S1/S2, tiene acceso completo a todas las disposiciones de transición de primer año, lo que reduce significativamente el esfuerzo inicial requerido.</w:t>
      </w:r>
    </w:p>
    <w:p w14:paraId="576E26E2" w14:textId="77777777" w:rsidR="00475774" w:rsidRPr="00405FEB" w:rsidRDefault="00000000" w:rsidP="00544E5F">
      <w:pPr>
        <w:pStyle w:val="Prrafodelista"/>
        <w:numPr>
          <w:ilvl w:val="0"/>
          <w:numId w:val="15"/>
        </w:numPr>
        <w:spacing w:after="140" w:line="360" w:lineRule="auto"/>
        <w:jc w:val="both"/>
        <w:rPr>
          <w:rFonts w:ascii="Cambria" w:hAnsi="Cambria"/>
        </w:rPr>
      </w:pPr>
      <w:r w:rsidRPr="00405FEB">
        <w:rPr>
          <w:rFonts w:ascii="Cambria" w:hAnsi="Cambria"/>
        </w:rPr>
        <w:t>La recomendación general es priorizar, en este orden: (1) construir el inventario básico de emisiones GEI a partir de los datos de consumo ya existentes; (2) formalizar un plan de transición con metas, hitos y presupuesto; (3) elevar la supervisión de sostenibilidad a nivel de Directorio o Gerencia General; y (4) adoptar explícitamente el lenguaje de referencia a NIIF S1/S2 en los reportes ya existentes.</w:t>
      </w:r>
    </w:p>
    <w:sectPr w:rsidR="00475774" w:rsidRPr="00405FEB">
      <w:headerReference w:type="default" r:id="rId8"/>
      <w:footerReference w:type="default" r:id="rId9"/>
      <w:pgSz w:w="12240" w:h="15840"/>
      <w:pgMar w:top="1000" w:right="1100" w:bottom="10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3A9E02" w14:textId="77777777" w:rsidR="0056154B" w:rsidRDefault="0056154B">
      <w:r>
        <w:separator/>
      </w:r>
    </w:p>
  </w:endnote>
  <w:endnote w:type="continuationSeparator" w:id="0">
    <w:p w14:paraId="217BB0E3" w14:textId="77777777" w:rsidR="0056154B" w:rsidRDefault="005615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6EBCCA" w14:textId="77777777" w:rsidR="00475774" w:rsidRDefault="00000000">
    <w:pPr>
      <w:jc w:val="center"/>
    </w:pPr>
    <w:r>
      <w:rPr>
        <w:color w:val="5B6B7A"/>
        <w:sz w:val="16"/>
        <w:szCs w:val="16"/>
      </w:rPr>
      <w:fldChar w:fldCharType="begin"/>
    </w:r>
    <w:r>
      <w:rPr>
        <w:rFonts w:ascii="Calibri" w:hAnsi="Calibri"/>
        <w:color w:val="5B6B7A"/>
        <w:sz w:val="16"/>
        <w:szCs w:val="16"/>
      </w:rPr>
      <w:instrText>PAGE</w:instrText>
    </w:r>
    <w:r>
      <w:rPr>
        <w:color w:val="5B6B7A"/>
        <w:sz w:val="16"/>
        <w:szCs w:val="16"/>
      </w:rPr>
      <w:fldChar w:fldCharType="separate"/>
    </w:r>
    <w:r w:rsidR="00405FEB">
      <w:rPr>
        <w:noProof/>
        <w:color w:val="5B6B7A"/>
        <w:sz w:val="16"/>
        <w:szCs w:val="16"/>
      </w:rPr>
      <w:t>1</w:t>
    </w:r>
    <w:r>
      <w:rPr>
        <w:color w:val="5B6B7A"/>
        <w:sz w:val="16"/>
        <w:szCs w:val="16"/>
      </w:rPr>
      <w:fldChar w:fldCharType="end"/>
    </w:r>
    <w:r>
      <w:rPr>
        <w:rFonts w:ascii="Calibri" w:hAnsi="Calibri"/>
        <w:color w:val="5B6B7A"/>
        <w:sz w:val="16"/>
        <w:szCs w:val="16"/>
      </w:rPr>
      <w:t xml:space="preserve"> / </w:t>
    </w:r>
    <w:r>
      <w:rPr>
        <w:color w:val="5B6B7A"/>
        <w:sz w:val="16"/>
        <w:szCs w:val="16"/>
      </w:rPr>
      <w:fldChar w:fldCharType="begin"/>
    </w:r>
    <w:r>
      <w:rPr>
        <w:rFonts w:ascii="Calibri" w:hAnsi="Calibri"/>
        <w:color w:val="5B6B7A"/>
        <w:sz w:val="16"/>
        <w:szCs w:val="16"/>
      </w:rPr>
      <w:instrText>NUMPAGES</w:instrText>
    </w:r>
    <w:r>
      <w:rPr>
        <w:color w:val="5B6B7A"/>
        <w:sz w:val="16"/>
        <w:szCs w:val="16"/>
      </w:rPr>
      <w:fldChar w:fldCharType="separate"/>
    </w:r>
    <w:r w:rsidR="00405FEB">
      <w:rPr>
        <w:noProof/>
        <w:color w:val="5B6B7A"/>
        <w:sz w:val="16"/>
        <w:szCs w:val="16"/>
      </w:rPr>
      <w:t>1</w:t>
    </w:r>
    <w:r>
      <w:rPr>
        <w:color w:val="5B6B7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0F5792" w14:textId="77777777" w:rsidR="0056154B" w:rsidRDefault="0056154B">
      <w:r>
        <w:separator/>
      </w:r>
    </w:p>
  </w:footnote>
  <w:footnote w:type="continuationSeparator" w:id="0">
    <w:p w14:paraId="61199F2C" w14:textId="77777777" w:rsidR="0056154B" w:rsidRDefault="005615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FC3317" w14:textId="77777777" w:rsidR="00475774" w:rsidRDefault="00000000">
    <w:pPr>
      <w:jc w:val="right"/>
    </w:pPr>
    <w:r>
      <w:rPr>
        <w:rFonts w:ascii="Calibri" w:hAnsi="Calibri"/>
        <w:i/>
        <w:iCs/>
        <w:color w:val="5B6B7A"/>
        <w:sz w:val="15"/>
        <w:szCs w:val="15"/>
      </w:rPr>
      <w:t xml:space="preserve">Diagnóstico de Sostenibilidad — </w:t>
    </w:r>
    <w:proofErr w:type="gramStart"/>
    <w:r>
      <w:rPr>
        <w:rFonts w:ascii="Calibri" w:hAnsi="Calibri"/>
        <w:i/>
        <w:iCs/>
        <w:color w:val="5B6B7A"/>
        <w:sz w:val="15"/>
        <w:szCs w:val="15"/>
      </w:rPr>
      <w:t>FTTG  |</w:t>
    </w:r>
    <w:proofErr w:type="gramEnd"/>
    <w:r>
      <w:rPr>
        <w:rFonts w:ascii="Calibri" w:hAnsi="Calibri"/>
        <w:i/>
        <w:iCs/>
        <w:color w:val="5B6B7A"/>
        <w:sz w:val="15"/>
        <w:szCs w:val="15"/>
      </w:rPr>
      <w:t xml:space="preserve">  NIIF S1 / S2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0206C"/>
    <w:multiLevelType w:val="hybridMultilevel"/>
    <w:tmpl w:val="8E92FAE2"/>
    <w:lvl w:ilvl="0" w:tplc="5FF82388">
      <w:start w:val="1"/>
      <w:numFmt w:val="bullet"/>
      <w:lvlText w:val="•"/>
      <w:lvlJc w:val="left"/>
      <w:pPr>
        <w:ind w:left="720" w:hanging="360"/>
      </w:p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 w15:restartNumberingAfterBreak="0">
    <w:nsid w:val="0AB566D6"/>
    <w:multiLevelType w:val="hybridMultilevel"/>
    <w:tmpl w:val="481E3F3C"/>
    <w:lvl w:ilvl="0" w:tplc="5FF82388">
      <w:start w:val="1"/>
      <w:numFmt w:val="bullet"/>
      <w:lvlText w:val="•"/>
      <w:lvlJc w:val="left"/>
      <w:pPr>
        <w:ind w:left="720" w:hanging="360"/>
      </w:p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2" w15:restartNumberingAfterBreak="0">
    <w:nsid w:val="0F30516E"/>
    <w:multiLevelType w:val="hybridMultilevel"/>
    <w:tmpl w:val="AA808800"/>
    <w:lvl w:ilvl="0" w:tplc="5FF82388">
      <w:start w:val="1"/>
      <w:numFmt w:val="bullet"/>
      <w:lvlText w:val="•"/>
      <w:lvlJc w:val="left"/>
      <w:pPr>
        <w:ind w:left="720" w:hanging="360"/>
      </w:p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3" w15:restartNumberingAfterBreak="0">
    <w:nsid w:val="0F6B1EED"/>
    <w:multiLevelType w:val="hybridMultilevel"/>
    <w:tmpl w:val="589E1FC0"/>
    <w:lvl w:ilvl="0" w:tplc="5FF82388">
      <w:start w:val="1"/>
      <w:numFmt w:val="bullet"/>
      <w:lvlText w:val="•"/>
      <w:lvlJc w:val="left"/>
      <w:pPr>
        <w:ind w:left="720" w:hanging="360"/>
      </w:p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4" w15:restartNumberingAfterBreak="0">
    <w:nsid w:val="12270B09"/>
    <w:multiLevelType w:val="hybridMultilevel"/>
    <w:tmpl w:val="CEC4F28E"/>
    <w:lvl w:ilvl="0" w:tplc="5FF82388">
      <w:start w:val="1"/>
      <w:numFmt w:val="bullet"/>
      <w:lvlText w:val="•"/>
      <w:lvlJc w:val="left"/>
      <w:pPr>
        <w:ind w:left="720" w:hanging="360"/>
      </w:p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5" w15:restartNumberingAfterBreak="0">
    <w:nsid w:val="12531FEE"/>
    <w:multiLevelType w:val="hybridMultilevel"/>
    <w:tmpl w:val="C9C04D28"/>
    <w:lvl w:ilvl="0" w:tplc="5FF82388">
      <w:start w:val="1"/>
      <w:numFmt w:val="bullet"/>
      <w:lvlText w:val="•"/>
      <w:lvlJc w:val="left"/>
      <w:pPr>
        <w:ind w:left="720" w:hanging="360"/>
      </w:p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6" w15:restartNumberingAfterBreak="0">
    <w:nsid w:val="32F92B3D"/>
    <w:multiLevelType w:val="hybridMultilevel"/>
    <w:tmpl w:val="89201E7E"/>
    <w:lvl w:ilvl="0" w:tplc="5FF82388">
      <w:start w:val="1"/>
      <w:numFmt w:val="bullet"/>
      <w:lvlText w:val="•"/>
      <w:lvlJc w:val="left"/>
      <w:pPr>
        <w:ind w:left="720" w:hanging="360"/>
      </w:p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7" w15:restartNumberingAfterBreak="0">
    <w:nsid w:val="37BD09B2"/>
    <w:multiLevelType w:val="hybridMultilevel"/>
    <w:tmpl w:val="47C26188"/>
    <w:lvl w:ilvl="0" w:tplc="551804F2">
      <w:start w:val="1"/>
      <w:numFmt w:val="bullet"/>
      <w:lvlText w:val="●"/>
      <w:lvlJc w:val="left"/>
      <w:pPr>
        <w:ind w:left="720" w:hanging="360"/>
      </w:p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4CB0387B"/>
    <w:multiLevelType w:val="hybridMultilevel"/>
    <w:tmpl w:val="1FEC2B28"/>
    <w:lvl w:ilvl="0" w:tplc="5FF82388">
      <w:start w:val="1"/>
      <w:numFmt w:val="bullet"/>
      <w:lvlText w:val="•"/>
      <w:lvlJc w:val="left"/>
      <w:pPr>
        <w:ind w:left="785" w:hanging="360"/>
      </w:pPr>
    </w:lvl>
    <w:lvl w:ilvl="1" w:tplc="300A0003" w:tentative="1">
      <w:start w:val="1"/>
      <w:numFmt w:val="bullet"/>
      <w:lvlText w:val="o"/>
      <w:lvlJc w:val="left"/>
      <w:pPr>
        <w:ind w:left="1505" w:hanging="360"/>
      </w:pPr>
      <w:rPr>
        <w:rFonts w:ascii="Courier New" w:hAnsi="Courier New" w:cs="Courier New" w:hint="default"/>
      </w:rPr>
    </w:lvl>
    <w:lvl w:ilvl="2" w:tplc="300A0005" w:tentative="1">
      <w:start w:val="1"/>
      <w:numFmt w:val="bullet"/>
      <w:lvlText w:val=""/>
      <w:lvlJc w:val="left"/>
      <w:pPr>
        <w:ind w:left="2225" w:hanging="360"/>
      </w:pPr>
      <w:rPr>
        <w:rFonts w:ascii="Wingdings" w:hAnsi="Wingdings" w:hint="default"/>
      </w:rPr>
    </w:lvl>
    <w:lvl w:ilvl="3" w:tplc="300A0001" w:tentative="1">
      <w:start w:val="1"/>
      <w:numFmt w:val="bullet"/>
      <w:lvlText w:val=""/>
      <w:lvlJc w:val="left"/>
      <w:pPr>
        <w:ind w:left="2945" w:hanging="360"/>
      </w:pPr>
      <w:rPr>
        <w:rFonts w:ascii="Symbol" w:hAnsi="Symbol" w:hint="default"/>
      </w:rPr>
    </w:lvl>
    <w:lvl w:ilvl="4" w:tplc="300A0003" w:tentative="1">
      <w:start w:val="1"/>
      <w:numFmt w:val="bullet"/>
      <w:lvlText w:val="o"/>
      <w:lvlJc w:val="left"/>
      <w:pPr>
        <w:ind w:left="3665" w:hanging="360"/>
      </w:pPr>
      <w:rPr>
        <w:rFonts w:ascii="Courier New" w:hAnsi="Courier New" w:cs="Courier New" w:hint="default"/>
      </w:rPr>
    </w:lvl>
    <w:lvl w:ilvl="5" w:tplc="300A0005" w:tentative="1">
      <w:start w:val="1"/>
      <w:numFmt w:val="bullet"/>
      <w:lvlText w:val=""/>
      <w:lvlJc w:val="left"/>
      <w:pPr>
        <w:ind w:left="4385" w:hanging="360"/>
      </w:pPr>
      <w:rPr>
        <w:rFonts w:ascii="Wingdings" w:hAnsi="Wingdings" w:hint="default"/>
      </w:rPr>
    </w:lvl>
    <w:lvl w:ilvl="6" w:tplc="300A0001" w:tentative="1">
      <w:start w:val="1"/>
      <w:numFmt w:val="bullet"/>
      <w:lvlText w:val=""/>
      <w:lvlJc w:val="left"/>
      <w:pPr>
        <w:ind w:left="5105" w:hanging="360"/>
      </w:pPr>
      <w:rPr>
        <w:rFonts w:ascii="Symbol" w:hAnsi="Symbol" w:hint="default"/>
      </w:rPr>
    </w:lvl>
    <w:lvl w:ilvl="7" w:tplc="300A0003" w:tentative="1">
      <w:start w:val="1"/>
      <w:numFmt w:val="bullet"/>
      <w:lvlText w:val="o"/>
      <w:lvlJc w:val="left"/>
      <w:pPr>
        <w:ind w:left="5825" w:hanging="360"/>
      </w:pPr>
      <w:rPr>
        <w:rFonts w:ascii="Courier New" w:hAnsi="Courier New" w:cs="Courier New" w:hint="default"/>
      </w:rPr>
    </w:lvl>
    <w:lvl w:ilvl="8" w:tplc="300A0005" w:tentative="1">
      <w:start w:val="1"/>
      <w:numFmt w:val="bullet"/>
      <w:lvlText w:val=""/>
      <w:lvlJc w:val="left"/>
      <w:pPr>
        <w:ind w:left="6545" w:hanging="360"/>
      </w:pPr>
      <w:rPr>
        <w:rFonts w:ascii="Wingdings" w:hAnsi="Wingdings" w:hint="default"/>
      </w:rPr>
    </w:lvl>
  </w:abstractNum>
  <w:abstractNum w:abstractNumId="9" w15:restartNumberingAfterBreak="0">
    <w:nsid w:val="554448E5"/>
    <w:multiLevelType w:val="hybridMultilevel"/>
    <w:tmpl w:val="8E5872CC"/>
    <w:lvl w:ilvl="0" w:tplc="5FF82388">
      <w:start w:val="1"/>
      <w:numFmt w:val="bullet"/>
      <w:lvlText w:val="•"/>
      <w:lvlJc w:val="left"/>
      <w:pPr>
        <w:ind w:left="720" w:hanging="360"/>
      </w:p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0" w15:restartNumberingAfterBreak="0">
    <w:nsid w:val="64CE0399"/>
    <w:multiLevelType w:val="hybridMultilevel"/>
    <w:tmpl w:val="3D74FC04"/>
    <w:lvl w:ilvl="0" w:tplc="5FF82388">
      <w:start w:val="1"/>
      <w:numFmt w:val="bullet"/>
      <w:lvlText w:val="•"/>
      <w:lvlJc w:val="left"/>
      <w:pPr>
        <w:ind w:left="720" w:hanging="360"/>
      </w:p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69570033"/>
    <w:multiLevelType w:val="hybridMultilevel"/>
    <w:tmpl w:val="65B41BB0"/>
    <w:lvl w:ilvl="0" w:tplc="5FF82388">
      <w:start w:val="1"/>
      <w:numFmt w:val="bullet"/>
      <w:lvlText w:val="•"/>
      <w:lvlJc w:val="left"/>
      <w:pPr>
        <w:ind w:left="720" w:hanging="360"/>
      </w:p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2" w15:restartNumberingAfterBreak="0">
    <w:nsid w:val="7C5B0EB4"/>
    <w:multiLevelType w:val="hybridMultilevel"/>
    <w:tmpl w:val="A366F8D2"/>
    <w:lvl w:ilvl="0" w:tplc="551804F2">
      <w:start w:val="1"/>
      <w:numFmt w:val="bullet"/>
      <w:lvlText w:val="●"/>
      <w:lvlJc w:val="left"/>
      <w:pPr>
        <w:ind w:left="720" w:hanging="360"/>
      </w:pPr>
    </w:lvl>
    <w:lvl w:ilvl="1" w:tplc="0E10E760">
      <w:start w:val="1"/>
      <w:numFmt w:val="bullet"/>
      <w:lvlText w:val="○"/>
      <w:lvlJc w:val="left"/>
      <w:pPr>
        <w:ind w:left="1440" w:hanging="360"/>
      </w:pPr>
    </w:lvl>
    <w:lvl w:ilvl="2" w:tplc="E40C4DCA">
      <w:start w:val="1"/>
      <w:numFmt w:val="bullet"/>
      <w:lvlText w:val="■"/>
      <w:lvlJc w:val="left"/>
      <w:pPr>
        <w:ind w:left="2160" w:hanging="360"/>
      </w:pPr>
    </w:lvl>
    <w:lvl w:ilvl="3" w:tplc="D4C040AE">
      <w:start w:val="1"/>
      <w:numFmt w:val="bullet"/>
      <w:lvlText w:val="●"/>
      <w:lvlJc w:val="left"/>
      <w:pPr>
        <w:ind w:left="2880" w:hanging="360"/>
      </w:pPr>
    </w:lvl>
    <w:lvl w:ilvl="4" w:tplc="E49CE76C">
      <w:start w:val="1"/>
      <w:numFmt w:val="bullet"/>
      <w:lvlText w:val="○"/>
      <w:lvlJc w:val="left"/>
      <w:pPr>
        <w:ind w:left="3600" w:hanging="360"/>
      </w:pPr>
    </w:lvl>
    <w:lvl w:ilvl="5" w:tplc="B62C478C">
      <w:start w:val="1"/>
      <w:numFmt w:val="bullet"/>
      <w:lvlText w:val="■"/>
      <w:lvlJc w:val="left"/>
      <w:pPr>
        <w:ind w:left="4320" w:hanging="360"/>
      </w:pPr>
    </w:lvl>
    <w:lvl w:ilvl="6" w:tplc="5888CD20">
      <w:start w:val="1"/>
      <w:numFmt w:val="bullet"/>
      <w:lvlText w:val="●"/>
      <w:lvlJc w:val="left"/>
      <w:pPr>
        <w:ind w:left="5040" w:hanging="360"/>
      </w:pPr>
    </w:lvl>
    <w:lvl w:ilvl="7" w:tplc="C9FC573C">
      <w:start w:val="1"/>
      <w:numFmt w:val="bullet"/>
      <w:lvlText w:val="●"/>
      <w:lvlJc w:val="left"/>
      <w:pPr>
        <w:ind w:left="5760" w:hanging="360"/>
      </w:pPr>
    </w:lvl>
    <w:lvl w:ilvl="8" w:tplc="3086D612">
      <w:start w:val="1"/>
      <w:numFmt w:val="bullet"/>
      <w:lvlText w:val="●"/>
      <w:lvlJc w:val="left"/>
      <w:pPr>
        <w:ind w:left="6480" w:hanging="360"/>
      </w:pPr>
    </w:lvl>
  </w:abstractNum>
  <w:abstractNum w:abstractNumId="13" w15:restartNumberingAfterBreak="0">
    <w:nsid w:val="7E624791"/>
    <w:multiLevelType w:val="hybridMultilevel"/>
    <w:tmpl w:val="49F0CDD4"/>
    <w:lvl w:ilvl="0" w:tplc="5FF82388">
      <w:start w:val="1"/>
      <w:numFmt w:val="bullet"/>
      <w:lvlText w:val="•"/>
      <w:lvlJc w:val="left"/>
      <w:pPr>
        <w:ind w:left="720" w:hanging="360"/>
      </w:p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num w:numId="1" w16cid:durableId="656684942">
    <w:abstractNumId w:val="12"/>
    <w:lvlOverride w:ilvl="0">
      <w:startOverride w:val="1"/>
    </w:lvlOverride>
  </w:num>
  <w:num w:numId="2" w16cid:durableId="442120046">
    <w:abstractNumId w:val="12"/>
  </w:num>
  <w:num w:numId="3" w16cid:durableId="210578529">
    <w:abstractNumId w:val="7"/>
  </w:num>
  <w:num w:numId="4" w16cid:durableId="927928988">
    <w:abstractNumId w:val="10"/>
  </w:num>
  <w:num w:numId="5" w16cid:durableId="866286355">
    <w:abstractNumId w:val="2"/>
  </w:num>
  <w:num w:numId="6" w16cid:durableId="2032679157">
    <w:abstractNumId w:val="0"/>
  </w:num>
  <w:num w:numId="7" w16cid:durableId="241840687">
    <w:abstractNumId w:val="4"/>
  </w:num>
  <w:num w:numId="8" w16cid:durableId="844322730">
    <w:abstractNumId w:val="5"/>
  </w:num>
  <w:num w:numId="9" w16cid:durableId="761030710">
    <w:abstractNumId w:val="3"/>
  </w:num>
  <w:num w:numId="10" w16cid:durableId="2009819297">
    <w:abstractNumId w:val="1"/>
  </w:num>
  <w:num w:numId="11" w16cid:durableId="1488590203">
    <w:abstractNumId w:val="11"/>
  </w:num>
  <w:num w:numId="12" w16cid:durableId="896937554">
    <w:abstractNumId w:val="9"/>
  </w:num>
  <w:num w:numId="13" w16cid:durableId="1392385526">
    <w:abstractNumId w:val="13"/>
  </w:num>
  <w:num w:numId="14" w16cid:durableId="280721624">
    <w:abstractNumId w:val="8"/>
  </w:num>
  <w:num w:numId="15" w16cid:durableId="15323074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9"/>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5774"/>
    <w:rsid w:val="000C7CBC"/>
    <w:rsid w:val="00100B41"/>
    <w:rsid w:val="00405FEB"/>
    <w:rsid w:val="00475774"/>
    <w:rsid w:val="00535D0A"/>
    <w:rsid w:val="00544E5F"/>
    <w:rsid w:val="005537FA"/>
    <w:rsid w:val="0056154B"/>
    <w:rsid w:val="006E3394"/>
    <w:rsid w:val="007205CF"/>
    <w:rsid w:val="00760ADA"/>
    <w:rsid w:val="009332FD"/>
    <w:rsid w:val="00BD6669"/>
    <w:rsid w:val="00C14558"/>
    <w:rsid w:val="00C44E32"/>
    <w:rsid w:val="00DE1EC7"/>
    <w:rsid w:val="00DE238E"/>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19EC57"/>
  <w15:docId w15:val="{EA366E38-7E89-4B3B-ADAC-A0CE30AF02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4303D"/>
        <w:sz w:val="22"/>
        <w:szCs w:val="22"/>
        <w:lang w:val="es-EC" w:eastAsia="es-EC"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05CF"/>
    <w:rPr>
      <w:rFonts w:ascii="Cambria" w:hAnsi="Cambria"/>
    </w:rPr>
  </w:style>
  <w:style w:type="paragraph" w:styleId="Ttulo1">
    <w:name w:val="heading 1"/>
    <w:uiPriority w:val="9"/>
    <w:qFormat/>
    <w:rsid w:val="007205CF"/>
    <w:pPr>
      <w:spacing w:before="120" w:after="120"/>
      <w:outlineLvl w:val="0"/>
    </w:pPr>
    <w:rPr>
      <w:rFonts w:ascii="Cambria" w:hAnsi="Cambria"/>
      <w:b/>
      <w:color w:val="auto"/>
      <w:sz w:val="30"/>
      <w:szCs w:val="32"/>
    </w:rPr>
  </w:style>
  <w:style w:type="paragraph" w:styleId="Ttulo2">
    <w:name w:val="heading 2"/>
    <w:uiPriority w:val="9"/>
    <w:unhideWhenUsed/>
    <w:qFormat/>
    <w:rsid w:val="00BD6669"/>
    <w:pPr>
      <w:spacing w:before="480" w:after="480"/>
      <w:outlineLvl w:val="1"/>
    </w:pPr>
    <w:rPr>
      <w:rFonts w:ascii="Cambria" w:hAnsi="Cambria"/>
      <w:b/>
      <w:color w:val="auto"/>
      <w:sz w:val="28"/>
      <w:szCs w:val="26"/>
    </w:rPr>
  </w:style>
  <w:style w:type="paragraph" w:styleId="Ttulo3">
    <w:name w:val="heading 3"/>
    <w:uiPriority w:val="9"/>
    <w:unhideWhenUsed/>
    <w:qFormat/>
    <w:rsid w:val="00100B41"/>
    <w:pPr>
      <w:spacing w:before="240" w:after="240"/>
      <w:ind w:left="708"/>
      <w:outlineLvl w:val="2"/>
    </w:pPr>
    <w:rPr>
      <w:rFonts w:ascii="Cambria" w:hAnsi="Cambria"/>
      <w:b/>
      <w:color w:val="auto"/>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2">
    <w:name w:val="toc 2"/>
    <w:basedOn w:val="Normal"/>
    <w:next w:val="Normal"/>
    <w:autoRedefine/>
    <w:uiPriority w:val="39"/>
    <w:unhideWhenUsed/>
    <w:rsid w:val="00405FEB"/>
    <w:pPr>
      <w:spacing w:after="100"/>
      <w:ind w:left="220"/>
    </w:pPr>
  </w:style>
  <w:style w:type="paragraph" w:styleId="TDC1">
    <w:name w:val="toc 1"/>
    <w:basedOn w:val="Normal"/>
    <w:next w:val="Normal"/>
    <w:autoRedefine/>
    <w:uiPriority w:val="39"/>
    <w:unhideWhenUsed/>
    <w:rsid w:val="00405FEB"/>
    <w:pPr>
      <w:spacing w:after="100"/>
    </w:pPr>
  </w:style>
  <w:style w:type="paragraph" w:styleId="TtuloTDC">
    <w:name w:val="TOC Heading"/>
    <w:basedOn w:val="Ttulo1"/>
    <w:next w:val="Normal"/>
    <w:uiPriority w:val="39"/>
    <w:unhideWhenUsed/>
    <w:qFormat/>
    <w:rsid w:val="009332FD"/>
    <w:pPr>
      <w:keepNext/>
      <w:keepLines/>
      <w:spacing w:before="240" w:after="0" w:line="259" w:lineRule="auto"/>
      <w:outlineLvl w:val="9"/>
    </w:pPr>
    <w:rPr>
      <w:rFonts w:asciiTheme="majorHAnsi" w:eastAsiaTheme="majorEastAsia" w:hAnsiTheme="majorHAnsi" w:cstheme="majorBidi"/>
      <w:b w:val="0"/>
      <w:color w:val="0F4761" w:themeColor="accent1" w:themeShade="BF"/>
      <w:sz w:val="32"/>
    </w:rPr>
  </w:style>
  <w:style w:type="paragraph" w:styleId="TDC3">
    <w:name w:val="toc 3"/>
    <w:basedOn w:val="Normal"/>
    <w:next w:val="Normal"/>
    <w:autoRedefine/>
    <w:uiPriority w:val="39"/>
    <w:unhideWhenUsed/>
    <w:rsid w:val="009332FD"/>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9CD88A-1C75-4D1A-BE10-BA2CEAEF40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207</TotalTime>
  <Pages>11</Pages>
  <Words>3337</Words>
  <Characters>18356</Characters>
  <Application>Microsoft Office Word</Application>
  <DocSecurity>0</DocSecurity>
  <Lines>152</Lines>
  <Paragraphs>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Nahomi Peñafiel</cp:lastModifiedBy>
  <cp:revision>7</cp:revision>
  <dcterms:created xsi:type="dcterms:W3CDTF">2026-07-19T17:05:00Z</dcterms:created>
  <dcterms:modified xsi:type="dcterms:W3CDTF">2026-07-19T20:40:00Z</dcterms:modified>
</cp:coreProperties>
</file>