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33EE" w14:textId="77777777" w:rsidR="00417115" w:rsidRPr="00325A77" w:rsidRDefault="00417115">
      <w:pPr>
        <w:spacing w:after="1800"/>
        <w:rPr>
          <w:rFonts w:ascii="Cambria" w:hAnsi="Cambria"/>
        </w:rPr>
      </w:pPr>
    </w:p>
    <w:tbl>
      <w:tblPr>
        <w:tblW w:w="9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417115" w:rsidRPr="00325A77" w14:paraId="1D2174C7" w14:textId="77777777">
        <w:tc>
          <w:tcPr>
            <w:tcW w:w="0" w:type="auto"/>
            <w:shd w:val="clear" w:color="auto" w:fill="13315C"/>
            <w:tcMar>
              <w:top w:w="1600" w:type="dxa"/>
              <w:left w:w="700" w:type="dxa"/>
              <w:bottom w:w="1600" w:type="dxa"/>
              <w:right w:w="700" w:type="dxa"/>
            </w:tcMar>
            <w:vAlign w:val="center"/>
          </w:tcPr>
          <w:p w14:paraId="37900C46" w14:textId="77777777" w:rsidR="00417115" w:rsidRPr="00325A77" w:rsidRDefault="00000000">
            <w:pPr>
              <w:spacing w:after="100"/>
              <w:jc w:val="center"/>
              <w:rPr>
                <w:rFonts w:ascii="Cambria" w:hAnsi="Cambria"/>
              </w:rPr>
            </w:pPr>
            <w:r w:rsidRPr="00325A77">
              <w:rPr>
                <w:rFonts w:ascii="Cambria" w:hAnsi="Cambria"/>
                <w:b/>
                <w:bCs/>
                <w:color w:val="9FC5E8"/>
                <w:spacing w:val="20"/>
              </w:rPr>
              <w:t>GUÍA DE ESTRUCTURA</w:t>
            </w:r>
          </w:p>
          <w:p w14:paraId="2C33B8F7" w14:textId="77777777" w:rsidR="00417115" w:rsidRPr="00325A77" w:rsidRDefault="00000000">
            <w:pPr>
              <w:spacing w:after="260"/>
              <w:jc w:val="center"/>
              <w:rPr>
                <w:rFonts w:ascii="Cambria" w:hAnsi="Cambria"/>
              </w:rPr>
            </w:pPr>
            <w:r w:rsidRPr="00325A77">
              <w:rPr>
                <w:rFonts w:ascii="Cambria" w:hAnsi="Cambria"/>
                <w:b/>
                <w:bCs/>
                <w:color w:val="FFFFFF"/>
                <w:sz w:val="52"/>
                <w:szCs w:val="52"/>
              </w:rPr>
              <w:t>INFORME DE SOSTENIBILIDAD</w:t>
            </w:r>
          </w:p>
          <w:p w14:paraId="574BA5E9" w14:textId="4FD67260" w:rsidR="00417115" w:rsidRPr="00325A77" w:rsidRDefault="00000000">
            <w:pPr>
              <w:spacing w:after="60"/>
              <w:jc w:val="center"/>
              <w:rPr>
                <w:rFonts w:ascii="Cambria" w:hAnsi="Cambria"/>
              </w:rPr>
            </w:pPr>
            <w:r w:rsidRPr="00325A77">
              <w:rPr>
                <w:rFonts w:ascii="Cambria" w:hAnsi="Cambria"/>
                <w:b/>
                <w:bCs/>
                <w:color w:val="FFFFFF"/>
                <w:sz w:val="34"/>
                <w:szCs w:val="34"/>
              </w:rPr>
              <w:t xml:space="preserve">para </w:t>
            </w:r>
            <w:r w:rsidR="00325A77" w:rsidRPr="00325A77">
              <w:rPr>
                <w:rFonts w:ascii="Cambria" w:hAnsi="Cambria"/>
                <w:b/>
                <w:bCs/>
                <w:color w:val="FFFFFF"/>
                <w:sz w:val="34"/>
                <w:szCs w:val="34"/>
              </w:rPr>
              <w:t>una terminal terrestre</w:t>
            </w:r>
          </w:p>
          <w:p w14:paraId="0C28AEBE" w14:textId="77777777" w:rsidR="00417115" w:rsidRPr="00325A77" w:rsidRDefault="00417115">
            <w:pPr>
              <w:pBdr>
                <w:top w:val="single" w:sz="6" w:space="12" w:color="4A8FC2"/>
              </w:pBdr>
              <w:spacing w:before="200"/>
              <w:jc w:val="center"/>
              <w:rPr>
                <w:rFonts w:ascii="Cambria" w:hAnsi="Cambria"/>
              </w:rPr>
            </w:pPr>
          </w:p>
          <w:p w14:paraId="0FC4735C" w14:textId="77777777" w:rsidR="00417115" w:rsidRPr="00325A77" w:rsidRDefault="00000000">
            <w:pPr>
              <w:spacing w:before="200" w:after="40"/>
              <w:jc w:val="center"/>
              <w:rPr>
                <w:rFonts w:ascii="Cambria" w:hAnsi="Cambria"/>
              </w:rPr>
            </w:pPr>
            <w:r w:rsidRPr="00325A77">
              <w:rPr>
                <w:rFonts w:ascii="Cambria" w:hAnsi="Cambria"/>
                <w:color w:val="CFE2F3"/>
              </w:rPr>
              <w:t>Aplicación práctica de las Normas NIIF de Sostenibilidad</w:t>
            </w:r>
          </w:p>
          <w:p w14:paraId="7E8A5D12" w14:textId="77777777" w:rsidR="00417115" w:rsidRPr="00325A77" w:rsidRDefault="00000000">
            <w:pPr>
              <w:jc w:val="center"/>
              <w:rPr>
                <w:rFonts w:ascii="Cambria" w:hAnsi="Cambria"/>
              </w:rPr>
            </w:pPr>
            <w:r w:rsidRPr="00325A77">
              <w:rPr>
                <w:rFonts w:ascii="Cambria" w:hAnsi="Cambria"/>
                <w:i/>
                <w:iCs/>
                <w:color w:val="CFE2F3"/>
              </w:rPr>
              <w:t>NIIF S1 (Información general) · NIIF S2 (Clima)</w:t>
            </w:r>
          </w:p>
        </w:tc>
      </w:tr>
    </w:tbl>
    <w:p w14:paraId="2789A5E0" w14:textId="77777777" w:rsidR="00417115" w:rsidRPr="00325A77" w:rsidRDefault="00417115">
      <w:pPr>
        <w:spacing w:after="500"/>
        <w:rPr>
          <w:rFonts w:ascii="Cambria" w:hAnsi="Cambria"/>
        </w:rPr>
      </w:pPr>
    </w:p>
    <w:p w14:paraId="66AD42F6" w14:textId="284A2A7E" w:rsidR="00417115" w:rsidRPr="00325A77" w:rsidRDefault="00000000">
      <w:pPr>
        <w:jc w:val="center"/>
        <w:rPr>
          <w:rFonts w:ascii="Cambria" w:hAnsi="Cambria"/>
        </w:rPr>
      </w:pPr>
      <w:r w:rsidRPr="00325A77">
        <w:rPr>
          <w:rFonts w:ascii="Cambria" w:hAnsi="Cambria"/>
          <w:i/>
          <w:iCs/>
          <w:color w:val="5B6B7A"/>
          <w:sz w:val="20"/>
          <w:szCs w:val="20"/>
        </w:rPr>
        <w:t xml:space="preserve">Caso aplicado: </w:t>
      </w:r>
      <w:r w:rsidR="00BC5467">
        <w:rPr>
          <w:rFonts w:ascii="Cambria" w:hAnsi="Cambria"/>
          <w:i/>
          <w:iCs/>
          <w:color w:val="5B6B7A"/>
          <w:sz w:val="20"/>
          <w:szCs w:val="20"/>
        </w:rPr>
        <w:t>A</w:t>
      </w:r>
      <w:r w:rsidRPr="00325A77">
        <w:rPr>
          <w:rFonts w:ascii="Cambria" w:hAnsi="Cambria"/>
          <w:i/>
          <w:iCs/>
          <w:color w:val="5B6B7A"/>
          <w:sz w:val="20"/>
          <w:szCs w:val="20"/>
        </w:rPr>
        <w:t>dministración de infraestructura de transporte terrestre</w:t>
      </w:r>
    </w:p>
    <w:p w14:paraId="1FEEC73D" w14:textId="77777777" w:rsidR="00417115" w:rsidRPr="00325A77" w:rsidRDefault="00000000">
      <w:pPr>
        <w:jc w:val="center"/>
        <w:rPr>
          <w:rFonts w:ascii="Cambria" w:hAnsi="Cambria"/>
        </w:rPr>
      </w:pPr>
      <w:r w:rsidRPr="00325A77">
        <w:rPr>
          <w:rFonts w:ascii="Cambria" w:hAnsi="Cambria"/>
          <w:color w:val="5B6B7A"/>
          <w:sz w:val="18"/>
          <w:szCs w:val="18"/>
        </w:rPr>
        <w:t>Documento de referencia elaborado tomando como base las Normas NIIF S1 y NIIF S2 (ISSB)</w:t>
      </w:r>
    </w:p>
    <w:p w14:paraId="265E29E8" w14:textId="77777777" w:rsidR="00417115" w:rsidRPr="00325A77" w:rsidRDefault="00000000">
      <w:pPr>
        <w:rPr>
          <w:rFonts w:ascii="Cambria" w:hAnsi="Cambria"/>
        </w:rPr>
      </w:pPr>
      <w:r w:rsidRPr="00325A77">
        <w:rPr>
          <w:rFonts w:ascii="Cambria" w:hAnsi="Cambria"/>
        </w:rPr>
        <w:br w:type="page"/>
      </w:r>
    </w:p>
    <w:p w14:paraId="057A6C59" w14:textId="77777777" w:rsidR="00417115" w:rsidRPr="00325A77" w:rsidRDefault="00000000">
      <w:pPr>
        <w:spacing w:after="260"/>
        <w:rPr>
          <w:rFonts w:ascii="Cambria" w:hAnsi="Cambria"/>
        </w:rPr>
      </w:pPr>
      <w:r w:rsidRPr="00325A77">
        <w:rPr>
          <w:rFonts w:ascii="Cambria" w:hAnsi="Cambria"/>
          <w:b/>
          <w:bCs/>
          <w:color w:val="13315C"/>
          <w:sz w:val="34"/>
          <w:szCs w:val="34"/>
        </w:rPr>
        <w:lastRenderedPageBreak/>
        <w:t>Índice</w:t>
      </w:r>
    </w:p>
    <w:sdt>
      <w:sdtPr>
        <w:rPr>
          <w:rFonts w:ascii="Calibri" w:eastAsia="Calibri" w:hAnsi="Calibri" w:cs="Calibri"/>
          <w:color w:val="24303D"/>
          <w:sz w:val="22"/>
          <w:szCs w:val="22"/>
          <w:lang w:val="es-ES"/>
        </w:rPr>
        <w:id w:val="356310261"/>
        <w:docPartObj>
          <w:docPartGallery w:val="Table of Contents"/>
          <w:docPartUnique/>
        </w:docPartObj>
      </w:sdtPr>
      <w:sdtEndPr>
        <w:rPr>
          <w:b/>
          <w:bCs/>
        </w:rPr>
      </w:sdtEndPr>
      <w:sdtContent>
        <w:p w14:paraId="5307E8C2" w14:textId="079B4816" w:rsidR="00BC5467" w:rsidRDefault="00BC5467">
          <w:pPr>
            <w:pStyle w:val="TtuloTDC"/>
          </w:pPr>
        </w:p>
        <w:p w14:paraId="2BE89F21" w14:textId="47287F1A"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5354044" w:history="1">
            <w:r w:rsidRPr="00BC5467">
              <w:rPr>
                <w:rStyle w:val="Hipervnculo"/>
                <w:rFonts w:ascii="Cambria" w:hAnsi="Cambria"/>
                <w:b/>
                <w:bCs/>
                <w:noProof/>
              </w:rPr>
              <w:t>Cómo usar esta guía</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_Toc235354044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3</w:t>
            </w:r>
            <w:r w:rsidRPr="00BC5467">
              <w:rPr>
                <w:rFonts w:ascii="Cambria" w:hAnsi="Cambria"/>
                <w:noProof/>
                <w:webHidden/>
              </w:rPr>
              <w:fldChar w:fldCharType="end"/>
            </w:r>
          </w:hyperlink>
        </w:p>
        <w:p w14:paraId="162D76A1" w14:textId="72945680"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45" w:history="1">
            <w:r w:rsidRPr="00BC5467">
              <w:rPr>
                <w:rStyle w:val="Hipervnculo"/>
                <w:rFonts w:ascii="Cambria" w:hAnsi="Cambria"/>
                <w:b/>
                <w:bCs/>
                <w:noProof/>
              </w:rPr>
              <w:t>0. Alcance y carácter de aplicación</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_Toc235354045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3</w:t>
            </w:r>
            <w:r w:rsidRPr="00BC5467">
              <w:rPr>
                <w:rFonts w:ascii="Cambria" w:hAnsi="Cambria"/>
                <w:noProof/>
                <w:webHidden/>
              </w:rPr>
              <w:fldChar w:fldCharType="end"/>
            </w:r>
          </w:hyperlink>
        </w:p>
        <w:p w14:paraId="692CB675" w14:textId="5C6937C3"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46" w:history="1">
            <w:r w:rsidRPr="00BC5467">
              <w:rPr>
                <w:rStyle w:val="Hipervnculo"/>
                <w:rFonts w:ascii="Cambria" w:hAnsi="Cambria"/>
                <w:b/>
                <w:bCs/>
                <w:noProof/>
              </w:rPr>
              <w:t>1. Gobernanza</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_Toc235354046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4</w:t>
            </w:r>
            <w:r w:rsidRPr="00BC5467">
              <w:rPr>
                <w:rFonts w:ascii="Cambria" w:hAnsi="Cambria"/>
                <w:noProof/>
                <w:webHidden/>
              </w:rPr>
              <w:fldChar w:fldCharType="end"/>
            </w:r>
          </w:hyperlink>
        </w:p>
        <w:p w14:paraId="73609AA4" w14:textId="008B98C5"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47" w:history="1">
            <w:r w:rsidRPr="00BC5467">
              <w:rPr>
                <w:rStyle w:val="Hipervnculo"/>
                <w:rFonts w:ascii="Cambria" w:hAnsi="Cambria"/>
                <w:b/>
                <w:bCs/>
                <w:noProof/>
              </w:rPr>
              <w:t>2. Estrategia</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_Toc235354047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5</w:t>
            </w:r>
            <w:r w:rsidRPr="00BC5467">
              <w:rPr>
                <w:rFonts w:ascii="Cambria" w:hAnsi="Cambria"/>
                <w:noProof/>
                <w:webHidden/>
              </w:rPr>
              <w:fldChar w:fldCharType="end"/>
            </w:r>
          </w:hyperlink>
        </w:p>
        <w:p w14:paraId="5C19743F" w14:textId="23965A32"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48" w:history="1">
            <w:r w:rsidRPr="00BC5467">
              <w:rPr>
                <w:rStyle w:val="Hipervnculo"/>
                <w:rFonts w:ascii="Cambria" w:hAnsi="Cambria"/>
                <w:b/>
                <w:bCs/>
                <w:noProof/>
              </w:rPr>
              <w:t>2.1 Riesgos y oportunidades de sostenibilidad y clima</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_Toc235354048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5</w:t>
            </w:r>
            <w:r w:rsidRPr="00BC5467">
              <w:rPr>
                <w:rFonts w:ascii="Cambria" w:hAnsi="Cambria"/>
                <w:noProof/>
                <w:webHidden/>
              </w:rPr>
              <w:fldChar w:fldCharType="end"/>
            </w:r>
          </w:hyperlink>
        </w:p>
        <w:p w14:paraId="578D79AA" w14:textId="0B9F7763"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49" w:history="1">
            <w:r w:rsidRPr="00BC5467">
              <w:rPr>
                <w:rStyle w:val="Hipervnculo"/>
                <w:rFonts w:ascii="Cambria" w:hAnsi="Cambria"/>
                <w:b/>
                <w:bCs/>
                <w:noProof/>
              </w:rPr>
              <w:t>2.2 Modelo de negocio y cadena de valor</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_Toc235354049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5</w:t>
            </w:r>
            <w:r w:rsidRPr="00BC5467">
              <w:rPr>
                <w:rFonts w:ascii="Cambria" w:hAnsi="Cambria"/>
                <w:noProof/>
                <w:webHidden/>
              </w:rPr>
              <w:fldChar w:fldCharType="end"/>
            </w:r>
          </w:hyperlink>
        </w:p>
        <w:p w14:paraId="6981545C" w14:textId="2CAF69CE"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50" w:history="1">
            <w:r w:rsidRPr="00BC5467">
              <w:rPr>
                <w:rStyle w:val="Hipervnculo"/>
                <w:rFonts w:ascii="Cambria" w:hAnsi="Cambria"/>
                <w:b/>
                <w:bCs/>
                <w:noProof/>
              </w:rPr>
              <w:t>2.3 Estrategia y toma de decisiones</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_Toc235354050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5</w:t>
            </w:r>
            <w:r w:rsidRPr="00BC5467">
              <w:rPr>
                <w:rFonts w:ascii="Cambria" w:hAnsi="Cambria"/>
                <w:noProof/>
                <w:webHidden/>
              </w:rPr>
              <w:fldChar w:fldCharType="end"/>
            </w:r>
          </w:hyperlink>
        </w:p>
        <w:p w14:paraId="218E32F4" w14:textId="61B728A0"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51" w:history="1">
            <w:r w:rsidRPr="00BC5467">
              <w:rPr>
                <w:rStyle w:val="Hipervnculo"/>
                <w:rFonts w:ascii="Cambria" w:hAnsi="Cambria"/>
                <w:b/>
                <w:bCs/>
                <w:noProof/>
              </w:rPr>
              <w:t>2.4 Efectos financieros actuales y previstos</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_Toc235354051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6</w:t>
            </w:r>
            <w:r w:rsidRPr="00BC5467">
              <w:rPr>
                <w:rFonts w:ascii="Cambria" w:hAnsi="Cambria"/>
                <w:noProof/>
                <w:webHidden/>
              </w:rPr>
              <w:fldChar w:fldCharType="end"/>
            </w:r>
          </w:hyperlink>
        </w:p>
        <w:p w14:paraId="674572D6" w14:textId="3B098412"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52" w:history="1">
            <w:r w:rsidRPr="00BC5467">
              <w:rPr>
                <w:rStyle w:val="Hipervnculo"/>
                <w:rFonts w:ascii="Cambria" w:hAnsi="Cambria"/>
                <w:b/>
                <w:bCs/>
                <w:noProof/>
              </w:rPr>
              <w:t>2.5 Resiliencia climática</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_Toc235354052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6</w:t>
            </w:r>
            <w:r w:rsidRPr="00BC5467">
              <w:rPr>
                <w:rFonts w:ascii="Cambria" w:hAnsi="Cambria"/>
                <w:noProof/>
                <w:webHidden/>
              </w:rPr>
              <w:fldChar w:fldCharType="end"/>
            </w:r>
          </w:hyperlink>
        </w:p>
        <w:p w14:paraId="6E535E6C" w14:textId="1C39521E"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53" w:history="1">
            <w:r w:rsidRPr="00BC5467">
              <w:rPr>
                <w:rStyle w:val="Hipervnculo"/>
                <w:rFonts w:ascii="Cambria" w:hAnsi="Cambria"/>
                <w:b/>
                <w:bCs/>
                <w:noProof/>
              </w:rPr>
              <w:t>3. Gestión del riesgo</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_Toc235354053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6</w:t>
            </w:r>
            <w:r w:rsidRPr="00BC5467">
              <w:rPr>
                <w:rFonts w:ascii="Cambria" w:hAnsi="Cambria"/>
                <w:noProof/>
                <w:webHidden/>
              </w:rPr>
              <w:fldChar w:fldCharType="end"/>
            </w:r>
          </w:hyperlink>
        </w:p>
        <w:p w14:paraId="0F5A378B" w14:textId="2A459307"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54" w:history="1">
            <w:r w:rsidRPr="00BC5467">
              <w:rPr>
                <w:rStyle w:val="Hipervnculo"/>
                <w:rFonts w:ascii="Cambria" w:hAnsi="Cambria"/>
                <w:b/>
                <w:bCs/>
                <w:noProof/>
              </w:rPr>
              <w:t>4. Métricas y objetivos</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_Toc235354054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7</w:t>
            </w:r>
            <w:r w:rsidRPr="00BC5467">
              <w:rPr>
                <w:rFonts w:ascii="Cambria" w:hAnsi="Cambria"/>
                <w:noProof/>
                <w:webHidden/>
              </w:rPr>
              <w:fldChar w:fldCharType="end"/>
            </w:r>
          </w:hyperlink>
        </w:p>
        <w:p w14:paraId="13118EF7" w14:textId="35B670DA"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55" w:history="1">
            <w:r w:rsidRPr="00BC5467">
              <w:rPr>
                <w:rStyle w:val="Hipervnculo"/>
                <w:rFonts w:ascii="Cambria" w:hAnsi="Cambria"/>
                <w:b/>
                <w:bCs/>
                <w:noProof/>
              </w:rPr>
              <w:t>4.1 Métricas</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_Toc235354055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7</w:t>
            </w:r>
            <w:r w:rsidRPr="00BC5467">
              <w:rPr>
                <w:rFonts w:ascii="Cambria" w:hAnsi="Cambria"/>
                <w:noProof/>
                <w:webHidden/>
              </w:rPr>
              <w:fldChar w:fldCharType="end"/>
            </w:r>
          </w:hyperlink>
        </w:p>
        <w:p w14:paraId="23A64770" w14:textId="255B18F3" w:rsidR="00BC5467" w:rsidRPr="00BC5467" w:rsidRDefault="00BC5467">
          <w:pPr>
            <w:pStyle w:val="TDC2"/>
            <w:tabs>
              <w:tab w:val="right" w:leader="dot" w:pos="10030"/>
            </w:tabs>
            <w:rPr>
              <w:rFonts w:ascii="Cambria" w:eastAsiaTheme="minorEastAsia" w:hAnsi="Cambria" w:cstheme="minorBidi"/>
              <w:noProof/>
              <w:color w:val="auto"/>
              <w:kern w:val="2"/>
              <w:sz w:val="24"/>
              <w:szCs w:val="24"/>
              <w14:ligatures w14:val="standardContextual"/>
            </w:rPr>
          </w:pPr>
          <w:hyperlink w:anchor="_Toc235354056" w:history="1">
            <w:r w:rsidRPr="00BC5467">
              <w:rPr>
                <w:rStyle w:val="Hipervnculo"/>
                <w:rFonts w:ascii="Cambria" w:hAnsi="Cambria"/>
                <w:b/>
                <w:bCs/>
                <w:noProof/>
              </w:rPr>
              <w:t>4.3 Objetivos</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_Toc235354056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8</w:t>
            </w:r>
            <w:r w:rsidRPr="00BC5467">
              <w:rPr>
                <w:rFonts w:ascii="Cambria" w:hAnsi="Cambria"/>
                <w:noProof/>
                <w:webHidden/>
              </w:rPr>
              <w:fldChar w:fldCharType="end"/>
            </w:r>
          </w:hyperlink>
        </w:p>
        <w:p w14:paraId="3D0F65E2" w14:textId="45AF4637"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57" w:history="1">
            <w:r w:rsidRPr="00BC5467">
              <w:rPr>
                <w:rStyle w:val="Hipervnculo"/>
                <w:rFonts w:ascii="Cambria" w:hAnsi="Cambria"/>
                <w:b/>
                <w:bCs/>
                <w:noProof/>
              </w:rPr>
              <w:t>5. Juicios e incertidumbre de medición</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_Toc235354057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9</w:t>
            </w:r>
            <w:r w:rsidRPr="00BC5467">
              <w:rPr>
                <w:rFonts w:ascii="Cambria" w:hAnsi="Cambria"/>
                <w:noProof/>
                <w:webHidden/>
              </w:rPr>
              <w:fldChar w:fldCharType="end"/>
            </w:r>
          </w:hyperlink>
        </w:p>
        <w:p w14:paraId="12C472E9" w14:textId="681EB6E5" w:rsidR="00BC5467" w:rsidRPr="00BC5467" w:rsidRDefault="00BC5467">
          <w:pPr>
            <w:pStyle w:val="TDC1"/>
            <w:tabs>
              <w:tab w:val="right" w:leader="dot" w:pos="10030"/>
            </w:tabs>
            <w:rPr>
              <w:rFonts w:ascii="Cambria" w:eastAsiaTheme="minorEastAsia" w:hAnsi="Cambria" w:cstheme="minorBidi"/>
              <w:noProof/>
              <w:color w:val="auto"/>
              <w:kern w:val="2"/>
              <w:sz w:val="24"/>
              <w:szCs w:val="24"/>
              <w14:ligatures w14:val="standardContextual"/>
            </w:rPr>
          </w:pPr>
          <w:hyperlink w:anchor="_Toc235354058" w:history="1">
            <w:r w:rsidRPr="00BC5467">
              <w:rPr>
                <w:rStyle w:val="Hipervnculo"/>
                <w:rFonts w:ascii="Cambria" w:hAnsi="Cambria"/>
                <w:b/>
                <w:bCs/>
                <w:noProof/>
              </w:rPr>
              <w:t>6. Requerimientos generales de presentación</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_Toc235354058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9</w:t>
            </w:r>
            <w:r w:rsidRPr="00BC5467">
              <w:rPr>
                <w:rFonts w:ascii="Cambria" w:hAnsi="Cambria"/>
                <w:noProof/>
                <w:webHidden/>
              </w:rPr>
              <w:fldChar w:fldCharType="end"/>
            </w:r>
          </w:hyperlink>
        </w:p>
        <w:p w14:paraId="15790606" w14:textId="332CFCA6" w:rsidR="00BC5467" w:rsidRDefault="00BC5467">
          <w:pPr>
            <w:pStyle w:val="TDC1"/>
            <w:tabs>
              <w:tab w:val="right" w:leader="dot" w:pos="10030"/>
            </w:tabs>
            <w:rPr>
              <w:rFonts w:asciiTheme="minorHAnsi" w:eastAsiaTheme="minorEastAsia" w:hAnsiTheme="minorHAnsi" w:cstheme="minorBidi"/>
              <w:noProof/>
              <w:color w:val="auto"/>
              <w:kern w:val="2"/>
              <w:sz w:val="24"/>
              <w:szCs w:val="24"/>
              <w14:ligatures w14:val="standardContextual"/>
            </w:rPr>
          </w:pPr>
          <w:hyperlink w:anchor="_Toc235354059" w:history="1">
            <w:r w:rsidRPr="00BC5467">
              <w:rPr>
                <w:rStyle w:val="Hipervnculo"/>
                <w:rFonts w:ascii="Cambria" w:hAnsi="Cambria"/>
                <w:b/>
                <w:bCs/>
                <w:noProof/>
              </w:rPr>
              <w:t>7. Disposiciones de transición</w:t>
            </w:r>
            <w:r w:rsidRPr="00BC5467">
              <w:rPr>
                <w:rFonts w:ascii="Cambria" w:hAnsi="Cambria"/>
                <w:noProof/>
                <w:webHidden/>
              </w:rPr>
              <w:tab/>
            </w:r>
            <w:r w:rsidRPr="00BC5467">
              <w:rPr>
                <w:rFonts w:ascii="Cambria" w:hAnsi="Cambria"/>
                <w:noProof/>
                <w:webHidden/>
              </w:rPr>
              <w:fldChar w:fldCharType="begin"/>
            </w:r>
            <w:r w:rsidRPr="00BC5467">
              <w:rPr>
                <w:rFonts w:ascii="Cambria" w:hAnsi="Cambria"/>
                <w:noProof/>
                <w:webHidden/>
              </w:rPr>
              <w:instrText xml:space="preserve"> PAGEREF _Toc235354059 \h </w:instrText>
            </w:r>
            <w:r w:rsidRPr="00BC5467">
              <w:rPr>
                <w:rFonts w:ascii="Cambria" w:hAnsi="Cambria"/>
                <w:noProof/>
                <w:webHidden/>
              </w:rPr>
            </w:r>
            <w:r w:rsidRPr="00BC5467">
              <w:rPr>
                <w:rFonts w:ascii="Cambria" w:hAnsi="Cambria"/>
                <w:noProof/>
                <w:webHidden/>
              </w:rPr>
              <w:fldChar w:fldCharType="separate"/>
            </w:r>
            <w:r w:rsidRPr="00BC5467">
              <w:rPr>
                <w:rFonts w:ascii="Cambria" w:hAnsi="Cambria"/>
                <w:noProof/>
                <w:webHidden/>
              </w:rPr>
              <w:t>10</w:t>
            </w:r>
            <w:r w:rsidRPr="00BC5467">
              <w:rPr>
                <w:rFonts w:ascii="Cambria" w:hAnsi="Cambria"/>
                <w:noProof/>
                <w:webHidden/>
              </w:rPr>
              <w:fldChar w:fldCharType="end"/>
            </w:r>
          </w:hyperlink>
        </w:p>
        <w:p w14:paraId="7179471F" w14:textId="5FE5295F" w:rsidR="00BC5467" w:rsidRDefault="00BC5467">
          <w:r>
            <w:rPr>
              <w:b/>
              <w:bCs/>
              <w:lang w:val="es-ES"/>
            </w:rPr>
            <w:fldChar w:fldCharType="end"/>
          </w:r>
        </w:p>
      </w:sdtContent>
    </w:sdt>
    <w:p w14:paraId="2DEA6BAD" w14:textId="08F20BE7" w:rsidR="00417115" w:rsidRPr="00325A77" w:rsidRDefault="00417115">
      <w:pPr>
        <w:rPr>
          <w:rFonts w:ascii="Cambria" w:hAnsi="Cambria"/>
        </w:rPr>
      </w:pPr>
    </w:p>
    <w:p w14:paraId="153185EC" w14:textId="7FE2C0C1" w:rsidR="00417115" w:rsidRPr="00325A77" w:rsidRDefault="00000000">
      <w:pPr>
        <w:rPr>
          <w:rFonts w:ascii="Cambria" w:hAnsi="Cambria"/>
        </w:rPr>
      </w:pPr>
      <w:r w:rsidRPr="00325A77">
        <w:rPr>
          <w:rFonts w:ascii="Cambria" w:hAnsi="Cambria"/>
        </w:rPr>
        <w:br w:type="page"/>
      </w:r>
    </w:p>
    <w:p w14:paraId="27EB5972" w14:textId="77777777" w:rsidR="00417115" w:rsidRPr="00325A77" w:rsidRDefault="00000000">
      <w:pPr>
        <w:pStyle w:val="Ttulo2"/>
        <w:spacing w:before="320" w:after="140"/>
        <w:rPr>
          <w:rFonts w:ascii="Cambria" w:hAnsi="Cambria"/>
        </w:rPr>
      </w:pPr>
      <w:bookmarkStart w:id="0" w:name="_Toc235311625"/>
      <w:bookmarkStart w:id="1" w:name="_Toc235354044"/>
      <w:r w:rsidRPr="00325A77">
        <w:rPr>
          <w:rFonts w:ascii="Cambria" w:hAnsi="Cambria"/>
          <w:b/>
          <w:bCs/>
          <w:color w:val="1F5C99"/>
        </w:rPr>
        <w:lastRenderedPageBreak/>
        <w:t>Cómo usar esta guía</w:t>
      </w:r>
      <w:bookmarkEnd w:id="0"/>
      <w:bookmarkEnd w:id="1"/>
    </w:p>
    <w:p w14:paraId="5DB4DE1C" w14:textId="77777777" w:rsidR="00BC5467" w:rsidRDefault="00000000" w:rsidP="00BC5467">
      <w:pPr>
        <w:spacing w:after="160" w:line="288" w:lineRule="auto"/>
        <w:rPr>
          <w:rFonts w:ascii="Cambria" w:hAnsi="Cambria"/>
        </w:rPr>
      </w:pPr>
      <w:r w:rsidRPr="00325A77">
        <w:rPr>
          <w:rFonts w:ascii="Cambria" w:hAnsi="Cambria"/>
        </w:rPr>
        <w:t xml:space="preserve">Este documento presenta, punto por punto, qué exige cada Norma NIIF de Sostenibilidad (NIIF S1 y NIIF S2) y cómo se traduce en la práctica para una entidad que administra una terminal terrestre. </w:t>
      </w:r>
    </w:p>
    <w:p w14:paraId="47549EBC" w14:textId="05670EF1" w:rsidR="00BC5467" w:rsidRPr="00BC5467" w:rsidRDefault="00BC5467" w:rsidP="00BC5467">
      <w:pPr>
        <w:spacing w:after="160" w:line="288" w:lineRule="auto"/>
        <w:rPr>
          <w:rFonts w:ascii="Cambria" w:hAnsi="Cambria"/>
          <w:b/>
          <w:bCs/>
          <w:color w:val="1F5C99"/>
        </w:rPr>
      </w:pPr>
      <w:r w:rsidRPr="00BC5467">
        <w:rPr>
          <w:rFonts w:ascii="Cambria" w:hAnsi="Cambria"/>
          <w:b/>
          <w:bCs/>
          <w:color w:val="1F5C99"/>
        </w:rPr>
        <w:t>Cómo leer los recuadros de esta guía</w:t>
      </w:r>
    </w:p>
    <w:p w14:paraId="145A7847" w14:textId="77777777" w:rsidR="00BC5467" w:rsidRPr="00325A77" w:rsidRDefault="00BC5467" w:rsidP="00BC5467">
      <w:pPr>
        <w:spacing w:after="160" w:line="288" w:lineRule="auto"/>
        <w:rPr>
          <w:rFonts w:ascii="Cambria" w:hAnsi="Cambria"/>
        </w:rPr>
      </w:pPr>
      <w:r w:rsidRPr="00325A77">
        <w:rPr>
          <w:rFonts w:ascii="Cambria" w:hAnsi="Cambria"/>
        </w:rPr>
        <w:t>Guía visual rápida de los elementos usados a lo largo del documento:</w:t>
      </w:r>
    </w:p>
    <w:tbl>
      <w:tblPr>
        <w:tblW w:w="5000" w:type="pct"/>
        <w:tblInd w:w="-40" w:type="dxa"/>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BC5467" w:rsidRPr="00325A77" w14:paraId="38554DA4" w14:textId="77777777" w:rsidTr="00CE73E1">
        <w:tc>
          <w:tcPr>
            <w:tcW w:w="0" w:type="auto"/>
            <w:tcBorders>
              <w:bottom w:val="nil"/>
            </w:tcBorders>
            <w:shd w:val="clear" w:color="auto" w:fill="EAF2FA"/>
            <w:tcMar>
              <w:top w:w="160" w:type="dxa"/>
              <w:left w:w="260" w:type="dxa"/>
              <w:bottom w:w="160" w:type="dxa"/>
              <w:right w:w="260" w:type="dxa"/>
            </w:tcMar>
          </w:tcPr>
          <w:p w14:paraId="6DC4F76F" w14:textId="77777777" w:rsidR="00BC5467" w:rsidRPr="00325A77" w:rsidRDefault="00BC5467" w:rsidP="002C7AD7">
            <w:pPr>
              <w:spacing w:line="276" w:lineRule="auto"/>
              <w:rPr>
                <w:rFonts w:ascii="Cambria" w:hAnsi="Cambria"/>
              </w:rPr>
            </w:pPr>
            <w:r w:rsidRPr="00325A77">
              <w:rPr>
                <w:rFonts w:ascii="Cambria" w:hAnsi="Cambria"/>
                <w:i/>
                <w:iCs/>
                <w:sz w:val="21"/>
                <w:szCs w:val="21"/>
              </w:rPr>
              <w:t>Recuadro azul: explicación en lenguaje simple de un requerimiento técnico. Úselo como primera lectura antes de revisar la referencia normativa.</w:t>
            </w:r>
          </w:p>
        </w:tc>
      </w:tr>
      <w:tr w:rsidR="00BC5467" w:rsidRPr="00325A77" w14:paraId="2F53D5EC"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nil"/>
              <w:right w:val="single" w:sz="4" w:space="0" w:color="7F7F7F" w:themeColor="text1" w:themeTint="80"/>
            </w:tcBorders>
            <w:shd w:val="clear" w:color="auto" w:fill="747474" w:themeFill="background2" w:themeFillShade="80"/>
            <w:tcMar>
              <w:top w:w="100" w:type="dxa"/>
              <w:left w:w="220" w:type="dxa"/>
              <w:bottom w:w="100" w:type="dxa"/>
              <w:right w:w="220" w:type="dxa"/>
            </w:tcMar>
          </w:tcPr>
          <w:p w14:paraId="3B907135" w14:textId="217E5C07" w:rsidR="00BC5467" w:rsidRPr="00325A77" w:rsidRDefault="00CE73E1" w:rsidP="002C7AD7">
            <w:pPr>
              <w:rPr>
                <w:rFonts w:ascii="Cambria" w:hAnsi="Cambria"/>
              </w:rPr>
            </w:pPr>
            <w:r w:rsidRPr="00325A77">
              <w:rPr>
                <w:rFonts w:ascii="Cambria" w:hAnsi="Cambria"/>
                <w:b/>
                <w:bCs/>
                <w:color w:val="FFFFFF"/>
                <w:sz w:val="19"/>
                <w:szCs w:val="19"/>
              </w:rPr>
              <w:t xml:space="preserve">Recuadro </w:t>
            </w:r>
            <w:r>
              <w:rPr>
                <w:rFonts w:ascii="Cambria" w:hAnsi="Cambria"/>
                <w:b/>
                <w:bCs/>
                <w:color w:val="FFFFFF"/>
                <w:sz w:val="19"/>
                <w:szCs w:val="19"/>
              </w:rPr>
              <w:t>Gris</w:t>
            </w:r>
          </w:p>
        </w:tc>
      </w:tr>
      <w:tr w:rsidR="00BC5467" w:rsidRPr="00325A77" w14:paraId="1920F0E4"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Mar>
              <w:top w:w="160" w:type="dxa"/>
              <w:left w:w="260" w:type="dxa"/>
              <w:bottom w:w="160" w:type="dxa"/>
              <w:right w:w="260" w:type="dxa"/>
            </w:tcMar>
          </w:tcPr>
          <w:p w14:paraId="3E428624" w14:textId="77777777" w:rsidR="00BC5467" w:rsidRPr="00325A77" w:rsidRDefault="00BC5467" w:rsidP="002C7AD7">
            <w:pPr>
              <w:spacing w:line="276" w:lineRule="auto"/>
              <w:rPr>
                <w:rFonts w:ascii="Cambria" w:hAnsi="Cambria"/>
              </w:rPr>
            </w:pPr>
            <w:r w:rsidRPr="00325A77">
              <w:rPr>
                <w:rFonts w:ascii="Cambria" w:hAnsi="Cambria"/>
                <w:sz w:val="21"/>
                <w:szCs w:val="21"/>
              </w:rPr>
              <w:t>Regla normativa de cumplimiento obligatorio: define con precisión qué debe contener una divulgación (por ejemplo, un plan de transición o una meta neta de emisiones).</w:t>
            </w:r>
          </w:p>
        </w:tc>
      </w:tr>
    </w:tbl>
    <w:p w14:paraId="1FC61E31" w14:textId="77777777" w:rsidR="00BC5467" w:rsidRPr="00325A77" w:rsidRDefault="00BC5467" w:rsidP="00BC5467">
      <w:pPr>
        <w:spacing w:after="160" w:line="288" w:lineRule="auto"/>
        <w:rPr>
          <w:rFonts w:ascii="Cambria" w:hAnsi="Cambria"/>
        </w:rPr>
      </w:pPr>
      <w:r w:rsidRPr="00325A77">
        <w:rPr>
          <w:rFonts w:ascii="Cambria" w:hAnsi="Cambria"/>
        </w:rPr>
        <w:t>Las referencias en cursiva gris junto a cada punto indican el párrafo exacto de NIIF S1 o NIIF S2 del cual proviene el requerimiento, para quien necesite consultar la fuente original.</w:t>
      </w:r>
    </w:p>
    <w:p w14:paraId="5B542D24" w14:textId="77777777" w:rsidR="00BC5467" w:rsidRPr="00325A77" w:rsidRDefault="00BC5467" w:rsidP="00BC5467">
      <w:pPr>
        <w:spacing w:after="160" w:line="288" w:lineRule="auto"/>
        <w:rPr>
          <w:rFonts w:ascii="Cambria" w:hAnsi="Cambria"/>
        </w:rPr>
      </w:pPr>
    </w:p>
    <w:p w14:paraId="12606813" w14:textId="77777777" w:rsidR="00325A77" w:rsidRPr="00325A77" w:rsidRDefault="00325A77">
      <w:pPr>
        <w:spacing w:after="80"/>
        <w:rPr>
          <w:rFonts w:ascii="Cambria" w:hAnsi="Cambria"/>
        </w:rPr>
      </w:pPr>
    </w:p>
    <w:p w14:paraId="12F0B19E" w14:textId="77777777" w:rsidR="00417115" w:rsidRPr="00325A77" w:rsidRDefault="00000000">
      <w:pPr>
        <w:pStyle w:val="Ttulo1"/>
        <w:pBdr>
          <w:bottom w:val="single" w:sz="8" w:space="6" w:color="1F5C99"/>
        </w:pBdr>
        <w:spacing w:before="480" w:after="200"/>
        <w:rPr>
          <w:rFonts w:ascii="Cambria" w:hAnsi="Cambria"/>
        </w:rPr>
      </w:pPr>
      <w:bookmarkStart w:id="2" w:name="_Toc235311626"/>
      <w:bookmarkStart w:id="3" w:name="_Toc235354045"/>
      <w:r w:rsidRPr="00325A77">
        <w:rPr>
          <w:rFonts w:ascii="Cambria" w:hAnsi="Cambria"/>
          <w:b/>
          <w:bCs/>
          <w:color w:val="13315C"/>
          <w:sz w:val="34"/>
          <w:szCs w:val="34"/>
        </w:rPr>
        <w:t>0. Alcance y carácter de aplicación</w:t>
      </w:r>
      <w:bookmarkEnd w:id="2"/>
      <w:bookmarkEnd w:id="3"/>
    </w:p>
    <w:p w14:paraId="36DAB272"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Las Normas NIIF S1/S2 no son de aplicación obligatoria salvo que exista un mandato regulatorio expreso; se adoptan como marco de mejores prácticas internacionales, y esto debe declararse explícitamente en el informe.</w:t>
      </w:r>
      <w:r w:rsidRPr="00325A77">
        <w:rPr>
          <w:rFonts w:ascii="Cambria" w:hAnsi="Cambria"/>
          <w:i/>
          <w:iCs/>
          <w:color w:val="5B6B7A"/>
          <w:sz w:val="18"/>
          <w:szCs w:val="18"/>
        </w:rPr>
        <w:t xml:space="preserve">  (NIIF S1 párr. 3, 8-9)</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918BD7E" w14:textId="77777777">
        <w:tc>
          <w:tcPr>
            <w:tcW w:w="0" w:type="auto"/>
            <w:shd w:val="clear" w:color="auto" w:fill="EAF2FA"/>
            <w:tcMar>
              <w:top w:w="160" w:type="dxa"/>
              <w:left w:w="260" w:type="dxa"/>
              <w:bottom w:w="160" w:type="dxa"/>
              <w:right w:w="260" w:type="dxa"/>
            </w:tcMar>
          </w:tcPr>
          <w:p w14:paraId="3ACCAD14" w14:textId="77777777" w:rsidR="00417115" w:rsidRPr="00325A77" w:rsidRDefault="00000000">
            <w:pPr>
              <w:spacing w:line="276" w:lineRule="auto"/>
              <w:rPr>
                <w:rFonts w:ascii="Cambria" w:hAnsi="Cambria"/>
              </w:rPr>
            </w:pPr>
            <w:r w:rsidRPr="00325A77">
              <w:rPr>
                <w:rFonts w:ascii="Cambria" w:hAnsi="Cambria"/>
                <w:i/>
                <w:iCs/>
                <w:sz w:val="21"/>
                <w:szCs w:val="21"/>
              </w:rPr>
              <w:t>Salvo que la ley del país exija reportar bajo NIIF S1/S2, ninguna entidad está legalmente obligada a hacerlo hoy. Se usa este marco porque es el estándar internacional de referencia, no porque exista una obligación legal. Por eso el informe debe decir algo como “este informe se elaboró tomando como referencia NIIF S1 y NIIF S2”, y evitar dar a entender que existe una obligación legal que no existe.</w:t>
            </w:r>
          </w:p>
        </w:tc>
      </w:tr>
    </w:tbl>
    <w:p w14:paraId="252A73D3"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Si el informe se presenta como “elaborado con base en NIIF S1/S2” sin declarar conformidad plena, debe evitarse la frase “de conformidad con las Normas NIIF de Sostenibilidad”, reservada para cumplimiento integral.</w:t>
      </w:r>
      <w:r w:rsidRPr="00325A77">
        <w:rPr>
          <w:rFonts w:ascii="Cambria" w:hAnsi="Cambria"/>
          <w:i/>
          <w:iCs/>
          <w:color w:val="5B6B7A"/>
          <w:sz w:val="18"/>
          <w:szCs w:val="18"/>
        </w:rPr>
        <w:t xml:space="preserve">  (NIIF S1 párr. 72)</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158673D5" w14:textId="77777777">
        <w:tc>
          <w:tcPr>
            <w:tcW w:w="0" w:type="auto"/>
            <w:shd w:val="clear" w:color="auto" w:fill="EAF2FA"/>
            <w:tcMar>
              <w:top w:w="160" w:type="dxa"/>
              <w:left w:w="260" w:type="dxa"/>
              <w:bottom w:w="160" w:type="dxa"/>
              <w:right w:w="260" w:type="dxa"/>
            </w:tcMar>
          </w:tcPr>
          <w:p w14:paraId="645E6CF2" w14:textId="77777777" w:rsidR="00417115" w:rsidRPr="00325A77" w:rsidRDefault="00000000">
            <w:pPr>
              <w:spacing w:line="276" w:lineRule="auto"/>
              <w:rPr>
                <w:rFonts w:ascii="Cambria" w:hAnsi="Cambria"/>
              </w:rPr>
            </w:pPr>
            <w:r w:rsidRPr="00325A77">
              <w:rPr>
                <w:rFonts w:ascii="Cambria" w:hAnsi="Cambria"/>
                <w:i/>
                <w:iCs/>
                <w:sz w:val="21"/>
                <w:szCs w:val="21"/>
              </w:rPr>
              <w:t>Hay una diferencia importante entre decir “nos inspiramos en la norma” y decir “cumplimos la norma”. La segunda frase es una declaración fuerte: significa que se cumplieron TODOS los requerimientos, sin excepción. Si la entidad aplica solo una parte (lo más probable, dado su tamaño), lo correcto es decir que el informe toma la norma como referencia, no que está en conformidad con ella. Esto evita que un lector externo cuestione la validez del informe por una afirmación que no se puede sostener.</w:t>
            </w:r>
          </w:p>
        </w:tc>
      </w:tr>
    </w:tbl>
    <w:p w14:paraId="66FC017B" w14:textId="77777777" w:rsidR="00BC5467" w:rsidRDefault="00BC5467">
      <w:pPr>
        <w:pStyle w:val="Ttulo1"/>
        <w:pBdr>
          <w:bottom w:val="single" w:sz="8" w:space="6" w:color="1F5C99"/>
        </w:pBdr>
        <w:spacing w:before="480" w:after="200"/>
        <w:rPr>
          <w:rFonts w:ascii="Cambria" w:hAnsi="Cambria"/>
          <w:b/>
          <w:bCs/>
          <w:color w:val="13315C"/>
          <w:sz w:val="34"/>
          <w:szCs w:val="34"/>
        </w:rPr>
      </w:pPr>
      <w:bookmarkStart w:id="4" w:name="_Toc235311627"/>
    </w:p>
    <w:p w14:paraId="621665C7" w14:textId="42F909DB" w:rsidR="00417115" w:rsidRPr="00325A77" w:rsidRDefault="00000000">
      <w:pPr>
        <w:pStyle w:val="Ttulo1"/>
        <w:pBdr>
          <w:bottom w:val="single" w:sz="8" w:space="6" w:color="1F5C99"/>
        </w:pBdr>
        <w:spacing w:before="480" w:after="200"/>
        <w:rPr>
          <w:rFonts w:ascii="Cambria" w:hAnsi="Cambria"/>
        </w:rPr>
      </w:pPr>
      <w:bookmarkStart w:id="5" w:name="_Toc235354046"/>
      <w:r w:rsidRPr="00325A77">
        <w:rPr>
          <w:rFonts w:ascii="Cambria" w:hAnsi="Cambria"/>
          <w:b/>
          <w:bCs/>
          <w:color w:val="13315C"/>
          <w:sz w:val="34"/>
          <w:szCs w:val="34"/>
        </w:rPr>
        <w:lastRenderedPageBreak/>
        <w:t>1. Gobernanza</w:t>
      </w:r>
      <w:bookmarkEnd w:id="4"/>
      <w:bookmarkEnd w:id="5"/>
    </w:p>
    <w:p w14:paraId="104B745D" w14:textId="77777777" w:rsidR="00417115" w:rsidRPr="00325A77" w:rsidRDefault="00000000">
      <w:pPr>
        <w:spacing w:after="160" w:line="288" w:lineRule="auto"/>
        <w:rPr>
          <w:rFonts w:ascii="Cambria" w:hAnsi="Cambria"/>
        </w:rPr>
      </w:pPr>
      <w:r w:rsidRPr="00325A77">
        <w:rPr>
          <w:rFonts w:ascii="Cambria" w:hAnsi="Cambria"/>
        </w:rPr>
        <w:t>Todos los literales de este pilar aplican directamente a la estructura de gobierno de una terminal terrestre (Directorio o Dirección Ejecutiva). En esencia, responde a una sola pregunta: ¿quién en la organización vigila los temas de sostenibilidad, y cómo lo hace?</w:t>
      </w:r>
    </w:p>
    <w:p w14:paraId="39BBCAEF"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Órgano de gobernanza responsable de supervisar riesgos y oportunidades de sostenibilidad.</w:t>
      </w:r>
      <w:r w:rsidRPr="00325A77">
        <w:rPr>
          <w:rFonts w:ascii="Cambria" w:hAnsi="Cambria"/>
          <w:i/>
          <w:iCs/>
          <w:color w:val="5B6B7A"/>
          <w:sz w:val="18"/>
          <w:szCs w:val="18"/>
        </w:rPr>
        <w:t xml:space="preserve">  (NIIF S1 párr. 27(a); NIIF S2 párr. 6(a))</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C58D1FF" w14:textId="77777777">
        <w:tc>
          <w:tcPr>
            <w:tcW w:w="0" w:type="auto"/>
            <w:shd w:val="clear" w:color="auto" w:fill="EAF2FA"/>
            <w:tcMar>
              <w:top w:w="160" w:type="dxa"/>
              <w:left w:w="260" w:type="dxa"/>
              <w:bottom w:w="160" w:type="dxa"/>
              <w:right w:w="260" w:type="dxa"/>
            </w:tcMar>
          </w:tcPr>
          <w:p w14:paraId="61D7BC1F" w14:textId="77777777" w:rsidR="00417115" w:rsidRPr="00325A77" w:rsidRDefault="00000000">
            <w:pPr>
              <w:spacing w:line="276" w:lineRule="auto"/>
              <w:rPr>
                <w:rFonts w:ascii="Cambria" w:hAnsi="Cambria"/>
              </w:rPr>
            </w:pPr>
            <w:r w:rsidRPr="00325A77">
              <w:rPr>
                <w:rFonts w:ascii="Cambria" w:hAnsi="Cambria"/>
                <w:i/>
                <w:iCs/>
                <w:sz w:val="21"/>
                <w:szCs w:val="21"/>
              </w:rPr>
              <w:t>Hay que nombrar con precisión quién vigila esto en la organización: ¿es el Directorio en pleno, un comité específico, o la Dirección Ejecutiva? No basta con decir “la organización se preocupa por la sostenibilidad”; la norma exige identificar el órgano concreto y su denominación.</w:t>
            </w:r>
          </w:p>
        </w:tc>
      </w:tr>
    </w:tbl>
    <w:p w14:paraId="667CEA38" w14:textId="77777777" w:rsidR="00417115" w:rsidRPr="00325A77" w:rsidRDefault="00000000">
      <w:pPr>
        <w:pStyle w:val="Prrafodelista"/>
        <w:numPr>
          <w:ilvl w:val="0"/>
          <w:numId w:val="1"/>
        </w:numPr>
        <w:spacing w:after="140" w:line="276" w:lineRule="auto"/>
        <w:rPr>
          <w:rFonts w:ascii="Cambria" w:hAnsi="Cambria"/>
          <w:lang w:val="en-US"/>
        </w:rPr>
      </w:pPr>
      <w:r w:rsidRPr="00325A77">
        <w:rPr>
          <w:rFonts w:ascii="Cambria" w:hAnsi="Cambria"/>
        </w:rPr>
        <w:t>Cómo se reflejan las responsabilidades de sostenibilidad en mandatos, términos de referencia y descripciones de funciones.</w:t>
      </w:r>
      <w:r w:rsidRPr="00325A77">
        <w:rPr>
          <w:rFonts w:ascii="Cambria" w:hAnsi="Cambria"/>
          <w:i/>
          <w:iCs/>
          <w:color w:val="5B6B7A"/>
          <w:sz w:val="18"/>
          <w:szCs w:val="18"/>
        </w:rPr>
        <w:t xml:space="preserve">  </w:t>
      </w:r>
      <w:r w:rsidRPr="00325A77">
        <w:rPr>
          <w:rFonts w:ascii="Cambria" w:hAnsi="Cambria"/>
          <w:i/>
          <w:iCs/>
          <w:color w:val="5B6B7A"/>
          <w:sz w:val="18"/>
          <w:szCs w:val="18"/>
          <w:lang w:val="en-US"/>
        </w:rPr>
        <w:t xml:space="preserve">(NIIF S1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27(a)(</w:t>
      </w:r>
      <w:proofErr w:type="spellStart"/>
      <w:r w:rsidRPr="00325A77">
        <w:rPr>
          <w:rFonts w:ascii="Cambria" w:hAnsi="Cambria"/>
          <w:i/>
          <w:iCs/>
          <w:color w:val="5B6B7A"/>
          <w:sz w:val="18"/>
          <w:szCs w:val="18"/>
          <w:lang w:val="en-US"/>
        </w:rPr>
        <w:t>i</w:t>
      </w:r>
      <w:proofErr w:type="spellEnd"/>
      <w:r w:rsidRPr="00325A77">
        <w:rPr>
          <w:rFonts w:ascii="Cambria" w:hAnsi="Cambria"/>
          <w:i/>
          <w:iCs/>
          <w:color w:val="5B6B7A"/>
          <w:sz w:val="18"/>
          <w:szCs w:val="18"/>
          <w:lang w:val="en-US"/>
        </w:rPr>
        <w:t xml:space="preserve">); NIIF S2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6(a)(</w:t>
      </w:r>
      <w:proofErr w:type="spellStart"/>
      <w:r w:rsidRPr="00325A77">
        <w:rPr>
          <w:rFonts w:ascii="Cambria" w:hAnsi="Cambria"/>
          <w:i/>
          <w:iCs/>
          <w:color w:val="5B6B7A"/>
          <w:sz w:val="18"/>
          <w:szCs w:val="18"/>
          <w:lang w:val="en-US"/>
        </w:rPr>
        <w:t>i</w:t>
      </w:r>
      <w:proofErr w:type="spellEnd"/>
      <w:r w:rsidRPr="00325A77">
        <w:rPr>
          <w:rFonts w:ascii="Cambria" w:hAnsi="Cambria"/>
          <w:i/>
          <w:iCs/>
          <w:color w:val="5B6B7A"/>
          <w:sz w:val="18"/>
          <w:szCs w:val="18"/>
          <w:lang w:val="en-US"/>
        </w:rPr>
        <w:t>))</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096FADF" w14:textId="77777777">
        <w:tc>
          <w:tcPr>
            <w:tcW w:w="0" w:type="auto"/>
            <w:shd w:val="clear" w:color="auto" w:fill="EAF2FA"/>
            <w:tcMar>
              <w:top w:w="160" w:type="dxa"/>
              <w:left w:w="260" w:type="dxa"/>
              <w:bottom w:w="160" w:type="dxa"/>
              <w:right w:w="260" w:type="dxa"/>
            </w:tcMar>
          </w:tcPr>
          <w:p w14:paraId="607055C3" w14:textId="0E63F170" w:rsidR="00417115" w:rsidRPr="00325A77" w:rsidRDefault="00000000">
            <w:pPr>
              <w:spacing w:line="276" w:lineRule="auto"/>
              <w:rPr>
                <w:rFonts w:ascii="Cambria" w:hAnsi="Cambria"/>
              </w:rPr>
            </w:pPr>
            <w:r w:rsidRPr="00325A77">
              <w:rPr>
                <w:rFonts w:ascii="Cambria" w:hAnsi="Cambria"/>
                <w:i/>
                <w:iCs/>
                <w:sz w:val="21"/>
                <w:szCs w:val="21"/>
              </w:rPr>
              <w:t xml:space="preserve">No basta con que alguien supervise sostenibilidad de manera informal: la norma pide evidencia </w:t>
            </w:r>
            <w:proofErr w:type="gramStart"/>
            <w:r w:rsidRPr="00325A77">
              <w:rPr>
                <w:rFonts w:ascii="Cambria" w:hAnsi="Cambria"/>
                <w:i/>
                <w:iCs/>
                <w:sz w:val="21"/>
                <w:szCs w:val="21"/>
              </w:rPr>
              <w:t>documental</w:t>
            </w:r>
            <w:proofErr w:type="gramEnd"/>
            <w:r w:rsidRPr="00325A77">
              <w:rPr>
                <w:rFonts w:ascii="Cambria" w:hAnsi="Cambria"/>
                <w:i/>
                <w:iCs/>
                <w:sz w:val="21"/>
                <w:szCs w:val="21"/>
              </w:rPr>
              <w:t xml:space="preserve"> por ejemplo, que en el manual de funciones del Directorio o en el perfil de cargo del área responsable conste explícitamente esta responsabilidad.</w:t>
            </w:r>
          </w:p>
        </w:tc>
      </w:tr>
    </w:tbl>
    <w:p w14:paraId="4B231F78" w14:textId="77777777" w:rsidR="00417115" w:rsidRPr="00325A77" w:rsidRDefault="00000000">
      <w:pPr>
        <w:pStyle w:val="Prrafodelista"/>
        <w:numPr>
          <w:ilvl w:val="0"/>
          <w:numId w:val="1"/>
        </w:numPr>
        <w:spacing w:after="140" w:line="276" w:lineRule="auto"/>
        <w:rPr>
          <w:rFonts w:ascii="Cambria" w:hAnsi="Cambria"/>
          <w:lang w:val="en-US"/>
        </w:rPr>
      </w:pPr>
      <w:r w:rsidRPr="00325A77">
        <w:rPr>
          <w:rFonts w:ascii="Cambria" w:hAnsi="Cambria"/>
        </w:rPr>
        <w:t>Habilidades y competencias del órgano de gobernanza para supervisar la estrategia de sostenibilidad.</w:t>
      </w:r>
      <w:r w:rsidRPr="00325A77">
        <w:rPr>
          <w:rFonts w:ascii="Cambria" w:hAnsi="Cambria"/>
          <w:i/>
          <w:iCs/>
          <w:color w:val="5B6B7A"/>
          <w:sz w:val="18"/>
          <w:szCs w:val="18"/>
        </w:rPr>
        <w:t xml:space="preserve">  </w:t>
      </w:r>
      <w:r w:rsidRPr="00325A77">
        <w:rPr>
          <w:rFonts w:ascii="Cambria" w:hAnsi="Cambria"/>
          <w:i/>
          <w:iCs/>
          <w:color w:val="5B6B7A"/>
          <w:sz w:val="18"/>
          <w:szCs w:val="18"/>
          <w:lang w:val="en-US"/>
        </w:rPr>
        <w:t xml:space="preserve">(NIIF S1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xml:space="preserve">. 27(a)(ii); NIIF S2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6(a)(ii))</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40AD052D" w14:textId="77777777">
        <w:tc>
          <w:tcPr>
            <w:tcW w:w="0" w:type="auto"/>
            <w:shd w:val="clear" w:color="auto" w:fill="EAF2FA"/>
            <w:tcMar>
              <w:top w:w="160" w:type="dxa"/>
              <w:left w:w="260" w:type="dxa"/>
              <w:bottom w:w="160" w:type="dxa"/>
              <w:right w:w="260" w:type="dxa"/>
            </w:tcMar>
          </w:tcPr>
          <w:p w14:paraId="14880178" w14:textId="77777777" w:rsidR="00417115" w:rsidRPr="00325A77" w:rsidRDefault="00000000">
            <w:pPr>
              <w:spacing w:line="276" w:lineRule="auto"/>
              <w:rPr>
                <w:rFonts w:ascii="Cambria" w:hAnsi="Cambria"/>
              </w:rPr>
            </w:pPr>
            <w:r w:rsidRPr="00325A77">
              <w:rPr>
                <w:rFonts w:ascii="Cambria" w:hAnsi="Cambria"/>
                <w:i/>
                <w:iCs/>
                <w:sz w:val="21"/>
                <w:szCs w:val="21"/>
              </w:rPr>
              <w:t>Se debe explicar si quienes toman las decisiones tienen la formación o experiencia necesaria para entender temas de sostenibilidad y clima, o si han recibido capacitación al respecto. Si no la tienen, la norma también permite indicar qué se planea hacer para desarrollarla.</w:t>
            </w:r>
          </w:p>
        </w:tc>
      </w:tr>
    </w:tbl>
    <w:p w14:paraId="48AC6C1C"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Frecuencia y forma en que se informa al órgano de gobernanza.</w:t>
      </w:r>
      <w:r w:rsidRPr="00325A77">
        <w:rPr>
          <w:rFonts w:ascii="Cambria" w:hAnsi="Cambria"/>
          <w:i/>
          <w:iCs/>
          <w:color w:val="5B6B7A"/>
          <w:sz w:val="18"/>
          <w:szCs w:val="18"/>
        </w:rPr>
        <w:t xml:space="preserve">  </w:t>
      </w:r>
      <w:r w:rsidRPr="00325A77">
        <w:rPr>
          <w:rFonts w:ascii="Cambria" w:hAnsi="Cambria"/>
          <w:i/>
          <w:iCs/>
          <w:color w:val="5B6B7A"/>
          <w:sz w:val="18"/>
          <w:szCs w:val="18"/>
          <w:lang w:val="en-US"/>
        </w:rPr>
        <w:t xml:space="preserve">(NIIF S1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xml:space="preserve">. 27(a)(iii); NIIF S2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xml:space="preserve">. </w:t>
      </w:r>
      <w:r w:rsidRPr="00325A77">
        <w:rPr>
          <w:rFonts w:ascii="Cambria" w:hAnsi="Cambria"/>
          <w:i/>
          <w:iCs/>
          <w:color w:val="5B6B7A"/>
          <w:sz w:val="18"/>
          <w:szCs w:val="18"/>
        </w:rPr>
        <w:t>6(a)(</w:t>
      </w:r>
      <w:proofErr w:type="spellStart"/>
      <w:r w:rsidRPr="00325A77">
        <w:rPr>
          <w:rFonts w:ascii="Cambria" w:hAnsi="Cambria"/>
          <w:i/>
          <w:iCs/>
          <w:color w:val="5B6B7A"/>
          <w:sz w:val="18"/>
          <w:szCs w:val="18"/>
        </w:rPr>
        <w:t>iii</w:t>
      </w:r>
      <w:proofErr w:type="spellEnd"/>
      <w:r w:rsidRPr="00325A77">
        <w:rPr>
          <w:rFonts w:ascii="Cambria" w:hAnsi="Cambria"/>
          <w:i/>
          <w:iCs/>
          <w:color w:val="5B6B7A"/>
          <w:sz w:val="18"/>
          <w:szCs w:val="18"/>
        </w:rPr>
        <w:t>))</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66E90172" w14:textId="77777777">
        <w:tc>
          <w:tcPr>
            <w:tcW w:w="0" w:type="auto"/>
            <w:shd w:val="clear" w:color="auto" w:fill="EAF2FA"/>
            <w:tcMar>
              <w:top w:w="160" w:type="dxa"/>
              <w:left w:w="260" w:type="dxa"/>
              <w:bottom w:w="160" w:type="dxa"/>
              <w:right w:w="260" w:type="dxa"/>
            </w:tcMar>
          </w:tcPr>
          <w:p w14:paraId="6665B54C" w14:textId="77777777" w:rsidR="00417115" w:rsidRPr="00325A77" w:rsidRDefault="00000000">
            <w:pPr>
              <w:spacing w:line="276" w:lineRule="auto"/>
              <w:rPr>
                <w:rFonts w:ascii="Cambria" w:hAnsi="Cambria"/>
              </w:rPr>
            </w:pPr>
            <w:r w:rsidRPr="00325A77">
              <w:rPr>
                <w:rFonts w:ascii="Cambria" w:hAnsi="Cambria"/>
                <w:i/>
                <w:iCs/>
                <w:sz w:val="21"/>
                <w:szCs w:val="21"/>
              </w:rPr>
              <w:t>Se responde a: ¿cada cuánto tiempo (mensual, trimestral, anual) y en qué formato (informe escrito, reunión, presentación) recibe el Directorio información sobre estos riesgos y oportunidades?</w:t>
            </w:r>
          </w:p>
        </w:tc>
      </w:tr>
    </w:tbl>
    <w:p w14:paraId="13E94E47" w14:textId="77777777" w:rsidR="00417115" w:rsidRPr="00325A77" w:rsidRDefault="00000000">
      <w:pPr>
        <w:pStyle w:val="Prrafodelista"/>
        <w:numPr>
          <w:ilvl w:val="0"/>
          <w:numId w:val="1"/>
        </w:numPr>
        <w:spacing w:after="140" w:line="276" w:lineRule="auto"/>
        <w:rPr>
          <w:rFonts w:ascii="Cambria" w:hAnsi="Cambria"/>
          <w:lang w:val="en-US"/>
        </w:rPr>
      </w:pPr>
      <w:r w:rsidRPr="00325A77">
        <w:rPr>
          <w:rFonts w:ascii="Cambria" w:hAnsi="Cambria"/>
        </w:rPr>
        <w:t>Cómo se consideran los riesgos y oportunidades en decisiones estratégicas y transacciones importantes.</w:t>
      </w:r>
      <w:r w:rsidRPr="00325A77">
        <w:rPr>
          <w:rFonts w:ascii="Cambria" w:hAnsi="Cambria"/>
          <w:i/>
          <w:iCs/>
          <w:color w:val="5B6B7A"/>
          <w:sz w:val="18"/>
          <w:szCs w:val="18"/>
        </w:rPr>
        <w:t xml:space="preserve">  </w:t>
      </w:r>
      <w:r w:rsidRPr="00325A77">
        <w:rPr>
          <w:rFonts w:ascii="Cambria" w:hAnsi="Cambria"/>
          <w:i/>
          <w:iCs/>
          <w:color w:val="5B6B7A"/>
          <w:sz w:val="18"/>
          <w:szCs w:val="18"/>
          <w:lang w:val="en-US"/>
        </w:rPr>
        <w:t xml:space="preserve">(NIIF S1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xml:space="preserve">. 27(a)(iv); NIIF S2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6(a)(iv))</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3BEDF658" w14:textId="77777777">
        <w:tc>
          <w:tcPr>
            <w:tcW w:w="0" w:type="auto"/>
            <w:shd w:val="clear" w:color="auto" w:fill="EAF2FA"/>
            <w:tcMar>
              <w:top w:w="160" w:type="dxa"/>
              <w:left w:w="260" w:type="dxa"/>
              <w:bottom w:w="160" w:type="dxa"/>
              <w:right w:w="260" w:type="dxa"/>
            </w:tcMar>
          </w:tcPr>
          <w:p w14:paraId="003993F6" w14:textId="77777777" w:rsidR="00417115" w:rsidRPr="00325A77" w:rsidRDefault="00000000">
            <w:pPr>
              <w:spacing w:line="276" w:lineRule="auto"/>
              <w:rPr>
                <w:rFonts w:ascii="Cambria" w:hAnsi="Cambria"/>
              </w:rPr>
            </w:pPr>
            <w:r w:rsidRPr="00325A77">
              <w:rPr>
                <w:rFonts w:ascii="Cambria" w:hAnsi="Cambria"/>
                <w:i/>
                <w:iCs/>
                <w:sz w:val="21"/>
                <w:szCs w:val="21"/>
              </w:rPr>
              <w:t>Ejemplo aplicado: si el Directorio decide invertir en un nuevo generador eléctrico o renovar el sistema de iluminación de la terminal, ¿se evaluó el impacto ambiental o climático antes de decidir? Eso es lo que hay que describir aquí.</w:t>
            </w:r>
          </w:p>
        </w:tc>
      </w:tr>
    </w:tbl>
    <w:p w14:paraId="33106DBB" w14:textId="77777777" w:rsidR="00417115" w:rsidRPr="00325A77" w:rsidRDefault="00000000">
      <w:pPr>
        <w:pStyle w:val="Prrafodelista"/>
        <w:numPr>
          <w:ilvl w:val="0"/>
          <w:numId w:val="1"/>
        </w:numPr>
        <w:spacing w:after="140" w:line="276" w:lineRule="auto"/>
        <w:rPr>
          <w:rFonts w:ascii="Cambria" w:hAnsi="Cambria"/>
          <w:lang w:val="en-US"/>
        </w:rPr>
      </w:pPr>
      <w:r w:rsidRPr="00325A77">
        <w:rPr>
          <w:rFonts w:ascii="Cambria" w:hAnsi="Cambria"/>
        </w:rPr>
        <w:t>Supervisión del establecimiento de objetivos y control de avances.</w:t>
      </w:r>
      <w:r w:rsidRPr="00325A77">
        <w:rPr>
          <w:rFonts w:ascii="Cambria" w:hAnsi="Cambria"/>
          <w:i/>
          <w:iCs/>
          <w:color w:val="5B6B7A"/>
          <w:sz w:val="18"/>
          <w:szCs w:val="18"/>
        </w:rPr>
        <w:t xml:space="preserve">  </w:t>
      </w:r>
      <w:r w:rsidRPr="00325A77">
        <w:rPr>
          <w:rFonts w:ascii="Cambria" w:hAnsi="Cambria"/>
          <w:i/>
          <w:iCs/>
          <w:color w:val="5B6B7A"/>
          <w:sz w:val="18"/>
          <w:szCs w:val="18"/>
          <w:lang w:val="en-US"/>
        </w:rPr>
        <w:t xml:space="preserve">(NIIF S1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xml:space="preserve">. 27(a)(v); NIIF S2 </w:t>
      </w:r>
      <w:proofErr w:type="spellStart"/>
      <w:r w:rsidRPr="00325A77">
        <w:rPr>
          <w:rFonts w:ascii="Cambria" w:hAnsi="Cambria"/>
          <w:i/>
          <w:iCs/>
          <w:color w:val="5B6B7A"/>
          <w:sz w:val="18"/>
          <w:szCs w:val="18"/>
          <w:lang w:val="en-US"/>
        </w:rPr>
        <w:t>párr</w:t>
      </w:r>
      <w:proofErr w:type="spellEnd"/>
      <w:r w:rsidRPr="00325A77">
        <w:rPr>
          <w:rFonts w:ascii="Cambria" w:hAnsi="Cambria"/>
          <w:i/>
          <w:iCs/>
          <w:color w:val="5B6B7A"/>
          <w:sz w:val="18"/>
          <w:szCs w:val="18"/>
          <w:lang w:val="en-US"/>
        </w:rPr>
        <w:t>. 6(a)(v))</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39225AC" w14:textId="77777777">
        <w:tc>
          <w:tcPr>
            <w:tcW w:w="0" w:type="auto"/>
            <w:shd w:val="clear" w:color="auto" w:fill="EAF2FA"/>
            <w:tcMar>
              <w:top w:w="160" w:type="dxa"/>
              <w:left w:w="260" w:type="dxa"/>
              <w:bottom w:w="160" w:type="dxa"/>
              <w:right w:w="260" w:type="dxa"/>
            </w:tcMar>
          </w:tcPr>
          <w:p w14:paraId="12AD75F0" w14:textId="3AC9F418" w:rsidR="00417115" w:rsidRPr="00325A77" w:rsidRDefault="00000000">
            <w:pPr>
              <w:spacing w:line="276" w:lineRule="auto"/>
              <w:rPr>
                <w:rFonts w:ascii="Cambria" w:hAnsi="Cambria"/>
              </w:rPr>
            </w:pPr>
            <w:r w:rsidRPr="00325A77">
              <w:rPr>
                <w:rFonts w:ascii="Cambria" w:hAnsi="Cambria"/>
                <w:i/>
                <w:iCs/>
                <w:sz w:val="21"/>
                <w:szCs w:val="21"/>
              </w:rPr>
              <w:t>Quien gobierna la organización no solo debe fijar metas de sostenibilidad, sino además revisar periódicamente si se están cumpliendo igual que se revisan las metas financieras.</w:t>
            </w:r>
          </w:p>
        </w:tc>
      </w:tr>
    </w:tbl>
    <w:p w14:paraId="38BBF4C7"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Rol de la gerencia o el área responsable en la operación diaria.</w:t>
      </w:r>
      <w:r w:rsidRPr="00325A77">
        <w:rPr>
          <w:rFonts w:ascii="Cambria" w:hAnsi="Cambria"/>
          <w:i/>
          <w:iCs/>
          <w:color w:val="5B6B7A"/>
          <w:sz w:val="18"/>
          <w:szCs w:val="18"/>
        </w:rPr>
        <w:t xml:space="preserve">  (NIIF S1 párr. 27(b); NIIF S2 párr. 6(b))</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2380CF8" w14:textId="77777777">
        <w:tc>
          <w:tcPr>
            <w:tcW w:w="0" w:type="auto"/>
            <w:shd w:val="clear" w:color="auto" w:fill="EAF2FA"/>
            <w:tcMar>
              <w:top w:w="160" w:type="dxa"/>
              <w:left w:w="260" w:type="dxa"/>
              <w:bottom w:w="160" w:type="dxa"/>
              <w:right w:w="260" w:type="dxa"/>
            </w:tcMar>
          </w:tcPr>
          <w:p w14:paraId="2769D5B3" w14:textId="77777777" w:rsidR="00417115" w:rsidRPr="00325A77" w:rsidRDefault="00000000">
            <w:pPr>
              <w:spacing w:line="276" w:lineRule="auto"/>
              <w:rPr>
                <w:rFonts w:ascii="Cambria" w:hAnsi="Cambria"/>
              </w:rPr>
            </w:pPr>
            <w:r w:rsidRPr="00325A77">
              <w:rPr>
                <w:rFonts w:ascii="Cambria" w:hAnsi="Cambria"/>
                <w:i/>
                <w:iCs/>
                <w:sz w:val="21"/>
                <w:szCs w:val="21"/>
              </w:rPr>
              <w:t>Aquí se describe el trabajo del día a día: quién recopila los datos, quién redacta los reportes, y a quién reporta esa persona.</w:t>
            </w:r>
          </w:p>
        </w:tc>
      </w:tr>
    </w:tbl>
    <w:p w14:paraId="15BA2A9D" w14:textId="77777777" w:rsidR="003801D2" w:rsidRDefault="003801D2" w:rsidP="00325A77">
      <w:pPr>
        <w:pStyle w:val="Ttulo1"/>
        <w:pBdr>
          <w:bottom w:val="single" w:sz="8" w:space="6" w:color="1F5C99"/>
        </w:pBdr>
        <w:tabs>
          <w:tab w:val="left" w:pos="7875"/>
        </w:tabs>
        <w:spacing w:before="480" w:after="200"/>
        <w:rPr>
          <w:rFonts w:ascii="Cambria" w:hAnsi="Cambria"/>
          <w:b/>
          <w:bCs/>
          <w:color w:val="13315C"/>
          <w:sz w:val="34"/>
          <w:szCs w:val="34"/>
        </w:rPr>
      </w:pPr>
      <w:bookmarkStart w:id="6" w:name="_Toc235311628"/>
    </w:p>
    <w:p w14:paraId="5B5650DF" w14:textId="3C68A622" w:rsidR="00417115" w:rsidRPr="003801D2" w:rsidRDefault="00000000" w:rsidP="00325A77">
      <w:pPr>
        <w:pStyle w:val="Ttulo1"/>
        <w:pBdr>
          <w:bottom w:val="single" w:sz="8" w:space="6" w:color="1F5C99"/>
        </w:pBdr>
        <w:tabs>
          <w:tab w:val="left" w:pos="7875"/>
        </w:tabs>
        <w:spacing w:before="480" w:after="200"/>
        <w:rPr>
          <w:rFonts w:ascii="Cambria" w:hAnsi="Cambria"/>
          <w:b/>
          <w:bCs/>
          <w:color w:val="13315C"/>
          <w:sz w:val="34"/>
          <w:szCs w:val="34"/>
        </w:rPr>
      </w:pPr>
      <w:bookmarkStart w:id="7" w:name="_Toc235354047"/>
      <w:r w:rsidRPr="00325A77">
        <w:rPr>
          <w:rFonts w:ascii="Cambria" w:hAnsi="Cambria"/>
          <w:b/>
          <w:bCs/>
          <w:color w:val="13315C"/>
          <w:sz w:val="34"/>
          <w:szCs w:val="34"/>
        </w:rPr>
        <w:t>2. Estrategia</w:t>
      </w:r>
      <w:bookmarkEnd w:id="6"/>
      <w:bookmarkEnd w:id="7"/>
      <w:r w:rsidR="00325A77">
        <w:rPr>
          <w:rFonts w:ascii="Cambria" w:hAnsi="Cambria"/>
          <w:b/>
          <w:bCs/>
          <w:color w:val="13315C"/>
          <w:sz w:val="34"/>
          <w:szCs w:val="34"/>
        </w:rPr>
        <w:tab/>
      </w:r>
    </w:p>
    <w:p w14:paraId="19695F7E" w14:textId="77777777" w:rsidR="00417115" w:rsidRPr="00325A77" w:rsidRDefault="00000000">
      <w:pPr>
        <w:pStyle w:val="Ttulo2"/>
        <w:spacing w:before="320" w:after="140"/>
        <w:rPr>
          <w:rFonts w:ascii="Cambria" w:hAnsi="Cambria"/>
        </w:rPr>
      </w:pPr>
      <w:bookmarkStart w:id="8" w:name="_Toc235311629"/>
      <w:bookmarkStart w:id="9" w:name="_Toc235354048"/>
      <w:r w:rsidRPr="00325A77">
        <w:rPr>
          <w:rFonts w:ascii="Cambria" w:hAnsi="Cambria"/>
          <w:b/>
          <w:bCs/>
          <w:color w:val="1F5C99"/>
        </w:rPr>
        <w:t>2.1 Riesgos y oportunidades de sostenibilidad y clima</w:t>
      </w:r>
      <w:bookmarkEnd w:id="8"/>
      <w:bookmarkEnd w:id="9"/>
    </w:p>
    <w:p w14:paraId="48E1DA83"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30; NIIF S2 párr. 10</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B5B216E" w14:textId="77777777">
        <w:tc>
          <w:tcPr>
            <w:tcW w:w="0" w:type="auto"/>
            <w:shd w:val="clear" w:color="auto" w:fill="EAF2FA"/>
            <w:tcMar>
              <w:top w:w="160" w:type="dxa"/>
              <w:left w:w="260" w:type="dxa"/>
              <w:bottom w:w="160" w:type="dxa"/>
              <w:right w:w="260" w:type="dxa"/>
            </w:tcMar>
          </w:tcPr>
          <w:p w14:paraId="65F0A0F1" w14:textId="00F53210" w:rsidR="00417115" w:rsidRPr="00325A77" w:rsidRDefault="003801D2">
            <w:pPr>
              <w:spacing w:line="276" w:lineRule="auto"/>
              <w:rPr>
                <w:rFonts w:ascii="Cambria" w:hAnsi="Cambria"/>
              </w:rPr>
            </w:pPr>
            <w:r>
              <w:rPr>
                <w:rFonts w:ascii="Cambria" w:hAnsi="Cambria"/>
                <w:i/>
                <w:iCs/>
                <w:sz w:val="21"/>
                <w:szCs w:val="21"/>
              </w:rPr>
              <w:t>Realizar</w:t>
            </w:r>
            <w:r w:rsidRPr="00325A77">
              <w:rPr>
                <w:rFonts w:ascii="Cambria" w:hAnsi="Cambria"/>
                <w:i/>
                <w:iCs/>
                <w:sz w:val="21"/>
                <w:szCs w:val="21"/>
              </w:rPr>
              <w:t xml:space="preserve"> una lista de los riesgos y oportunidades reales de la terminal y clasificar cada uno como: (a) físico — un evento climático concreto, como una inundación que dañe los andenes; o (b) de transición — un cambio en leyes, tecnología o mercado, como una nueva normativa de emisiones para las cooperativas de transporte. También hay que indicar si el efecto se espera en el corto plazo (1-2 años), mediano (3-5 años) o largo plazo (más de 5 años).</w:t>
            </w:r>
          </w:p>
        </w:tc>
      </w:tr>
    </w:tbl>
    <w:p w14:paraId="521E57AB" w14:textId="77777777" w:rsidR="00417115" w:rsidRPr="00325A77" w:rsidRDefault="00000000">
      <w:pPr>
        <w:pStyle w:val="Ttulo2"/>
        <w:spacing w:before="320" w:after="140"/>
        <w:rPr>
          <w:rFonts w:ascii="Cambria" w:hAnsi="Cambria"/>
        </w:rPr>
      </w:pPr>
      <w:bookmarkStart w:id="10" w:name="_Toc235311630"/>
      <w:bookmarkStart w:id="11" w:name="_Toc235354049"/>
      <w:r w:rsidRPr="00325A77">
        <w:rPr>
          <w:rFonts w:ascii="Cambria" w:hAnsi="Cambria"/>
          <w:b/>
          <w:bCs/>
          <w:color w:val="1F5C99"/>
        </w:rPr>
        <w:t>2.2 Modelo de negocio y cadena de valor</w:t>
      </w:r>
      <w:bookmarkEnd w:id="10"/>
      <w:bookmarkEnd w:id="11"/>
    </w:p>
    <w:p w14:paraId="7A98CBB9"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32; NIIF S2 párr. 13</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3B19D95C" w14:textId="77777777">
        <w:tc>
          <w:tcPr>
            <w:tcW w:w="0" w:type="auto"/>
            <w:shd w:val="clear" w:color="auto" w:fill="EAF2FA"/>
            <w:tcMar>
              <w:top w:w="160" w:type="dxa"/>
              <w:left w:w="260" w:type="dxa"/>
              <w:bottom w:w="160" w:type="dxa"/>
              <w:right w:w="260" w:type="dxa"/>
            </w:tcMar>
          </w:tcPr>
          <w:p w14:paraId="0562D1DE" w14:textId="77777777" w:rsidR="00417115" w:rsidRPr="00325A77" w:rsidRDefault="00000000">
            <w:pPr>
              <w:spacing w:line="276" w:lineRule="auto"/>
              <w:rPr>
                <w:rFonts w:ascii="Cambria" w:hAnsi="Cambria"/>
              </w:rPr>
            </w:pPr>
            <w:r w:rsidRPr="00325A77">
              <w:rPr>
                <w:rFonts w:ascii="Cambria" w:hAnsi="Cambria"/>
                <w:i/>
                <w:iCs/>
                <w:sz w:val="21"/>
                <w:szCs w:val="21"/>
              </w:rPr>
              <w:t>El “modelo de negocio” es, en simple, cómo la entidad genera valor: cobrando tasas de uso de andenes, administrando el terminal, coordinando con cooperativas. La “cadena de valor” son todos los terceros de quienes depende ese modelo: las cooperativas de transporte, los proveedores de mantenimiento de instalaciones, los concesionarios de locales comerciales dentro de la terminal, y el municipio como regulador. La norma pide explicar cómo los riesgos de sostenibilidad afectan a cada uno de estos eslabones, no solo a la entidad como organización aislada.</w:t>
            </w:r>
          </w:p>
        </w:tc>
      </w:tr>
    </w:tbl>
    <w:p w14:paraId="69B48299" w14:textId="77777777" w:rsidR="00417115" w:rsidRPr="00325A77" w:rsidRDefault="00000000">
      <w:pPr>
        <w:pStyle w:val="Ttulo2"/>
        <w:spacing w:before="320" w:after="140"/>
        <w:rPr>
          <w:rFonts w:ascii="Cambria" w:hAnsi="Cambria"/>
        </w:rPr>
      </w:pPr>
      <w:bookmarkStart w:id="12" w:name="_Toc235311631"/>
      <w:bookmarkStart w:id="13" w:name="_Toc235354050"/>
      <w:r w:rsidRPr="00325A77">
        <w:rPr>
          <w:rFonts w:ascii="Cambria" w:hAnsi="Cambria"/>
          <w:b/>
          <w:bCs/>
          <w:color w:val="1F5C99"/>
        </w:rPr>
        <w:t>2.3 Estrategia y toma de decisiones</w:t>
      </w:r>
      <w:bookmarkEnd w:id="12"/>
      <w:bookmarkEnd w:id="13"/>
    </w:p>
    <w:p w14:paraId="0C428565"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33; NIIF S2 párr. 14</w:t>
      </w:r>
    </w:p>
    <w:tbl>
      <w:tblPr>
        <w:tblW w:w="5000" w:type="pct"/>
        <w:tblInd w:w="-40" w:type="dxa"/>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096A9033" w14:textId="77777777" w:rsidTr="00CE73E1">
        <w:tc>
          <w:tcPr>
            <w:tcW w:w="0" w:type="auto"/>
            <w:tcBorders>
              <w:bottom w:val="nil"/>
            </w:tcBorders>
            <w:shd w:val="clear" w:color="auto" w:fill="EAF2FA"/>
            <w:tcMar>
              <w:top w:w="160" w:type="dxa"/>
              <w:left w:w="260" w:type="dxa"/>
              <w:bottom w:w="160" w:type="dxa"/>
              <w:right w:w="260" w:type="dxa"/>
            </w:tcMar>
          </w:tcPr>
          <w:p w14:paraId="0DA18B52" w14:textId="77777777" w:rsidR="00417115" w:rsidRPr="00325A77" w:rsidRDefault="00000000">
            <w:pPr>
              <w:spacing w:line="276" w:lineRule="auto"/>
              <w:rPr>
                <w:rFonts w:ascii="Cambria" w:hAnsi="Cambria"/>
              </w:rPr>
            </w:pPr>
            <w:r w:rsidRPr="00325A77">
              <w:rPr>
                <w:rFonts w:ascii="Cambria" w:hAnsi="Cambria"/>
                <w:i/>
                <w:iCs/>
                <w:sz w:val="21"/>
                <w:szCs w:val="21"/>
              </w:rPr>
              <w:t>Se debe explicar qué está haciendo o planea hacer la organización frente a los riesgos identificados: por ejemplo, promover la electrificación gradual de la flota de las cooperativas, o mejorar la eficiencia energética de las instalaciones (iluminación LED, paneles solares). No aplica la reubicación de operaciones industriales de gran escala, salvo que exista un plan real de reubicación de instalaciones.</w:t>
            </w:r>
          </w:p>
        </w:tc>
      </w:tr>
      <w:tr w:rsidR="00417115" w:rsidRPr="00325A77" w14:paraId="7814592E"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nil"/>
              <w:right w:val="single" w:sz="4" w:space="0" w:color="7F7F7F" w:themeColor="text1" w:themeTint="80"/>
            </w:tcBorders>
            <w:shd w:val="clear" w:color="auto" w:fill="7F7F7F" w:themeFill="text1" w:themeFillTint="80"/>
            <w:tcMar>
              <w:top w:w="100" w:type="dxa"/>
              <w:left w:w="220" w:type="dxa"/>
              <w:bottom w:w="100" w:type="dxa"/>
              <w:right w:w="220" w:type="dxa"/>
            </w:tcMar>
          </w:tcPr>
          <w:p w14:paraId="582AABF9" w14:textId="46DBDFF7" w:rsidR="00417115" w:rsidRPr="00325A77" w:rsidRDefault="00CE73E1">
            <w:pPr>
              <w:rPr>
                <w:rFonts w:ascii="Cambria" w:hAnsi="Cambria"/>
              </w:rPr>
            </w:pPr>
            <w:r w:rsidRPr="00325A77">
              <w:rPr>
                <w:rFonts w:ascii="Cambria" w:hAnsi="Cambria"/>
                <w:b/>
                <w:bCs/>
                <w:color w:val="FFFFFF"/>
                <w:sz w:val="19"/>
                <w:szCs w:val="19"/>
              </w:rPr>
              <w:t>Contenido Mínimo Del Plan De Transición</w:t>
            </w:r>
          </w:p>
        </w:tc>
      </w:tr>
      <w:tr w:rsidR="00417115" w:rsidRPr="00325A77" w14:paraId="15E2E685"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Mar>
              <w:top w:w="160" w:type="dxa"/>
              <w:left w:w="260" w:type="dxa"/>
              <w:bottom w:w="160" w:type="dxa"/>
              <w:right w:w="260" w:type="dxa"/>
            </w:tcMar>
          </w:tcPr>
          <w:p w14:paraId="3FAE1EDD" w14:textId="77777777" w:rsidR="00417115" w:rsidRPr="00325A77" w:rsidRDefault="00000000">
            <w:pPr>
              <w:spacing w:line="276" w:lineRule="auto"/>
              <w:rPr>
                <w:rFonts w:ascii="Cambria" w:hAnsi="Cambria"/>
              </w:rPr>
            </w:pPr>
            <w:r w:rsidRPr="00325A77">
              <w:rPr>
                <w:rFonts w:ascii="Cambria" w:hAnsi="Cambria"/>
                <w:sz w:val="21"/>
                <w:szCs w:val="21"/>
              </w:rPr>
              <w:t>Si se divulga un plan de transición climática, la norma exige tres elementos concretos, no solo una intención general: (1) metas de reducción de emisiones, (2) hitos o etapas de implementación con fechas, y (3) cómo se financiará (de dónde saldrán los recursos). Un párrafo que solo diga “buscaremos ser más sostenibles” no cumple este requerimiento; se necesita un plan con metas, plazos y presupuesto.  (NIIF S2 párr. 14(a)-(c))</w:t>
            </w:r>
          </w:p>
        </w:tc>
      </w:tr>
    </w:tbl>
    <w:p w14:paraId="1258EE65" w14:textId="77777777" w:rsidR="004A2012" w:rsidRDefault="004A2012">
      <w:pPr>
        <w:pStyle w:val="Ttulo2"/>
        <w:spacing w:before="320" w:after="140"/>
        <w:rPr>
          <w:rFonts w:ascii="Cambria" w:hAnsi="Cambria"/>
          <w:b/>
          <w:bCs/>
          <w:color w:val="1F5C99"/>
        </w:rPr>
      </w:pPr>
      <w:bookmarkStart w:id="14" w:name="_Toc235311632"/>
    </w:p>
    <w:p w14:paraId="399C26DA" w14:textId="77777777" w:rsidR="004A2012" w:rsidRDefault="004A2012">
      <w:pPr>
        <w:pStyle w:val="Ttulo2"/>
        <w:spacing w:before="320" w:after="140"/>
        <w:rPr>
          <w:rFonts w:ascii="Cambria" w:hAnsi="Cambria"/>
          <w:b/>
          <w:bCs/>
          <w:color w:val="1F5C99"/>
        </w:rPr>
      </w:pPr>
    </w:p>
    <w:p w14:paraId="183166A3" w14:textId="77777777" w:rsidR="004A2012" w:rsidRDefault="004A2012">
      <w:pPr>
        <w:pStyle w:val="Ttulo2"/>
        <w:spacing w:before="320" w:after="140"/>
        <w:rPr>
          <w:rFonts w:ascii="Cambria" w:hAnsi="Cambria"/>
          <w:b/>
          <w:bCs/>
          <w:color w:val="1F5C99"/>
        </w:rPr>
      </w:pPr>
    </w:p>
    <w:p w14:paraId="3CB234D0" w14:textId="368B470C" w:rsidR="00417115" w:rsidRPr="00325A77" w:rsidRDefault="00000000">
      <w:pPr>
        <w:pStyle w:val="Ttulo2"/>
        <w:spacing w:before="320" w:after="140"/>
        <w:rPr>
          <w:rFonts w:ascii="Cambria" w:hAnsi="Cambria"/>
        </w:rPr>
      </w:pPr>
      <w:bookmarkStart w:id="15" w:name="_Toc235354051"/>
      <w:r w:rsidRPr="00325A77">
        <w:rPr>
          <w:rFonts w:ascii="Cambria" w:hAnsi="Cambria"/>
          <w:b/>
          <w:bCs/>
          <w:color w:val="1F5C99"/>
        </w:rPr>
        <w:t>2.4 Efectos financieros actuales y previstos</w:t>
      </w:r>
      <w:bookmarkEnd w:id="14"/>
      <w:bookmarkEnd w:id="15"/>
    </w:p>
    <w:p w14:paraId="1BA0E7C1" w14:textId="77777777" w:rsidR="00417115" w:rsidRPr="00325A77" w:rsidRDefault="00000000">
      <w:pPr>
        <w:spacing w:after="160" w:line="288" w:lineRule="auto"/>
        <w:rPr>
          <w:rFonts w:ascii="Cambria" w:hAnsi="Cambria"/>
        </w:rPr>
      </w:pPr>
      <w:r w:rsidRPr="00325A77">
        <w:rPr>
          <w:rFonts w:ascii="Cambria" w:hAnsi="Cambria"/>
        </w:rPr>
        <w:t>Uso de exenciones de cuantificación.</w:t>
      </w:r>
    </w:p>
    <w:p w14:paraId="06E7A8F0"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34-40; NIIF S2 párr. 15-21</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6328CAAB" w14:textId="77777777">
        <w:tc>
          <w:tcPr>
            <w:tcW w:w="0" w:type="auto"/>
            <w:shd w:val="clear" w:color="auto" w:fill="EAF2FA"/>
            <w:tcMar>
              <w:top w:w="160" w:type="dxa"/>
              <w:left w:w="260" w:type="dxa"/>
              <w:bottom w:w="160" w:type="dxa"/>
              <w:right w:w="260" w:type="dxa"/>
            </w:tcMar>
          </w:tcPr>
          <w:p w14:paraId="02005E28" w14:textId="159A5B6A" w:rsidR="00417115" w:rsidRPr="00325A77" w:rsidRDefault="004A2012">
            <w:pPr>
              <w:spacing w:line="276" w:lineRule="auto"/>
              <w:rPr>
                <w:rFonts w:ascii="Cambria" w:hAnsi="Cambria"/>
              </w:rPr>
            </w:pPr>
            <w:r>
              <w:rPr>
                <w:rFonts w:ascii="Cambria" w:hAnsi="Cambria"/>
                <w:i/>
                <w:iCs/>
                <w:sz w:val="21"/>
                <w:szCs w:val="21"/>
              </w:rPr>
              <w:t>E</w:t>
            </w:r>
            <w:r w:rsidRPr="00325A77">
              <w:rPr>
                <w:rFonts w:ascii="Cambria" w:hAnsi="Cambria"/>
                <w:i/>
                <w:iCs/>
                <w:sz w:val="21"/>
                <w:szCs w:val="21"/>
              </w:rPr>
              <w:t>xplicar cómo estos riesgos y oportunidades afectan o podrían afectar las finanzas de la organización: ingresos, gastos, activos, acceso a financiamiento. Por ejemplo, un evento de inundación severa podría significar un gasto imprevisto en reparación de infraestructura. La norma permite que, si la entidad no tiene la capacidad técnica para calcular un monto exacto, se describa el efecto de forma cualitativa (en palabras) en lugar de con una cifra</w:t>
            </w:r>
            <w:r>
              <w:rPr>
                <w:rFonts w:ascii="Cambria" w:hAnsi="Cambria"/>
                <w:i/>
                <w:iCs/>
                <w:sz w:val="21"/>
                <w:szCs w:val="21"/>
              </w:rPr>
              <w:t>,</w:t>
            </w:r>
            <w:r w:rsidRPr="00325A77">
              <w:rPr>
                <w:rFonts w:ascii="Cambria" w:hAnsi="Cambria"/>
                <w:i/>
                <w:iCs/>
                <w:sz w:val="21"/>
                <w:szCs w:val="21"/>
              </w:rPr>
              <w:t xml:space="preserve"> esta es la “exención de cuantificación”, muy relevante para organizaciones con recursos limitados.</w:t>
            </w:r>
          </w:p>
        </w:tc>
      </w:tr>
    </w:tbl>
    <w:p w14:paraId="2EF3FBCB" w14:textId="77777777" w:rsidR="00417115" w:rsidRPr="00325A77" w:rsidRDefault="00000000">
      <w:pPr>
        <w:pStyle w:val="Ttulo2"/>
        <w:spacing w:before="320" w:after="140"/>
        <w:rPr>
          <w:rFonts w:ascii="Cambria" w:hAnsi="Cambria"/>
        </w:rPr>
      </w:pPr>
      <w:bookmarkStart w:id="16" w:name="_Toc235311633"/>
      <w:bookmarkStart w:id="17" w:name="_Toc235354052"/>
      <w:r w:rsidRPr="00325A77">
        <w:rPr>
          <w:rFonts w:ascii="Cambria" w:hAnsi="Cambria"/>
          <w:b/>
          <w:bCs/>
          <w:color w:val="1F5C99"/>
        </w:rPr>
        <w:t>2.5 Resiliencia climática</w:t>
      </w:r>
      <w:bookmarkEnd w:id="16"/>
      <w:bookmarkEnd w:id="17"/>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A06EF69" w14:textId="77777777">
        <w:tc>
          <w:tcPr>
            <w:tcW w:w="0" w:type="auto"/>
            <w:shd w:val="clear" w:color="auto" w:fill="EAF2FA"/>
            <w:tcMar>
              <w:top w:w="160" w:type="dxa"/>
              <w:left w:w="260" w:type="dxa"/>
              <w:bottom w:w="160" w:type="dxa"/>
              <w:right w:w="260" w:type="dxa"/>
            </w:tcMar>
          </w:tcPr>
          <w:p w14:paraId="28E45112" w14:textId="2CD22661" w:rsidR="00417115" w:rsidRPr="00325A77" w:rsidRDefault="00000000">
            <w:pPr>
              <w:spacing w:line="276" w:lineRule="auto"/>
              <w:rPr>
                <w:rFonts w:ascii="Cambria" w:hAnsi="Cambria"/>
              </w:rPr>
            </w:pPr>
            <w:r w:rsidRPr="00325A77">
              <w:rPr>
                <w:rFonts w:ascii="Cambria" w:hAnsi="Cambria"/>
                <w:i/>
                <w:iCs/>
                <w:sz w:val="21"/>
                <w:szCs w:val="21"/>
              </w:rPr>
              <w:t xml:space="preserve">“Resiliencia” es, en simple, la capacidad de la organización para seguir </w:t>
            </w:r>
            <w:r w:rsidR="004A2012" w:rsidRPr="00325A77">
              <w:rPr>
                <w:rFonts w:ascii="Cambria" w:hAnsi="Cambria"/>
                <w:i/>
                <w:iCs/>
                <w:sz w:val="21"/>
                <w:szCs w:val="21"/>
              </w:rPr>
              <w:t>funcionando,</w:t>
            </w:r>
            <w:r w:rsidRPr="00325A77">
              <w:rPr>
                <w:rFonts w:ascii="Cambria" w:hAnsi="Cambria"/>
                <w:i/>
                <w:iCs/>
                <w:sz w:val="21"/>
                <w:szCs w:val="21"/>
              </w:rPr>
              <w:t xml:space="preserve"> aunque ocurran eventos climáticos adversos. La norma pide un ejercicio de “análisis de escenarios”: imaginar, por ejemplo, qué pasaría con la operación de la terminal si las inundaciones se vuelven más frecuentes o si las temperaturas suben de forma sostenida. Para una entidad de este tamaño, esto no requiere un modelo matemático complejo — basta un análisis cualitativo razonado</w:t>
            </w:r>
            <w:r w:rsidR="004A2012">
              <w:rPr>
                <w:rFonts w:ascii="Cambria" w:hAnsi="Cambria"/>
                <w:i/>
                <w:iCs/>
                <w:sz w:val="21"/>
                <w:szCs w:val="21"/>
              </w:rPr>
              <w:t xml:space="preserve"> </w:t>
            </w:r>
            <w:r w:rsidRPr="00325A77">
              <w:rPr>
                <w:rFonts w:ascii="Cambria" w:hAnsi="Cambria"/>
                <w:i/>
                <w:iCs/>
                <w:sz w:val="21"/>
                <w:szCs w:val="21"/>
              </w:rPr>
              <w:t>una descripción argumentada de los efectos posibles, no una simulación numérica sofisticada. No aplica: escenarios sectoriales complejos propios de industrias extractivas, financieras o de gran intensidad de capital.</w:t>
            </w:r>
          </w:p>
        </w:tc>
      </w:tr>
    </w:tbl>
    <w:p w14:paraId="571B811C"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41-42; NIIF S2 párr. 22</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CellMar>
          <w:top w:w="60" w:type="dxa"/>
          <w:left w:w="0" w:type="dxa"/>
          <w:bottom w:w="260" w:type="dxa"/>
          <w:right w:w="0" w:type="dxa"/>
        </w:tblCellMar>
        <w:tblLook w:val="04A0" w:firstRow="1" w:lastRow="0" w:firstColumn="1" w:lastColumn="0" w:noHBand="0" w:noVBand="1"/>
      </w:tblPr>
      <w:tblGrid>
        <w:gridCol w:w="10030"/>
      </w:tblGrid>
      <w:tr w:rsidR="00417115" w:rsidRPr="00325A77" w14:paraId="6B713786" w14:textId="77777777" w:rsidTr="00CE73E1">
        <w:tc>
          <w:tcPr>
            <w:tcW w:w="0" w:type="auto"/>
            <w:shd w:val="clear" w:color="auto" w:fill="7F7F7F" w:themeFill="text1" w:themeFillTint="80"/>
            <w:tcMar>
              <w:top w:w="100" w:type="dxa"/>
              <w:left w:w="220" w:type="dxa"/>
              <w:bottom w:w="100" w:type="dxa"/>
              <w:right w:w="220" w:type="dxa"/>
            </w:tcMar>
          </w:tcPr>
          <w:p w14:paraId="5534F393" w14:textId="48D4610F" w:rsidR="00417115" w:rsidRPr="00325A77" w:rsidRDefault="00CE73E1">
            <w:pPr>
              <w:rPr>
                <w:rFonts w:ascii="Cambria" w:hAnsi="Cambria"/>
              </w:rPr>
            </w:pPr>
            <w:r w:rsidRPr="00325A77">
              <w:rPr>
                <w:rFonts w:ascii="Cambria" w:hAnsi="Cambria"/>
                <w:b/>
                <w:bCs/>
                <w:color w:val="FFFFFF"/>
                <w:sz w:val="19"/>
                <w:szCs w:val="19"/>
              </w:rPr>
              <w:t xml:space="preserve">Base Normativa </w:t>
            </w:r>
            <w:r>
              <w:rPr>
                <w:rFonts w:ascii="Cambria" w:hAnsi="Cambria"/>
                <w:b/>
                <w:bCs/>
                <w:color w:val="FFFFFF"/>
                <w:sz w:val="19"/>
                <w:szCs w:val="19"/>
              </w:rPr>
              <w:t>q</w:t>
            </w:r>
            <w:r w:rsidRPr="00325A77">
              <w:rPr>
                <w:rFonts w:ascii="Cambria" w:hAnsi="Cambria"/>
                <w:b/>
                <w:bCs/>
                <w:color w:val="FFFFFF"/>
                <w:sz w:val="19"/>
                <w:szCs w:val="19"/>
              </w:rPr>
              <w:t xml:space="preserve">ue Sustenta </w:t>
            </w:r>
            <w:r>
              <w:rPr>
                <w:rFonts w:ascii="Cambria" w:hAnsi="Cambria"/>
                <w:b/>
                <w:bCs/>
                <w:color w:val="FFFFFF"/>
                <w:sz w:val="19"/>
                <w:szCs w:val="19"/>
              </w:rPr>
              <w:t>l</w:t>
            </w:r>
            <w:r w:rsidRPr="00325A77">
              <w:rPr>
                <w:rFonts w:ascii="Cambria" w:hAnsi="Cambria"/>
                <w:b/>
                <w:bCs/>
                <w:color w:val="FFFFFF"/>
                <w:sz w:val="19"/>
                <w:szCs w:val="19"/>
              </w:rPr>
              <w:t>a Simplificación</w:t>
            </w:r>
          </w:p>
        </w:tc>
      </w:tr>
      <w:tr w:rsidR="00417115" w:rsidRPr="00325A77" w14:paraId="58C14D66" w14:textId="77777777" w:rsidTr="00CE73E1">
        <w:tc>
          <w:tcPr>
            <w:tcW w:w="0" w:type="auto"/>
            <w:shd w:val="clear" w:color="auto" w:fill="D1D1D1" w:themeFill="background2" w:themeFillShade="E6"/>
            <w:tcMar>
              <w:top w:w="160" w:type="dxa"/>
              <w:left w:w="260" w:type="dxa"/>
              <w:bottom w:w="160" w:type="dxa"/>
              <w:right w:w="260" w:type="dxa"/>
            </w:tcMar>
          </w:tcPr>
          <w:p w14:paraId="716C09CF" w14:textId="77777777" w:rsidR="00417115" w:rsidRPr="00325A77" w:rsidRDefault="00000000">
            <w:pPr>
              <w:spacing w:line="276" w:lineRule="auto"/>
              <w:rPr>
                <w:rFonts w:ascii="Cambria" w:hAnsi="Cambria"/>
              </w:rPr>
            </w:pPr>
            <w:r w:rsidRPr="00325A77">
              <w:rPr>
                <w:rFonts w:ascii="Cambria" w:hAnsi="Cambria"/>
                <w:sz w:val="21"/>
                <w:szCs w:val="21"/>
              </w:rPr>
              <w:t>La norma permite expresamente que una entidad realice una búsqueda menos exhaustiva de información cuando el costo de obtenerla es desproporcionadamente alto respecto a sus recursos, siempre que use la mejor información razonable y disponible sin costo o esfuerzo indebido. En simple: la norma reconoce que una organización pequeña no tiene los mismos recursos que una gran corporación, y permite un análisis más sencillo siempre que esté bien justificado — este es el fundamento normativo exacto para todo enfoque simplificado.  (NIIF S1, Apéndice B)</w:t>
            </w:r>
          </w:p>
        </w:tc>
      </w:tr>
    </w:tbl>
    <w:p w14:paraId="0AC31DFF" w14:textId="77777777" w:rsidR="00417115" w:rsidRPr="00325A77" w:rsidRDefault="00000000">
      <w:pPr>
        <w:pStyle w:val="Ttulo1"/>
        <w:pBdr>
          <w:bottom w:val="single" w:sz="8" w:space="6" w:color="1F5C99"/>
        </w:pBdr>
        <w:spacing w:before="480" w:after="200"/>
        <w:rPr>
          <w:rFonts w:ascii="Cambria" w:hAnsi="Cambria"/>
        </w:rPr>
      </w:pPr>
      <w:bookmarkStart w:id="18" w:name="_Toc235311634"/>
      <w:bookmarkStart w:id="19" w:name="_Toc235354053"/>
      <w:r w:rsidRPr="00325A77">
        <w:rPr>
          <w:rFonts w:ascii="Cambria" w:hAnsi="Cambria"/>
          <w:b/>
          <w:bCs/>
          <w:color w:val="13315C"/>
          <w:sz w:val="34"/>
          <w:szCs w:val="34"/>
        </w:rPr>
        <w:t>3. Gestión del riesgo</w:t>
      </w:r>
      <w:bookmarkEnd w:id="18"/>
      <w:bookmarkEnd w:id="19"/>
    </w:p>
    <w:p w14:paraId="7A626E3D"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Procesos para identificar, evaluar, priorizar y supervisar riesgos y oportunidades de sostenibilidad y clima.</w:t>
      </w:r>
      <w:r w:rsidRPr="00325A77">
        <w:rPr>
          <w:rFonts w:ascii="Cambria" w:hAnsi="Cambria"/>
          <w:i/>
          <w:iCs/>
          <w:color w:val="5B6B7A"/>
          <w:sz w:val="18"/>
          <w:szCs w:val="18"/>
        </w:rPr>
        <w:t xml:space="preserve">  (NIIF S1 párr. 44; NIIF S2 párr. 25)</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0A91A5DC" w14:textId="77777777">
        <w:tc>
          <w:tcPr>
            <w:tcW w:w="0" w:type="auto"/>
            <w:shd w:val="clear" w:color="auto" w:fill="EAF2FA"/>
            <w:tcMar>
              <w:top w:w="160" w:type="dxa"/>
              <w:left w:w="260" w:type="dxa"/>
              <w:bottom w:w="160" w:type="dxa"/>
              <w:right w:w="260" w:type="dxa"/>
            </w:tcMar>
          </w:tcPr>
          <w:p w14:paraId="0FDF74D4" w14:textId="77777777" w:rsidR="00417115" w:rsidRPr="00325A77" w:rsidRDefault="00000000">
            <w:pPr>
              <w:spacing w:line="276" w:lineRule="auto"/>
              <w:rPr>
                <w:rFonts w:ascii="Cambria" w:hAnsi="Cambria"/>
              </w:rPr>
            </w:pPr>
            <w:r w:rsidRPr="00325A77">
              <w:rPr>
                <w:rFonts w:ascii="Cambria" w:hAnsi="Cambria"/>
                <w:i/>
                <w:iCs/>
                <w:sz w:val="21"/>
                <w:szCs w:val="21"/>
              </w:rPr>
              <w:t>La norma pide describir un ciclo de cuatro pasos, no solo mencionar que “se gestionan riesgos”: (1) identificar — cómo se detectan los riesgos (por ejemplo, revisando reportes meteorológicos oficiales sobre lluvias intensas); (2) evaluar — cómo se mide qué tan grave es cada uno; (3) priorizar — cómo se decide cuáles atender primero; y (4) supervisar — quién revisa periódicamente que el riesgo sigue bajo control. Cada uno de estos cuatro pasos debe tener una respuesta concreta en el informe.</w:t>
            </w:r>
          </w:p>
        </w:tc>
      </w:tr>
    </w:tbl>
    <w:p w14:paraId="33BD3538" w14:textId="77777777" w:rsidR="004A2012" w:rsidRDefault="004A2012" w:rsidP="004A2012">
      <w:pPr>
        <w:pStyle w:val="Prrafodelista"/>
        <w:spacing w:after="140" w:line="276" w:lineRule="auto"/>
        <w:ind w:left="720"/>
        <w:rPr>
          <w:rFonts w:ascii="Cambria" w:hAnsi="Cambria"/>
        </w:rPr>
      </w:pPr>
    </w:p>
    <w:p w14:paraId="1094AF48" w14:textId="15172398"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Integración con la gestión de riesgos institucional general de la entidad.</w:t>
      </w:r>
      <w:r w:rsidRPr="00325A77">
        <w:rPr>
          <w:rFonts w:ascii="Cambria" w:hAnsi="Cambria"/>
          <w:i/>
          <w:iCs/>
          <w:color w:val="5B6B7A"/>
          <w:sz w:val="18"/>
          <w:szCs w:val="18"/>
        </w:rPr>
        <w:t xml:space="preserve">  (NIIF S1 párr. 44(c); NIIF S2 párr. 25(c))</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3274ECB1" w14:textId="77777777">
        <w:tc>
          <w:tcPr>
            <w:tcW w:w="0" w:type="auto"/>
            <w:shd w:val="clear" w:color="auto" w:fill="EAF2FA"/>
            <w:tcMar>
              <w:top w:w="160" w:type="dxa"/>
              <w:left w:w="260" w:type="dxa"/>
              <w:bottom w:w="160" w:type="dxa"/>
              <w:right w:w="260" w:type="dxa"/>
            </w:tcMar>
          </w:tcPr>
          <w:p w14:paraId="4D64E368" w14:textId="106AFD9C" w:rsidR="00417115" w:rsidRPr="00325A77" w:rsidRDefault="004A2012">
            <w:pPr>
              <w:spacing w:line="276" w:lineRule="auto"/>
              <w:rPr>
                <w:rFonts w:ascii="Cambria" w:hAnsi="Cambria"/>
              </w:rPr>
            </w:pPr>
            <w:r>
              <w:rPr>
                <w:rFonts w:ascii="Cambria" w:hAnsi="Cambria"/>
                <w:i/>
                <w:iCs/>
                <w:sz w:val="21"/>
                <w:szCs w:val="21"/>
              </w:rPr>
              <w:t>E</w:t>
            </w:r>
            <w:r w:rsidRPr="00325A77">
              <w:rPr>
                <w:rFonts w:ascii="Cambria" w:hAnsi="Cambria"/>
                <w:i/>
                <w:iCs/>
                <w:sz w:val="21"/>
                <w:szCs w:val="21"/>
              </w:rPr>
              <w:t>xplicar si estos riesgos de sostenibilidad se gestionan por separado o si están integrados al mismo proceso con el que la organización ya gestiona otros riesgos institucionales (financieros, operativos, legales). La norma prefiere que estén integrados, no en un sistema paralelo aislado.</w:t>
            </w:r>
          </w:p>
        </w:tc>
      </w:tr>
    </w:tbl>
    <w:p w14:paraId="4AA908F5" w14:textId="77777777" w:rsidR="00417115" w:rsidRPr="00325A77" w:rsidRDefault="00000000">
      <w:pPr>
        <w:pStyle w:val="Ttulo1"/>
        <w:pBdr>
          <w:bottom w:val="single" w:sz="8" w:space="6" w:color="1F5C99"/>
        </w:pBdr>
        <w:spacing w:before="480" w:after="200"/>
        <w:rPr>
          <w:rFonts w:ascii="Cambria" w:hAnsi="Cambria"/>
        </w:rPr>
      </w:pPr>
      <w:bookmarkStart w:id="20" w:name="_Toc235311635"/>
      <w:bookmarkStart w:id="21" w:name="_Toc235354054"/>
      <w:r w:rsidRPr="00325A77">
        <w:rPr>
          <w:rFonts w:ascii="Cambria" w:hAnsi="Cambria"/>
          <w:b/>
          <w:bCs/>
          <w:color w:val="13315C"/>
          <w:sz w:val="34"/>
          <w:szCs w:val="34"/>
        </w:rPr>
        <w:t>4. Métricas y objetivos</w:t>
      </w:r>
      <w:bookmarkEnd w:id="20"/>
      <w:bookmarkEnd w:id="21"/>
    </w:p>
    <w:p w14:paraId="51C983DB" w14:textId="77C6D744" w:rsidR="00417115" w:rsidRPr="00325A77" w:rsidRDefault="00000000">
      <w:pPr>
        <w:pStyle w:val="Ttulo2"/>
        <w:spacing w:before="320" w:after="140"/>
        <w:rPr>
          <w:rFonts w:ascii="Cambria" w:hAnsi="Cambria"/>
        </w:rPr>
      </w:pPr>
      <w:bookmarkStart w:id="22" w:name="_Toc235311636"/>
      <w:bookmarkStart w:id="23" w:name="_Toc235354055"/>
      <w:r w:rsidRPr="00325A77">
        <w:rPr>
          <w:rFonts w:ascii="Cambria" w:hAnsi="Cambria"/>
          <w:b/>
          <w:bCs/>
          <w:color w:val="1F5C99"/>
        </w:rPr>
        <w:t>4.1 Métricas</w:t>
      </w:r>
      <w:bookmarkEnd w:id="22"/>
      <w:bookmarkEnd w:id="23"/>
    </w:p>
    <w:p w14:paraId="3AD45521" w14:textId="7C8CF51C" w:rsidR="00417115" w:rsidRPr="00325A77" w:rsidRDefault="002C0349">
      <w:pPr>
        <w:spacing w:after="160" w:line="288" w:lineRule="auto"/>
        <w:rPr>
          <w:rFonts w:ascii="Cambria" w:hAnsi="Cambria"/>
        </w:rPr>
      </w:pPr>
      <w:r>
        <w:rPr>
          <w:rFonts w:ascii="Cambria" w:hAnsi="Cambria"/>
        </w:rPr>
        <w:t>T</w:t>
      </w:r>
      <w:r w:rsidRPr="00325A77">
        <w:rPr>
          <w:rFonts w:ascii="Cambria" w:hAnsi="Cambria"/>
        </w:rPr>
        <w:t>res conceptos clave</w:t>
      </w:r>
      <w:r>
        <w:rPr>
          <w:rFonts w:ascii="Cambria" w:hAnsi="Cambria"/>
        </w:rPr>
        <w:t>s</w:t>
      </w:r>
      <w:r w:rsidRPr="00325A77">
        <w:rPr>
          <w:rFonts w:ascii="Cambria" w:hAnsi="Cambria"/>
        </w:rPr>
        <w:t xml:space="preserve"> explicados:</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0ACA8A5D" w14:textId="77777777">
        <w:tc>
          <w:tcPr>
            <w:tcW w:w="0" w:type="auto"/>
            <w:shd w:val="clear" w:color="auto" w:fill="EAF2FA"/>
            <w:tcMar>
              <w:top w:w="160" w:type="dxa"/>
              <w:left w:w="260" w:type="dxa"/>
              <w:bottom w:w="160" w:type="dxa"/>
              <w:right w:w="260" w:type="dxa"/>
            </w:tcMar>
          </w:tcPr>
          <w:p w14:paraId="745F659F" w14:textId="77777777" w:rsidR="00417115" w:rsidRPr="00325A77" w:rsidRDefault="00000000">
            <w:pPr>
              <w:spacing w:line="276" w:lineRule="auto"/>
              <w:rPr>
                <w:rFonts w:ascii="Cambria" w:hAnsi="Cambria"/>
              </w:rPr>
            </w:pPr>
            <w:r w:rsidRPr="00325A77">
              <w:rPr>
                <w:rFonts w:ascii="Cambria" w:hAnsi="Cambria"/>
                <w:i/>
                <w:iCs/>
                <w:sz w:val="21"/>
                <w:szCs w:val="21"/>
              </w:rPr>
              <w:t>Alcance 1 = las emisiones que salen directamente de algo que la entidad posee o controla (por ejemplo, el combustible de un generador propio). Alcance 2 = las emisiones “indirectas” que vienen de la electricidad que la entidad compra y consume. Alcance 3 = todas las demás emisiones indirectas de la cadena de valor, que no vienen de la entidad misma pero sí de su actividad (por ejemplo, los residuos que genera la operación de la terminal, o los viajes de trabajo del personal).</w:t>
            </w:r>
          </w:p>
        </w:tc>
      </w:tr>
    </w:tbl>
    <w:p w14:paraId="172AC02B" w14:textId="77777777" w:rsidR="00417115" w:rsidRPr="00325A77" w:rsidRDefault="00417115">
      <w:pPr>
        <w:spacing w:after="60"/>
        <w:rPr>
          <w:rFonts w:ascii="Cambria" w:hAnsi="Cambria"/>
        </w:rPr>
      </w:pPr>
    </w:p>
    <w:tbl>
      <w:tblPr>
        <w:tblW w:w="9800" w:type="dxa"/>
        <w:tblBorders>
          <w:top w:val="single" w:sz="4" w:space="0" w:color="4A8FC2"/>
          <w:left w:val="single" w:sz="4" w:space="0" w:color="4A8FC2"/>
          <w:bottom w:val="single" w:sz="4" w:space="0" w:color="4A8FC2"/>
          <w:right w:val="single" w:sz="4" w:space="0" w:color="4A8FC2"/>
          <w:insideH w:val="single" w:sz="2" w:space="0" w:color="C9DCEE"/>
          <w:insideV w:val="single" w:sz="2" w:space="0" w:color="C9DCEE"/>
        </w:tblBorders>
        <w:tblCellMar>
          <w:left w:w="10" w:type="dxa"/>
          <w:right w:w="10" w:type="dxa"/>
        </w:tblCellMar>
        <w:tblLook w:val="04A0" w:firstRow="1" w:lastRow="0" w:firstColumn="1" w:lastColumn="0" w:noHBand="0" w:noVBand="1"/>
      </w:tblPr>
      <w:tblGrid>
        <w:gridCol w:w="2600"/>
        <w:gridCol w:w="5200"/>
        <w:gridCol w:w="2000"/>
      </w:tblGrid>
      <w:tr w:rsidR="00417115" w:rsidRPr="00325A77" w14:paraId="0EC41A4F" w14:textId="77777777">
        <w:trPr>
          <w:tblHeader/>
        </w:trPr>
        <w:tc>
          <w:tcPr>
            <w:tcW w:w="2600" w:type="dxa"/>
            <w:shd w:val="clear" w:color="auto" w:fill="13315C"/>
            <w:tcMar>
              <w:top w:w="120" w:type="dxa"/>
              <w:left w:w="160" w:type="dxa"/>
              <w:bottom w:w="120" w:type="dxa"/>
              <w:right w:w="160" w:type="dxa"/>
            </w:tcMar>
            <w:vAlign w:val="center"/>
          </w:tcPr>
          <w:p w14:paraId="5E1AF5CE" w14:textId="77777777" w:rsidR="00417115" w:rsidRPr="00325A77" w:rsidRDefault="00000000">
            <w:pPr>
              <w:spacing w:line="260" w:lineRule="auto"/>
              <w:rPr>
                <w:rFonts w:ascii="Cambria" w:hAnsi="Cambria"/>
              </w:rPr>
            </w:pPr>
            <w:r w:rsidRPr="00325A77">
              <w:rPr>
                <w:rFonts w:ascii="Cambria" w:hAnsi="Cambria"/>
                <w:b/>
                <w:bCs/>
                <w:color w:val="FFFFFF"/>
                <w:sz w:val="19"/>
                <w:szCs w:val="19"/>
              </w:rPr>
              <w:t>Categoría</w:t>
            </w:r>
          </w:p>
        </w:tc>
        <w:tc>
          <w:tcPr>
            <w:tcW w:w="5200" w:type="dxa"/>
            <w:shd w:val="clear" w:color="auto" w:fill="13315C"/>
            <w:tcMar>
              <w:top w:w="120" w:type="dxa"/>
              <w:left w:w="160" w:type="dxa"/>
              <w:bottom w:w="120" w:type="dxa"/>
              <w:right w:w="160" w:type="dxa"/>
            </w:tcMar>
            <w:vAlign w:val="center"/>
          </w:tcPr>
          <w:p w14:paraId="4B54C4EA" w14:textId="77777777" w:rsidR="00417115" w:rsidRPr="00325A77" w:rsidRDefault="00000000">
            <w:pPr>
              <w:spacing w:line="260" w:lineRule="auto"/>
              <w:rPr>
                <w:rFonts w:ascii="Cambria" w:hAnsi="Cambria"/>
              </w:rPr>
            </w:pPr>
            <w:r w:rsidRPr="00325A77">
              <w:rPr>
                <w:rFonts w:ascii="Cambria" w:hAnsi="Cambria"/>
                <w:b/>
                <w:bCs/>
                <w:color w:val="FFFFFF"/>
                <w:sz w:val="19"/>
                <w:szCs w:val="19"/>
              </w:rPr>
              <w:t>Por qué aplica a una terminal terrestre</w:t>
            </w:r>
          </w:p>
        </w:tc>
        <w:tc>
          <w:tcPr>
            <w:tcW w:w="2000" w:type="dxa"/>
            <w:shd w:val="clear" w:color="auto" w:fill="13315C"/>
            <w:tcMar>
              <w:top w:w="120" w:type="dxa"/>
              <w:left w:w="160" w:type="dxa"/>
              <w:bottom w:w="120" w:type="dxa"/>
              <w:right w:w="160" w:type="dxa"/>
            </w:tcMar>
            <w:vAlign w:val="center"/>
          </w:tcPr>
          <w:p w14:paraId="0E132020" w14:textId="77777777" w:rsidR="00417115" w:rsidRPr="00325A77" w:rsidRDefault="00000000">
            <w:pPr>
              <w:spacing w:line="260" w:lineRule="auto"/>
              <w:rPr>
                <w:rFonts w:ascii="Cambria" w:hAnsi="Cambria"/>
              </w:rPr>
            </w:pPr>
            <w:r w:rsidRPr="00325A77">
              <w:rPr>
                <w:rFonts w:ascii="Cambria" w:hAnsi="Cambria"/>
                <w:b/>
                <w:bCs/>
                <w:color w:val="FFFFFF"/>
                <w:sz w:val="19"/>
                <w:szCs w:val="19"/>
              </w:rPr>
              <w:t>Referencia</w:t>
            </w:r>
          </w:p>
        </w:tc>
      </w:tr>
      <w:tr w:rsidR="00417115" w:rsidRPr="00325A77" w14:paraId="4EFF514F" w14:textId="77777777">
        <w:tc>
          <w:tcPr>
            <w:tcW w:w="2600" w:type="dxa"/>
            <w:shd w:val="clear" w:color="auto" w:fill="FFFFFF"/>
            <w:tcMar>
              <w:top w:w="120" w:type="dxa"/>
              <w:left w:w="160" w:type="dxa"/>
              <w:bottom w:w="120" w:type="dxa"/>
              <w:right w:w="160" w:type="dxa"/>
            </w:tcMar>
            <w:vAlign w:val="center"/>
          </w:tcPr>
          <w:p w14:paraId="14320266" w14:textId="77777777" w:rsidR="00417115" w:rsidRPr="00325A77" w:rsidRDefault="00000000">
            <w:pPr>
              <w:spacing w:line="260" w:lineRule="auto"/>
              <w:rPr>
                <w:rFonts w:ascii="Cambria" w:hAnsi="Cambria"/>
              </w:rPr>
            </w:pPr>
            <w:r w:rsidRPr="00325A77">
              <w:rPr>
                <w:rFonts w:ascii="Cambria" w:hAnsi="Cambria"/>
                <w:sz w:val="19"/>
                <w:szCs w:val="19"/>
              </w:rPr>
              <w:t>Emisiones GEI — Alcance 1</w:t>
            </w:r>
          </w:p>
        </w:tc>
        <w:tc>
          <w:tcPr>
            <w:tcW w:w="5200" w:type="dxa"/>
            <w:shd w:val="clear" w:color="auto" w:fill="FFFFFF"/>
            <w:tcMar>
              <w:top w:w="120" w:type="dxa"/>
              <w:left w:w="160" w:type="dxa"/>
              <w:bottom w:w="120" w:type="dxa"/>
              <w:right w:w="160" w:type="dxa"/>
            </w:tcMar>
            <w:vAlign w:val="center"/>
          </w:tcPr>
          <w:p w14:paraId="5D92B149" w14:textId="77777777" w:rsidR="00417115" w:rsidRPr="00325A77" w:rsidRDefault="00000000">
            <w:pPr>
              <w:spacing w:line="260" w:lineRule="auto"/>
              <w:rPr>
                <w:rFonts w:ascii="Cambria" w:hAnsi="Cambria"/>
              </w:rPr>
            </w:pPr>
            <w:r w:rsidRPr="00325A77">
              <w:rPr>
                <w:rFonts w:ascii="Cambria" w:hAnsi="Cambria"/>
                <w:sz w:val="19"/>
                <w:szCs w:val="19"/>
              </w:rPr>
              <w:t>Combustibles propios: generadores de respaldo, vehículos de servicio y mantenimiento de la terminal.</w:t>
            </w:r>
          </w:p>
        </w:tc>
        <w:tc>
          <w:tcPr>
            <w:tcW w:w="2000" w:type="dxa"/>
            <w:shd w:val="clear" w:color="auto" w:fill="FFFFFF"/>
            <w:tcMar>
              <w:top w:w="120" w:type="dxa"/>
              <w:left w:w="160" w:type="dxa"/>
              <w:bottom w:w="120" w:type="dxa"/>
              <w:right w:w="160" w:type="dxa"/>
            </w:tcMar>
            <w:vAlign w:val="center"/>
          </w:tcPr>
          <w:p w14:paraId="5FA81A21" w14:textId="77777777" w:rsidR="00417115" w:rsidRPr="00325A77" w:rsidRDefault="00000000">
            <w:pPr>
              <w:spacing w:line="260" w:lineRule="auto"/>
              <w:rPr>
                <w:rFonts w:ascii="Cambria" w:hAnsi="Cambria"/>
              </w:rPr>
            </w:pPr>
            <w:r w:rsidRPr="00325A77">
              <w:rPr>
                <w:rFonts w:ascii="Cambria" w:hAnsi="Cambria"/>
                <w:sz w:val="19"/>
                <w:szCs w:val="19"/>
              </w:rPr>
              <w:t>NIIF S2 párr. 29(a)</w:t>
            </w:r>
          </w:p>
        </w:tc>
      </w:tr>
      <w:tr w:rsidR="00417115" w:rsidRPr="00325A77" w14:paraId="1070D0B8" w14:textId="77777777">
        <w:tc>
          <w:tcPr>
            <w:tcW w:w="2600" w:type="dxa"/>
            <w:shd w:val="clear" w:color="auto" w:fill="F4F8FC"/>
            <w:tcMar>
              <w:top w:w="120" w:type="dxa"/>
              <w:left w:w="160" w:type="dxa"/>
              <w:bottom w:w="120" w:type="dxa"/>
              <w:right w:w="160" w:type="dxa"/>
            </w:tcMar>
            <w:vAlign w:val="center"/>
          </w:tcPr>
          <w:p w14:paraId="33DF1E10" w14:textId="77777777" w:rsidR="00417115" w:rsidRPr="00325A77" w:rsidRDefault="00000000">
            <w:pPr>
              <w:spacing w:line="260" w:lineRule="auto"/>
              <w:rPr>
                <w:rFonts w:ascii="Cambria" w:hAnsi="Cambria"/>
              </w:rPr>
            </w:pPr>
            <w:r w:rsidRPr="00325A77">
              <w:rPr>
                <w:rFonts w:ascii="Cambria" w:hAnsi="Cambria"/>
                <w:sz w:val="19"/>
                <w:szCs w:val="19"/>
              </w:rPr>
              <w:t>Emisiones GEI — Alcance 2</w:t>
            </w:r>
          </w:p>
        </w:tc>
        <w:tc>
          <w:tcPr>
            <w:tcW w:w="5200" w:type="dxa"/>
            <w:shd w:val="clear" w:color="auto" w:fill="F4F8FC"/>
            <w:tcMar>
              <w:top w:w="120" w:type="dxa"/>
              <w:left w:w="160" w:type="dxa"/>
              <w:bottom w:w="120" w:type="dxa"/>
              <w:right w:w="160" w:type="dxa"/>
            </w:tcMar>
            <w:vAlign w:val="center"/>
          </w:tcPr>
          <w:p w14:paraId="119127E7" w14:textId="77777777" w:rsidR="00417115" w:rsidRPr="00325A77" w:rsidRDefault="00000000">
            <w:pPr>
              <w:spacing w:line="260" w:lineRule="auto"/>
              <w:rPr>
                <w:rFonts w:ascii="Cambria" w:hAnsi="Cambria"/>
              </w:rPr>
            </w:pPr>
            <w:r w:rsidRPr="00325A77">
              <w:rPr>
                <w:rFonts w:ascii="Cambria" w:hAnsi="Cambria"/>
                <w:sz w:val="19"/>
                <w:szCs w:val="19"/>
              </w:rPr>
              <w:t>Electricidad consumida en las instalaciones (iluminación, oficinas, sistemas de climatización).</w:t>
            </w:r>
          </w:p>
        </w:tc>
        <w:tc>
          <w:tcPr>
            <w:tcW w:w="2000" w:type="dxa"/>
            <w:shd w:val="clear" w:color="auto" w:fill="F4F8FC"/>
            <w:tcMar>
              <w:top w:w="120" w:type="dxa"/>
              <w:left w:w="160" w:type="dxa"/>
              <w:bottom w:w="120" w:type="dxa"/>
              <w:right w:w="160" w:type="dxa"/>
            </w:tcMar>
            <w:vAlign w:val="center"/>
          </w:tcPr>
          <w:p w14:paraId="08B48577" w14:textId="77777777" w:rsidR="00417115" w:rsidRPr="00325A77" w:rsidRDefault="00000000">
            <w:pPr>
              <w:spacing w:line="260" w:lineRule="auto"/>
              <w:rPr>
                <w:rFonts w:ascii="Cambria" w:hAnsi="Cambria"/>
              </w:rPr>
            </w:pPr>
            <w:r w:rsidRPr="00325A77">
              <w:rPr>
                <w:rFonts w:ascii="Cambria" w:hAnsi="Cambria"/>
                <w:sz w:val="19"/>
                <w:szCs w:val="19"/>
              </w:rPr>
              <w:t>NIIF S2 párr. 29(a)</w:t>
            </w:r>
          </w:p>
        </w:tc>
      </w:tr>
      <w:tr w:rsidR="00417115" w:rsidRPr="00325A77" w14:paraId="61C8EA30" w14:textId="77777777">
        <w:tc>
          <w:tcPr>
            <w:tcW w:w="2600" w:type="dxa"/>
            <w:shd w:val="clear" w:color="auto" w:fill="FFFFFF"/>
            <w:tcMar>
              <w:top w:w="120" w:type="dxa"/>
              <w:left w:w="160" w:type="dxa"/>
              <w:bottom w:w="120" w:type="dxa"/>
              <w:right w:w="160" w:type="dxa"/>
            </w:tcMar>
            <w:vAlign w:val="center"/>
          </w:tcPr>
          <w:p w14:paraId="5303D5F2" w14:textId="77777777" w:rsidR="00417115" w:rsidRPr="00325A77" w:rsidRDefault="00000000">
            <w:pPr>
              <w:spacing w:line="260" w:lineRule="auto"/>
              <w:rPr>
                <w:rFonts w:ascii="Cambria" w:hAnsi="Cambria"/>
              </w:rPr>
            </w:pPr>
            <w:r w:rsidRPr="00325A77">
              <w:rPr>
                <w:rFonts w:ascii="Cambria" w:hAnsi="Cambria"/>
                <w:sz w:val="19"/>
                <w:szCs w:val="19"/>
              </w:rPr>
              <w:t>Emisiones GEI — Alcance 3 (selectivas)</w:t>
            </w:r>
          </w:p>
        </w:tc>
        <w:tc>
          <w:tcPr>
            <w:tcW w:w="5200" w:type="dxa"/>
            <w:shd w:val="clear" w:color="auto" w:fill="FFFFFF"/>
            <w:tcMar>
              <w:top w:w="120" w:type="dxa"/>
              <w:left w:w="160" w:type="dxa"/>
              <w:bottom w:w="120" w:type="dxa"/>
              <w:right w:w="160" w:type="dxa"/>
            </w:tcMar>
            <w:vAlign w:val="center"/>
          </w:tcPr>
          <w:p w14:paraId="55337A1B" w14:textId="5DB6CAD2" w:rsidR="00417115" w:rsidRPr="00325A77" w:rsidRDefault="00000000">
            <w:pPr>
              <w:spacing w:line="260" w:lineRule="auto"/>
              <w:rPr>
                <w:rFonts w:ascii="Cambria" w:hAnsi="Cambria"/>
              </w:rPr>
            </w:pPr>
            <w:r w:rsidRPr="00325A77">
              <w:rPr>
                <w:rFonts w:ascii="Cambria" w:hAnsi="Cambria"/>
                <w:sz w:val="19"/>
                <w:szCs w:val="19"/>
              </w:rPr>
              <w:t xml:space="preserve">Bienes y servicios adquiridos, residuos, viajes de negocio y desplazamiento del personal. </w:t>
            </w:r>
          </w:p>
        </w:tc>
        <w:tc>
          <w:tcPr>
            <w:tcW w:w="2000" w:type="dxa"/>
            <w:shd w:val="clear" w:color="auto" w:fill="FFFFFF"/>
            <w:tcMar>
              <w:top w:w="120" w:type="dxa"/>
              <w:left w:w="160" w:type="dxa"/>
              <w:bottom w:w="120" w:type="dxa"/>
              <w:right w:w="160" w:type="dxa"/>
            </w:tcMar>
            <w:vAlign w:val="center"/>
          </w:tcPr>
          <w:p w14:paraId="32E04BCE" w14:textId="77777777" w:rsidR="00417115" w:rsidRPr="00325A77" w:rsidRDefault="00000000">
            <w:pPr>
              <w:spacing w:line="260" w:lineRule="auto"/>
              <w:rPr>
                <w:rFonts w:ascii="Cambria" w:hAnsi="Cambria"/>
              </w:rPr>
            </w:pPr>
            <w:r w:rsidRPr="00325A77">
              <w:rPr>
                <w:rFonts w:ascii="Cambria" w:hAnsi="Cambria"/>
                <w:sz w:val="19"/>
                <w:szCs w:val="19"/>
              </w:rPr>
              <w:t>NIIF S2 párr. 29(a)(vi); Apéndice B, párr. B32</w:t>
            </w:r>
          </w:p>
        </w:tc>
      </w:tr>
      <w:tr w:rsidR="00417115" w:rsidRPr="00325A77" w14:paraId="2C188F64" w14:textId="77777777">
        <w:tc>
          <w:tcPr>
            <w:tcW w:w="2600" w:type="dxa"/>
            <w:shd w:val="clear" w:color="auto" w:fill="F4F8FC"/>
            <w:tcMar>
              <w:top w:w="120" w:type="dxa"/>
              <w:left w:w="160" w:type="dxa"/>
              <w:bottom w:w="120" w:type="dxa"/>
              <w:right w:w="160" w:type="dxa"/>
            </w:tcMar>
            <w:vAlign w:val="center"/>
          </w:tcPr>
          <w:p w14:paraId="73CD10CC" w14:textId="77777777" w:rsidR="00417115" w:rsidRPr="00325A77" w:rsidRDefault="00000000">
            <w:pPr>
              <w:spacing w:line="260" w:lineRule="auto"/>
              <w:rPr>
                <w:rFonts w:ascii="Cambria" w:hAnsi="Cambria"/>
              </w:rPr>
            </w:pPr>
            <w:r w:rsidRPr="00325A77">
              <w:rPr>
                <w:rFonts w:ascii="Cambria" w:hAnsi="Cambria"/>
                <w:sz w:val="19"/>
                <w:szCs w:val="19"/>
              </w:rPr>
              <w:t>Riesgos físicos climáticos</w:t>
            </w:r>
          </w:p>
        </w:tc>
        <w:tc>
          <w:tcPr>
            <w:tcW w:w="5200" w:type="dxa"/>
            <w:shd w:val="clear" w:color="auto" w:fill="F4F8FC"/>
            <w:tcMar>
              <w:top w:w="120" w:type="dxa"/>
              <w:left w:w="160" w:type="dxa"/>
              <w:bottom w:w="120" w:type="dxa"/>
              <w:right w:w="160" w:type="dxa"/>
            </w:tcMar>
            <w:vAlign w:val="center"/>
          </w:tcPr>
          <w:p w14:paraId="1D0A4864" w14:textId="77777777" w:rsidR="00417115" w:rsidRPr="00325A77" w:rsidRDefault="00000000">
            <w:pPr>
              <w:spacing w:line="260" w:lineRule="auto"/>
              <w:rPr>
                <w:rFonts w:ascii="Cambria" w:hAnsi="Cambria"/>
              </w:rPr>
            </w:pPr>
            <w:r w:rsidRPr="00325A77">
              <w:rPr>
                <w:rFonts w:ascii="Cambria" w:hAnsi="Cambria"/>
                <w:sz w:val="19"/>
                <w:szCs w:val="19"/>
              </w:rPr>
              <w:t>% de infraestructura de la terminal vulnerable a inundación o calor extremo.</w:t>
            </w:r>
          </w:p>
        </w:tc>
        <w:tc>
          <w:tcPr>
            <w:tcW w:w="2000" w:type="dxa"/>
            <w:shd w:val="clear" w:color="auto" w:fill="F4F8FC"/>
            <w:tcMar>
              <w:top w:w="120" w:type="dxa"/>
              <w:left w:w="160" w:type="dxa"/>
              <w:bottom w:w="120" w:type="dxa"/>
              <w:right w:w="160" w:type="dxa"/>
            </w:tcMar>
            <w:vAlign w:val="center"/>
          </w:tcPr>
          <w:p w14:paraId="2E87D58F" w14:textId="77777777" w:rsidR="00417115" w:rsidRPr="00325A77" w:rsidRDefault="00000000">
            <w:pPr>
              <w:spacing w:line="260" w:lineRule="auto"/>
              <w:rPr>
                <w:rFonts w:ascii="Cambria" w:hAnsi="Cambria"/>
              </w:rPr>
            </w:pPr>
            <w:r w:rsidRPr="00325A77">
              <w:rPr>
                <w:rFonts w:ascii="Cambria" w:hAnsi="Cambria"/>
                <w:sz w:val="19"/>
                <w:szCs w:val="19"/>
              </w:rPr>
              <w:t>NIIF S2 párr. 29(c)</w:t>
            </w:r>
          </w:p>
        </w:tc>
      </w:tr>
      <w:tr w:rsidR="00417115" w:rsidRPr="00325A77" w14:paraId="33A22F87" w14:textId="77777777">
        <w:tc>
          <w:tcPr>
            <w:tcW w:w="2600" w:type="dxa"/>
            <w:shd w:val="clear" w:color="auto" w:fill="FFFFFF"/>
            <w:tcMar>
              <w:top w:w="120" w:type="dxa"/>
              <w:left w:w="160" w:type="dxa"/>
              <w:bottom w:w="120" w:type="dxa"/>
              <w:right w:w="160" w:type="dxa"/>
            </w:tcMar>
            <w:vAlign w:val="center"/>
          </w:tcPr>
          <w:p w14:paraId="4541AAE5" w14:textId="77777777" w:rsidR="00417115" w:rsidRPr="00325A77" w:rsidRDefault="00000000">
            <w:pPr>
              <w:spacing w:line="260" w:lineRule="auto"/>
              <w:rPr>
                <w:rFonts w:ascii="Cambria" w:hAnsi="Cambria"/>
              </w:rPr>
            </w:pPr>
            <w:r w:rsidRPr="00325A77">
              <w:rPr>
                <w:rFonts w:ascii="Cambria" w:hAnsi="Cambria"/>
                <w:sz w:val="19"/>
                <w:szCs w:val="19"/>
              </w:rPr>
              <w:t>Riesgos de transición</w:t>
            </w:r>
          </w:p>
        </w:tc>
        <w:tc>
          <w:tcPr>
            <w:tcW w:w="5200" w:type="dxa"/>
            <w:shd w:val="clear" w:color="auto" w:fill="FFFFFF"/>
            <w:tcMar>
              <w:top w:w="120" w:type="dxa"/>
              <w:left w:w="160" w:type="dxa"/>
              <w:bottom w:w="120" w:type="dxa"/>
              <w:right w:w="160" w:type="dxa"/>
            </w:tcMar>
            <w:vAlign w:val="center"/>
          </w:tcPr>
          <w:p w14:paraId="0345FC8B" w14:textId="77777777" w:rsidR="00417115" w:rsidRPr="00325A77" w:rsidRDefault="00000000">
            <w:pPr>
              <w:spacing w:line="260" w:lineRule="auto"/>
              <w:rPr>
                <w:rFonts w:ascii="Cambria" w:hAnsi="Cambria"/>
              </w:rPr>
            </w:pPr>
            <w:r w:rsidRPr="00325A77">
              <w:rPr>
                <w:rFonts w:ascii="Cambria" w:hAnsi="Cambria"/>
                <w:sz w:val="19"/>
                <w:szCs w:val="19"/>
              </w:rPr>
              <w:t>Nueva regulación de emisiones a transportistas, normativa de combustibles.</w:t>
            </w:r>
          </w:p>
        </w:tc>
        <w:tc>
          <w:tcPr>
            <w:tcW w:w="2000" w:type="dxa"/>
            <w:shd w:val="clear" w:color="auto" w:fill="FFFFFF"/>
            <w:tcMar>
              <w:top w:w="120" w:type="dxa"/>
              <w:left w:w="160" w:type="dxa"/>
              <w:bottom w:w="120" w:type="dxa"/>
              <w:right w:w="160" w:type="dxa"/>
            </w:tcMar>
            <w:vAlign w:val="center"/>
          </w:tcPr>
          <w:p w14:paraId="2EF622CF" w14:textId="77777777" w:rsidR="00417115" w:rsidRPr="00325A77" w:rsidRDefault="00000000">
            <w:pPr>
              <w:spacing w:line="260" w:lineRule="auto"/>
              <w:rPr>
                <w:rFonts w:ascii="Cambria" w:hAnsi="Cambria"/>
              </w:rPr>
            </w:pPr>
            <w:r w:rsidRPr="00325A77">
              <w:rPr>
                <w:rFonts w:ascii="Cambria" w:hAnsi="Cambria"/>
                <w:sz w:val="19"/>
                <w:szCs w:val="19"/>
              </w:rPr>
              <w:t>NIIF S2 párr. 29(b)</w:t>
            </w:r>
          </w:p>
        </w:tc>
      </w:tr>
      <w:tr w:rsidR="00417115" w:rsidRPr="00325A77" w14:paraId="4DB41C1E" w14:textId="77777777">
        <w:tc>
          <w:tcPr>
            <w:tcW w:w="2600" w:type="dxa"/>
            <w:shd w:val="clear" w:color="auto" w:fill="F4F8FC"/>
            <w:tcMar>
              <w:top w:w="120" w:type="dxa"/>
              <w:left w:w="160" w:type="dxa"/>
              <w:bottom w:w="120" w:type="dxa"/>
              <w:right w:w="160" w:type="dxa"/>
            </w:tcMar>
            <w:vAlign w:val="center"/>
          </w:tcPr>
          <w:p w14:paraId="70060DBB" w14:textId="77777777" w:rsidR="00417115" w:rsidRPr="00325A77" w:rsidRDefault="00000000">
            <w:pPr>
              <w:spacing w:line="260" w:lineRule="auto"/>
              <w:rPr>
                <w:rFonts w:ascii="Cambria" w:hAnsi="Cambria"/>
              </w:rPr>
            </w:pPr>
            <w:r w:rsidRPr="00325A77">
              <w:rPr>
                <w:rFonts w:ascii="Cambria" w:hAnsi="Cambria"/>
                <w:sz w:val="19"/>
                <w:szCs w:val="19"/>
              </w:rPr>
              <w:t>Oportunidades climáticas</w:t>
            </w:r>
          </w:p>
        </w:tc>
        <w:tc>
          <w:tcPr>
            <w:tcW w:w="5200" w:type="dxa"/>
            <w:shd w:val="clear" w:color="auto" w:fill="F4F8FC"/>
            <w:tcMar>
              <w:top w:w="120" w:type="dxa"/>
              <w:left w:w="160" w:type="dxa"/>
              <w:bottom w:w="120" w:type="dxa"/>
              <w:right w:w="160" w:type="dxa"/>
            </w:tcMar>
            <w:vAlign w:val="center"/>
          </w:tcPr>
          <w:p w14:paraId="3349A7E9" w14:textId="77777777" w:rsidR="00417115" w:rsidRPr="00325A77" w:rsidRDefault="00000000">
            <w:pPr>
              <w:spacing w:line="260" w:lineRule="auto"/>
              <w:rPr>
                <w:rFonts w:ascii="Cambria" w:hAnsi="Cambria"/>
              </w:rPr>
            </w:pPr>
            <w:r w:rsidRPr="00325A77">
              <w:rPr>
                <w:rFonts w:ascii="Cambria" w:hAnsi="Cambria"/>
                <w:sz w:val="19"/>
                <w:szCs w:val="19"/>
              </w:rPr>
              <w:t>Eficiencia energética, movilidad sostenible, paneles solares.</w:t>
            </w:r>
          </w:p>
        </w:tc>
        <w:tc>
          <w:tcPr>
            <w:tcW w:w="2000" w:type="dxa"/>
            <w:shd w:val="clear" w:color="auto" w:fill="F4F8FC"/>
            <w:tcMar>
              <w:top w:w="120" w:type="dxa"/>
              <w:left w:w="160" w:type="dxa"/>
              <w:bottom w:w="120" w:type="dxa"/>
              <w:right w:w="160" w:type="dxa"/>
            </w:tcMar>
            <w:vAlign w:val="center"/>
          </w:tcPr>
          <w:p w14:paraId="2BBB5B8E" w14:textId="77777777" w:rsidR="00417115" w:rsidRPr="00325A77" w:rsidRDefault="00000000">
            <w:pPr>
              <w:spacing w:line="260" w:lineRule="auto"/>
              <w:rPr>
                <w:rFonts w:ascii="Cambria" w:hAnsi="Cambria"/>
              </w:rPr>
            </w:pPr>
            <w:r w:rsidRPr="00325A77">
              <w:rPr>
                <w:rFonts w:ascii="Cambria" w:hAnsi="Cambria"/>
                <w:sz w:val="19"/>
                <w:szCs w:val="19"/>
              </w:rPr>
              <w:t>NIIF S2 párr. 29(d)</w:t>
            </w:r>
          </w:p>
        </w:tc>
      </w:tr>
      <w:tr w:rsidR="00417115" w:rsidRPr="00325A77" w14:paraId="07C7B5B1" w14:textId="77777777">
        <w:tc>
          <w:tcPr>
            <w:tcW w:w="2600" w:type="dxa"/>
            <w:shd w:val="clear" w:color="auto" w:fill="FFFFFF"/>
            <w:tcMar>
              <w:top w:w="120" w:type="dxa"/>
              <w:left w:w="160" w:type="dxa"/>
              <w:bottom w:w="120" w:type="dxa"/>
              <w:right w:w="160" w:type="dxa"/>
            </w:tcMar>
            <w:vAlign w:val="center"/>
          </w:tcPr>
          <w:p w14:paraId="11A79A52" w14:textId="77777777" w:rsidR="00417115" w:rsidRPr="00325A77" w:rsidRDefault="00000000">
            <w:pPr>
              <w:spacing w:line="260" w:lineRule="auto"/>
              <w:rPr>
                <w:rFonts w:ascii="Cambria" w:hAnsi="Cambria"/>
              </w:rPr>
            </w:pPr>
            <w:r w:rsidRPr="00325A77">
              <w:rPr>
                <w:rFonts w:ascii="Cambria" w:hAnsi="Cambria"/>
                <w:sz w:val="19"/>
                <w:szCs w:val="19"/>
              </w:rPr>
              <w:t>Despliegue de capital</w:t>
            </w:r>
          </w:p>
        </w:tc>
        <w:tc>
          <w:tcPr>
            <w:tcW w:w="5200" w:type="dxa"/>
            <w:shd w:val="clear" w:color="auto" w:fill="FFFFFF"/>
            <w:tcMar>
              <w:top w:w="120" w:type="dxa"/>
              <w:left w:w="160" w:type="dxa"/>
              <w:bottom w:w="120" w:type="dxa"/>
              <w:right w:w="160" w:type="dxa"/>
            </w:tcMar>
            <w:vAlign w:val="center"/>
          </w:tcPr>
          <w:p w14:paraId="65D7F316" w14:textId="77777777" w:rsidR="00417115" w:rsidRPr="00325A77" w:rsidRDefault="00000000">
            <w:pPr>
              <w:spacing w:line="260" w:lineRule="auto"/>
              <w:rPr>
                <w:rFonts w:ascii="Cambria" w:hAnsi="Cambria"/>
              </w:rPr>
            </w:pPr>
            <w:r w:rsidRPr="00325A77">
              <w:rPr>
                <w:rFonts w:ascii="Cambria" w:hAnsi="Cambria"/>
                <w:sz w:val="19"/>
                <w:szCs w:val="19"/>
              </w:rPr>
              <w:t>Inversión en infraestructura verde y de mitigación.</w:t>
            </w:r>
          </w:p>
        </w:tc>
        <w:tc>
          <w:tcPr>
            <w:tcW w:w="2000" w:type="dxa"/>
            <w:shd w:val="clear" w:color="auto" w:fill="FFFFFF"/>
            <w:tcMar>
              <w:top w:w="120" w:type="dxa"/>
              <w:left w:w="160" w:type="dxa"/>
              <w:bottom w:w="120" w:type="dxa"/>
              <w:right w:w="160" w:type="dxa"/>
            </w:tcMar>
            <w:vAlign w:val="center"/>
          </w:tcPr>
          <w:p w14:paraId="28956EC8" w14:textId="77777777" w:rsidR="00417115" w:rsidRPr="00325A77" w:rsidRDefault="00000000">
            <w:pPr>
              <w:spacing w:line="260" w:lineRule="auto"/>
              <w:rPr>
                <w:rFonts w:ascii="Cambria" w:hAnsi="Cambria"/>
              </w:rPr>
            </w:pPr>
            <w:r w:rsidRPr="00325A77">
              <w:rPr>
                <w:rFonts w:ascii="Cambria" w:hAnsi="Cambria"/>
                <w:sz w:val="19"/>
                <w:szCs w:val="19"/>
              </w:rPr>
              <w:t>NIIF S2 párr. 29(e)</w:t>
            </w:r>
          </w:p>
        </w:tc>
      </w:tr>
      <w:tr w:rsidR="00417115" w:rsidRPr="00325A77" w14:paraId="13C6EDC4" w14:textId="77777777">
        <w:tc>
          <w:tcPr>
            <w:tcW w:w="2600" w:type="dxa"/>
            <w:shd w:val="clear" w:color="auto" w:fill="F4F8FC"/>
            <w:tcMar>
              <w:top w:w="120" w:type="dxa"/>
              <w:left w:w="160" w:type="dxa"/>
              <w:bottom w:w="120" w:type="dxa"/>
              <w:right w:w="160" w:type="dxa"/>
            </w:tcMar>
            <w:vAlign w:val="center"/>
          </w:tcPr>
          <w:p w14:paraId="13920246" w14:textId="360E4D43" w:rsidR="00417115" w:rsidRPr="00325A77" w:rsidRDefault="00000000">
            <w:pPr>
              <w:spacing w:line="260" w:lineRule="auto"/>
              <w:rPr>
                <w:rFonts w:ascii="Cambria" w:hAnsi="Cambria"/>
              </w:rPr>
            </w:pPr>
            <w:r w:rsidRPr="00325A77">
              <w:rPr>
                <w:rFonts w:ascii="Cambria" w:hAnsi="Cambria"/>
                <w:sz w:val="19"/>
                <w:szCs w:val="19"/>
              </w:rPr>
              <w:t>Métricas sectoriales</w:t>
            </w:r>
          </w:p>
        </w:tc>
        <w:tc>
          <w:tcPr>
            <w:tcW w:w="5200" w:type="dxa"/>
            <w:shd w:val="clear" w:color="auto" w:fill="F4F8FC"/>
            <w:tcMar>
              <w:top w:w="120" w:type="dxa"/>
              <w:left w:w="160" w:type="dxa"/>
              <w:bottom w:w="120" w:type="dxa"/>
              <w:right w:w="160" w:type="dxa"/>
            </w:tcMar>
            <w:vAlign w:val="center"/>
          </w:tcPr>
          <w:p w14:paraId="636DE908" w14:textId="77777777" w:rsidR="00417115" w:rsidRPr="00325A77" w:rsidRDefault="00000000">
            <w:pPr>
              <w:spacing w:line="260" w:lineRule="auto"/>
              <w:rPr>
                <w:rFonts w:ascii="Cambria" w:hAnsi="Cambria"/>
              </w:rPr>
            </w:pPr>
            <w:r w:rsidRPr="00325A77">
              <w:rPr>
                <w:rFonts w:ascii="Cambria" w:hAnsi="Cambria"/>
                <w:sz w:val="19"/>
                <w:szCs w:val="19"/>
              </w:rPr>
              <w:t xml:space="preserve">Ver detalle de la guía SASB “Road </w:t>
            </w:r>
            <w:proofErr w:type="spellStart"/>
            <w:r w:rsidRPr="00325A77">
              <w:rPr>
                <w:rFonts w:ascii="Cambria" w:hAnsi="Cambria"/>
                <w:sz w:val="19"/>
                <w:szCs w:val="19"/>
              </w:rPr>
              <w:t>Transportation</w:t>
            </w:r>
            <w:proofErr w:type="spellEnd"/>
            <w:r w:rsidRPr="00325A77">
              <w:rPr>
                <w:rFonts w:ascii="Cambria" w:hAnsi="Cambria"/>
                <w:sz w:val="19"/>
                <w:szCs w:val="19"/>
              </w:rPr>
              <w:t>”.</w:t>
            </w:r>
          </w:p>
        </w:tc>
        <w:tc>
          <w:tcPr>
            <w:tcW w:w="2000" w:type="dxa"/>
            <w:shd w:val="clear" w:color="auto" w:fill="F4F8FC"/>
            <w:tcMar>
              <w:top w:w="120" w:type="dxa"/>
              <w:left w:w="160" w:type="dxa"/>
              <w:bottom w:w="120" w:type="dxa"/>
              <w:right w:w="160" w:type="dxa"/>
            </w:tcMar>
            <w:vAlign w:val="center"/>
          </w:tcPr>
          <w:p w14:paraId="0A91BB31" w14:textId="77777777" w:rsidR="00417115" w:rsidRPr="00325A77" w:rsidRDefault="00000000">
            <w:pPr>
              <w:spacing w:line="260" w:lineRule="auto"/>
              <w:rPr>
                <w:rFonts w:ascii="Cambria" w:hAnsi="Cambria"/>
              </w:rPr>
            </w:pPr>
            <w:r w:rsidRPr="00325A77">
              <w:rPr>
                <w:rFonts w:ascii="Cambria" w:hAnsi="Cambria"/>
                <w:sz w:val="19"/>
                <w:szCs w:val="19"/>
                <w:lang w:val="en-US"/>
              </w:rPr>
              <w:t xml:space="preserve">NIIF S1 </w:t>
            </w:r>
            <w:proofErr w:type="spellStart"/>
            <w:r w:rsidRPr="00325A77">
              <w:rPr>
                <w:rFonts w:ascii="Cambria" w:hAnsi="Cambria"/>
                <w:sz w:val="19"/>
                <w:szCs w:val="19"/>
                <w:lang w:val="en-US"/>
              </w:rPr>
              <w:t>párr</w:t>
            </w:r>
            <w:proofErr w:type="spellEnd"/>
            <w:r w:rsidRPr="00325A77">
              <w:rPr>
                <w:rFonts w:ascii="Cambria" w:hAnsi="Cambria"/>
                <w:sz w:val="19"/>
                <w:szCs w:val="19"/>
                <w:lang w:val="en-US"/>
              </w:rPr>
              <w:t xml:space="preserve">. 48; NIIF S2 </w:t>
            </w:r>
            <w:proofErr w:type="spellStart"/>
            <w:r w:rsidRPr="00325A77">
              <w:rPr>
                <w:rFonts w:ascii="Cambria" w:hAnsi="Cambria"/>
                <w:sz w:val="19"/>
                <w:szCs w:val="19"/>
                <w:lang w:val="en-US"/>
              </w:rPr>
              <w:t>párr</w:t>
            </w:r>
            <w:proofErr w:type="spellEnd"/>
            <w:r w:rsidRPr="00325A77">
              <w:rPr>
                <w:rFonts w:ascii="Cambria" w:hAnsi="Cambria"/>
                <w:sz w:val="19"/>
                <w:szCs w:val="19"/>
                <w:lang w:val="en-US"/>
              </w:rPr>
              <w:t xml:space="preserve">. </w:t>
            </w:r>
            <w:r w:rsidRPr="00325A77">
              <w:rPr>
                <w:rFonts w:ascii="Cambria" w:hAnsi="Cambria"/>
                <w:sz w:val="19"/>
                <w:szCs w:val="19"/>
              </w:rPr>
              <w:t>28(b), 32</w:t>
            </w:r>
          </w:p>
        </w:tc>
      </w:tr>
    </w:tbl>
    <w:p w14:paraId="519C3D10" w14:textId="77777777" w:rsidR="00417115" w:rsidRDefault="00417115">
      <w:pPr>
        <w:spacing w:after="260"/>
        <w:rPr>
          <w:rFonts w:ascii="Cambria" w:hAnsi="Cambria"/>
        </w:rPr>
      </w:pPr>
    </w:p>
    <w:p w14:paraId="24B5773A" w14:textId="77777777" w:rsidR="002C0349" w:rsidRPr="00325A77" w:rsidRDefault="002C0349">
      <w:pPr>
        <w:spacing w:after="260"/>
        <w:rPr>
          <w:rFonts w:ascii="Cambria" w:hAnsi="Cambria"/>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blBorders>
        <w:tblCellMar>
          <w:top w:w="60" w:type="dxa"/>
          <w:left w:w="0" w:type="dxa"/>
          <w:bottom w:w="260" w:type="dxa"/>
          <w:right w:w="0" w:type="dxa"/>
        </w:tblCellMar>
        <w:tblLook w:val="04A0" w:firstRow="1" w:lastRow="0" w:firstColumn="1" w:lastColumn="0" w:noHBand="0" w:noVBand="1"/>
      </w:tblPr>
      <w:tblGrid>
        <w:gridCol w:w="10030"/>
      </w:tblGrid>
      <w:tr w:rsidR="00417115" w:rsidRPr="00325A77" w14:paraId="22544521" w14:textId="77777777" w:rsidTr="00CE73E1">
        <w:tc>
          <w:tcPr>
            <w:tcW w:w="0" w:type="auto"/>
            <w:shd w:val="clear" w:color="auto" w:fill="7F7F7F" w:themeFill="text1" w:themeFillTint="80"/>
            <w:tcMar>
              <w:top w:w="100" w:type="dxa"/>
              <w:left w:w="220" w:type="dxa"/>
              <w:bottom w:w="100" w:type="dxa"/>
              <w:right w:w="220" w:type="dxa"/>
            </w:tcMar>
          </w:tcPr>
          <w:p w14:paraId="71DF65E0" w14:textId="04FDB9B3" w:rsidR="00417115" w:rsidRPr="00325A77" w:rsidRDefault="00CE73E1">
            <w:pPr>
              <w:rPr>
                <w:rFonts w:ascii="Cambria" w:hAnsi="Cambria"/>
              </w:rPr>
            </w:pPr>
            <w:r w:rsidRPr="00325A77">
              <w:rPr>
                <w:rFonts w:ascii="Cambria" w:hAnsi="Cambria"/>
                <w:b/>
                <w:bCs/>
                <w:color w:val="FFFFFF"/>
                <w:sz w:val="19"/>
                <w:szCs w:val="19"/>
              </w:rPr>
              <w:lastRenderedPageBreak/>
              <w:t xml:space="preserve">Métricas Sectoriales Concretas — Guía </w:t>
            </w:r>
            <w:proofErr w:type="spellStart"/>
            <w:r w:rsidRPr="00325A77">
              <w:rPr>
                <w:rFonts w:ascii="Cambria" w:hAnsi="Cambria"/>
                <w:b/>
                <w:bCs/>
                <w:color w:val="FFFFFF"/>
                <w:sz w:val="19"/>
                <w:szCs w:val="19"/>
              </w:rPr>
              <w:t>Sasb</w:t>
            </w:r>
            <w:proofErr w:type="spellEnd"/>
            <w:r w:rsidRPr="00325A77">
              <w:rPr>
                <w:rFonts w:ascii="Cambria" w:hAnsi="Cambria"/>
                <w:b/>
                <w:bCs/>
                <w:color w:val="FFFFFF"/>
                <w:sz w:val="19"/>
                <w:szCs w:val="19"/>
              </w:rPr>
              <w:t xml:space="preserve"> De Transporte Terrestre</w:t>
            </w:r>
          </w:p>
        </w:tc>
      </w:tr>
      <w:tr w:rsidR="00417115" w:rsidRPr="00325A77" w14:paraId="34ED073B" w14:textId="77777777" w:rsidTr="00CE73E1">
        <w:tc>
          <w:tcPr>
            <w:tcW w:w="0" w:type="auto"/>
            <w:shd w:val="clear" w:color="auto" w:fill="D1D1D1" w:themeFill="background2" w:themeFillShade="E6"/>
            <w:tcMar>
              <w:top w:w="160" w:type="dxa"/>
              <w:left w:w="260" w:type="dxa"/>
              <w:bottom w:w="160" w:type="dxa"/>
              <w:right w:w="260" w:type="dxa"/>
            </w:tcMar>
          </w:tcPr>
          <w:p w14:paraId="15ECB51E" w14:textId="7B45203F" w:rsidR="00417115" w:rsidRPr="00325A77" w:rsidRDefault="00000000" w:rsidP="00CE73E1">
            <w:pPr>
              <w:spacing w:line="276" w:lineRule="auto"/>
              <w:jc w:val="both"/>
              <w:rPr>
                <w:rFonts w:ascii="Cambria" w:hAnsi="Cambria"/>
              </w:rPr>
            </w:pPr>
            <w:r w:rsidRPr="00325A77">
              <w:rPr>
                <w:rFonts w:ascii="Cambria" w:hAnsi="Cambria"/>
                <w:sz w:val="21"/>
                <w:szCs w:val="21"/>
              </w:rPr>
              <w:t>NIIF S1 exige revisar qué métricas del sector propone SASB para el rubro de transporte terrestre. Aplicadas al contexto de una terminal, las más relevantes son: (1) emisiones de gases de efecto invernadero y consumo de combustible de vehículos que operan en la terminal; (2) contaminantes del aire local generados por la combustión de diésel en el patio de operaciones; (3) tasas de accidentes e indicadores de seguridad operativa, relevante porque la terminal gestiona el flujo físico de buses y pasajeros; (4) condiciones laborales y rotación de personal operativo. La entidad puede adaptar estas métricas a su rol de administrador de infraestructura.</w:t>
            </w:r>
          </w:p>
        </w:tc>
      </w:tr>
    </w:tbl>
    <w:p w14:paraId="6A6E45D9" w14:textId="77777777" w:rsidR="002C0349" w:rsidRPr="002C0349" w:rsidRDefault="002C0349" w:rsidP="002C0349">
      <w:pPr>
        <w:spacing w:after="140" w:line="276" w:lineRule="auto"/>
        <w:rPr>
          <w:rFonts w:ascii="Cambria" w:hAnsi="Cambria"/>
        </w:rPr>
      </w:pPr>
    </w:p>
    <w:p w14:paraId="043B3948" w14:textId="546CBBD2"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 xml:space="preserve">Requerimiento metodológico: las emisiones de Alcance 1, 2 y 3 deben medirse utilizando el GHG </w:t>
      </w:r>
      <w:proofErr w:type="spellStart"/>
      <w:r w:rsidRPr="00325A77">
        <w:rPr>
          <w:rFonts w:ascii="Cambria" w:hAnsi="Cambria"/>
        </w:rPr>
        <w:t>Protocol</w:t>
      </w:r>
      <w:proofErr w:type="spellEnd"/>
      <w:r w:rsidRPr="00325A77">
        <w:rPr>
          <w:rFonts w:ascii="Cambria" w:hAnsi="Cambria"/>
        </w:rPr>
        <w:t xml:space="preserve"> </w:t>
      </w:r>
      <w:proofErr w:type="spellStart"/>
      <w:r w:rsidRPr="00325A77">
        <w:rPr>
          <w:rFonts w:ascii="Cambria" w:hAnsi="Cambria"/>
        </w:rPr>
        <w:t>Corporate</w:t>
      </w:r>
      <w:proofErr w:type="spellEnd"/>
      <w:r w:rsidRPr="00325A77">
        <w:rPr>
          <w:rFonts w:ascii="Cambria" w:hAnsi="Cambria"/>
        </w:rPr>
        <w:t xml:space="preserve"> Standard, salvo que una jurisdicción exija otro método o la entidad use otro permitido en su primer año de aplicación como medida de transición.</w:t>
      </w:r>
      <w:r w:rsidRPr="00325A77">
        <w:rPr>
          <w:rFonts w:ascii="Cambria" w:hAnsi="Cambria"/>
          <w:i/>
          <w:iCs/>
          <w:color w:val="5B6B7A"/>
          <w:sz w:val="18"/>
          <w:szCs w:val="18"/>
        </w:rPr>
        <w:t xml:space="preserve">  (NIIF S2 párr. 29(a))</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43190EF" w14:textId="77777777">
        <w:tc>
          <w:tcPr>
            <w:tcW w:w="0" w:type="auto"/>
            <w:shd w:val="clear" w:color="auto" w:fill="EAF2FA"/>
            <w:tcMar>
              <w:top w:w="160" w:type="dxa"/>
              <w:left w:w="260" w:type="dxa"/>
              <w:bottom w:w="160" w:type="dxa"/>
              <w:right w:w="260" w:type="dxa"/>
            </w:tcMar>
          </w:tcPr>
          <w:p w14:paraId="7F100234" w14:textId="77777777" w:rsidR="00417115" w:rsidRPr="00325A77" w:rsidRDefault="00000000">
            <w:pPr>
              <w:spacing w:line="276" w:lineRule="auto"/>
              <w:rPr>
                <w:rFonts w:ascii="Cambria" w:hAnsi="Cambria"/>
              </w:rPr>
            </w:pPr>
            <w:r w:rsidRPr="00325A77">
              <w:rPr>
                <w:rFonts w:ascii="Cambria" w:hAnsi="Cambria"/>
                <w:i/>
                <w:iCs/>
                <w:sz w:val="21"/>
                <w:szCs w:val="21"/>
              </w:rPr>
              <w:t xml:space="preserve">El GHG </w:t>
            </w:r>
            <w:proofErr w:type="spellStart"/>
            <w:r w:rsidRPr="00325A77">
              <w:rPr>
                <w:rFonts w:ascii="Cambria" w:hAnsi="Cambria"/>
                <w:i/>
                <w:iCs/>
                <w:sz w:val="21"/>
                <w:szCs w:val="21"/>
              </w:rPr>
              <w:t>Protocol</w:t>
            </w:r>
            <w:proofErr w:type="spellEnd"/>
            <w:r w:rsidRPr="00325A77">
              <w:rPr>
                <w:rFonts w:ascii="Cambria" w:hAnsi="Cambria"/>
                <w:i/>
                <w:iCs/>
                <w:sz w:val="21"/>
                <w:szCs w:val="21"/>
              </w:rPr>
              <w:t xml:space="preserve"> es, en simple, la “receta” internacional estándar para calcular emisiones de gases de efecto invernadero, de modo que las cifras sean comparables con las de cualquier otra organización en el mundo. Si se usa una tabla de factores de emisión distinta (por ejemplo, la de la autoridad ambiental nacional), debe declararse expresamente, y esto es aceptable como medida de transición en el primer año de aplicación.</w:t>
            </w:r>
          </w:p>
        </w:tc>
      </w:tr>
    </w:tbl>
    <w:p w14:paraId="1C91E709" w14:textId="77777777" w:rsidR="00417115" w:rsidRPr="00325A77" w:rsidRDefault="00000000">
      <w:pPr>
        <w:pStyle w:val="Ttulo2"/>
        <w:spacing w:before="320" w:after="140"/>
        <w:rPr>
          <w:rFonts w:ascii="Cambria" w:hAnsi="Cambria"/>
        </w:rPr>
      </w:pPr>
      <w:bookmarkStart w:id="24" w:name="_Toc235311637"/>
      <w:bookmarkStart w:id="25" w:name="_Toc235354056"/>
      <w:r w:rsidRPr="00325A77">
        <w:rPr>
          <w:rFonts w:ascii="Cambria" w:hAnsi="Cambria"/>
          <w:b/>
          <w:bCs/>
          <w:color w:val="1F5C99"/>
        </w:rPr>
        <w:t>4.3 Objetivos</w:t>
      </w:r>
      <w:bookmarkEnd w:id="24"/>
      <w:bookmarkEnd w:id="25"/>
    </w:p>
    <w:p w14:paraId="2458FF51" w14:textId="77777777" w:rsidR="00417115" w:rsidRPr="00325A77" w:rsidRDefault="00000000">
      <w:pPr>
        <w:spacing w:after="160" w:line="288" w:lineRule="auto"/>
        <w:rPr>
          <w:rFonts w:ascii="Cambria" w:hAnsi="Cambria"/>
        </w:rPr>
      </w:pPr>
      <w:r w:rsidRPr="00325A77">
        <w:rPr>
          <w:rFonts w:ascii="Cambria" w:hAnsi="Cambria"/>
        </w:rPr>
        <w:t>Adaptado a metas realistas de una fundación u organización de infraestructura.</w:t>
      </w:r>
    </w:p>
    <w:p w14:paraId="05477F00" w14:textId="77777777" w:rsidR="00417115" w:rsidRPr="00325A77" w:rsidRDefault="00000000">
      <w:pPr>
        <w:spacing w:after="220"/>
        <w:rPr>
          <w:rFonts w:ascii="Cambria" w:hAnsi="Cambria"/>
        </w:rPr>
      </w:pPr>
      <w:r w:rsidRPr="00325A77">
        <w:rPr>
          <w:rFonts w:ascii="Cambria" w:hAnsi="Cambria"/>
          <w:i/>
          <w:iCs/>
          <w:color w:val="5B6B7A"/>
          <w:sz w:val="18"/>
          <w:szCs w:val="18"/>
        </w:rPr>
        <w:t>Referencia normativa: NIIF S1 párr. 51-53; NIIF S2 párr. 33-37</w:t>
      </w:r>
    </w:p>
    <w:tbl>
      <w:tblPr>
        <w:tblW w:w="5000" w:type="pct"/>
        <w:tblInd w:w="-40" w:type="dxa"/>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757962E6" w14:textId="77777777" w:rsidTr="00CE73E1">
        <w:tc>
          <w:tcPr>
            <w:tcW w:w="0" w:type="auto"/>
            <w:tcBorders>
              <w:bottom w:val="nil"/>
            </w:tcBorders>
            <w:shd w:val="clear" w:color="auto" w:fill="EAF2FA"/>
            <w:tcMar>
              <w:top w:w="160" w:type="dxa"/>
              <w:left w:w="260" w:type="dxa"/>
              <w:bottom w:w="160" w:type="dxa"/>
              <w:right w:w="260" w:type="dxa"/>
            </w:tcMar>
          </w:tcPr>
          <w:p w14:paraId="00FFEED0" w14:textId="77777777" w:rsidR="00417115" w:rsidRPr="00325A77" w:rsidRDefault="00000000">
            <w:pPr>
              <w:spacing w:line="276" w:lineRule="auto"/>
              <w:rPr>
                <w:rFonts w:ascii="Cambria" w:hAnsi="Cambria"/>
              </w:rPr>
            </w:pPr>
            <w:r w:rsidRPr="00325A77">
              <w:rPr>
                <w:rFonts w:ascii="Cambria" w:hAnsi="Cambria"/>
                <w:i/>
                <w:iCs/>
                <w:sz w:val="21"/>
                <w:szCs w:val="21"/>
              </w:rPr>
              <w:t xml:space="preserve">No basta con decir “queremos reducir emisiones”; la norma pide una estructura completa: qué se mide (la métrica), cuál es la meta numérica, en qué período se debe cumplir, qué hitos intermedios existen, y cómo se va a revisar el avance. Ejemplos realistas: reducir el consumo eléctrico un porcentaje determinado en dos años, o implementar una política de </w:t>
            </w:r>
            <w:proofErr w:type="gramStart"/>
            <w:r w:rsidRPr="00325A77">
              <w:rPr>
                <w:rFonts w:ascii="Cambria" w:hAnsi="Cambria"/>
                <w:i/>
                <w:iCs/>
                <w:sz w:val="21"/>
                <w:szCs w:val="21"/>
              </w:rPr>
              <w:t>cero papel</w:t>
            </w:r>
            <w:proofErr w:type="gramEnd"/>
            <w:r w:rsidRPr="00325A77">
              <w:rPr>
                <w:rFonts w:ascii="Cambria" w:hAnsi="Cambria"/>
                <w:i/>
                <w:iCs/>
                <w:sz w:val="21"/>
                <w:szCs w:val="21"/>
              </w:rPr>
              <w:t xml:space="preserve"> en la administración.</w:t>
            </w:r>
          </w:p>
        </w:tc>
      </w:tr>
      <w:tr w:rsidR="00417115" w:rsidRPr="00325A77" w14:paraId="7B39451C"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nil"/>
              <w:right w:val="single" w:sz="4" w:space="0" w:color="7F7F7F" w:themeColor="text1" w:themeTint="80"/>
            </w:tcBorders>
            <w:shd w:val="clear" w:color="auto" w:fill="7F7F7F" w:themeFill="text1" w:themeFillTint="80"/>
            <w:tcMar>
              <w:top w:w="100" w:type="dxa"/>
              <w:left w:w="220" w:type="dxa"/>
              <w:bottom w:w="100" w:type="dxa"/>
              <w:right w:w="220" w:type="dxa"/>
            </w:tcMar>
          </w:tcPr>
          <w:p w14:paraId="4CD3FA61" w14:textId="362ADB6B" w:rsidR="00417115" w:rsidRPr="00325A77" w:rsidRDefault="00CE73E1">
            <w:pPr>
              <w:rPr>
                <w:rFonts w:ascii="Cambria" w:hAnsi="Cambria"/>
              </w:rPr>
            </w:pPr>
            <w:r w:rsidRPr="00325A77">
              <w:rPr>
                <w:rFonts w:ascii="Cambria" w:hAnsi="Cambria"/>
                <w:b/>
                <w:bCs/>
                <w:color w:val="FFFFFF"/>
                <w:sz w:val="19"/>
                <w:szCs w:val="19"/>
              </w:rPr>
              <w:t>Regla Sobre Metas Netas Vs. Brutas</w:t>
            </w:r>
          </w:p>
        </w:tc>
      </w:tr>
      <w:tr w:rsidR="00417115" w:rsidRPr="00325A77" w14:paraId="7EB7822D" w14:textId="77777777" w:rsidTr="00CE73E1">
        <w:tblPrEx>
          <w:tblBorders>
            <w:top w:val="single" w:sz="4" w:space="0" w:color="8C6D1F"/>
            <w:left w:val="single" w:sz="4" w:space="0" w:color="8C6D1F"/>
            <w:bottom w:val="single" w:sz="4" w:space="0" w:color="8C6D1F"/>
            <w:right w:val="single" w:sz="4" w:space="0" w:color="8C6D1F"/>
          </w:tblBorders>
          <w:tblCellMar>
            <w:top w:w="60" w:type="dxa"/>
            <w:bottom w:w="260" w:type="dxa"/>
          </w:tblCellMar>
        </w:tblPrEx>
        <w:tc>
          <w:tcPr>
            <w:tcW w:w="0" w:type="auto"/>
            <w:tcBorders>
              <w:top w:val="nil"/>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Mar>
              <w:top w:w="160" w:type="dxa"/>
              <w:left w:w="260" w:type="dxa"/>
              <w:bottom w:w="160" w:type="dxa"/>
              <w:right w:w="260" w:type="dxa"/>
            </w:tcMar>
          </w:tcPr>
          <w:p w14:paraId="5F1D3643" w14:textId="77777777" w:rsidR="00417115" w:rsidRPr="00325A77" w:rsidRDefault="00000000">
            <w:pPr>
              <w:spacing w:line="276" w:lineRule="auto"/>
              <w:rPr>
                <w:rFonts w:ascii="Cambria" w:hAnsi="Cambria"/>
              </w:rPr>
            </w:pPr>
            <w:r w:rsidRPr="00325A77">
              <w:rPr>
                <w:rFonts w:ascii="Cambria" w:hAnsi="Cambria"/>
                <w:sz w:val="21"/>
                <w:szCs w:val="21"/>
              </w:rPr>
              <w:t>Si la organización llegara a fijar una meta “neta” de emisiones (es decir, una meta que ya descuenta compensaciones o créditos de carbono), la norma obliga a divulgar también la meta bruta correspondiente (sin descontar nada), para que la meta neta no oculte cuánto se emite realmente.  (NIIF S2 párr. 33-34)</w:t>
            </w:r>
          </w:p>
        </w:tc>
      </w:tr>
    </w:tbl>
    <w:p w14:paraId="77AA1F45" w14:textId="77777777" w:rsidR="002C0349" w:rsidRDefault="002C0349">
      <w:pPr>
        <w:pStyle w:val="Ttulo1"/>
        <w:pBdr>
          <w:bottom w:val="single" w:sz="8" w:space="6" w:color="1F5C99"/>
        </w:pBdr>
        <w:spacing w:before="480" w:after="200"/>
        <w:rPr>
          <w:rFonts w:ascii="Cambria" w:hAnsi="Cambria"/>
          <w:b/>
          <w:bCs/>
          <w:color w:val="13315C"/>
          <w:sz w:val="34"/>
          <w:szCs w:val="34"/>
        </w:rPr>
      </w:pPr>
      <w:bookmarkStart w:id="26" w:name="_Toc235311638"/>
    </w:p>
    <w:p w14:paraId="184A36E2" w14:textId="77777777" w:rsidR="002C0349" w:rsidRDefault="002C0349">
      <w:pPr>
        <w:pStyle w:val="Ttulo1"/>
        <w:pBdr>
          <w:bottom w:val="single" w:sz="8" w:space="6" w:color="1F5C99"/>
        </w:pBdr>
        <w:spacing w:before="480" w:after="200"/>
        <w:rPr>
          <w:rFonts w:ascii="Cambria" w:hAnsi="Cambria"/>
          <w:b/>
          <w:bCs/>
          <w:color w:val="13315C"/>
          <w:sz w:val="34"/>
          <w:szCs w:val="34"/>
        </w:rPr>
      </w:pPr>
    </w:p>
    <w:p w14:paraId="0AD5B105" w14:textId="77777777" w:rsidR="002C0349" w:rsidRDefault="002C0349">
      <w:pPr>
        <w:pStyle w:val="Ttulo1"/>
        <w:pBdr>
          <w:bottom w:val="single" w:sz="8" w:space="6" w:color="1F5C99"/>
        </w:pBdr>
        <w:spacing w:before="480" w:after="200"/>
        <w:rPr>
          <w:rFonts w:ascii="Cambria" w:hAnsi="Cambria"/>
          <w:b/>
          <w:bCs/>
          <w:color w:val="13315C"/>
          <w:sz w:val="34"/>
          <w:szCs w:val="34"/>
        </w:rPr>
      </w:pPr>
    </w:p>
    <w:p w14:paraId="6109F062" w14:textId="72283066" w:rsidR="00417115" w:rsidRPr="00325A77" w:rsidRDefault="00000000">
      <w:pPr>
        <w:pStyle w:val="Ttulo1"/>
        <w:pBdr>
          <w:bottom w:val="single" w:sz="8" w:space="6" w:color="1F5C99"/>
        </w:pBdr>
        <w:spacing w:before="480" w:after="200"/>
        <w:rPr>
          <w:rFonts w:ascii="Cambria" w:hAnsi="Cambria"/>
        </w:rPr>
      </w:pPr>
      <w:bookmarkStart w:id="27" w:name="_Toc235354057"/>
      <w:r w:rsidRPr="00325A77">
        <w:rPr>
          <w:rFonts w:ascii="Cambria" w:hAnsi="Cambria"/>
          <w:b/>
          <w:bCs/>
          <w:color w:val="13315C"/>
          <w:sz w:val="34"/>
          <w:szCs w:val="34"/>
        </w:rPr>
        <w:lastRenderedPageBreak/>
        <w:t>5. Juicios e incertidumbre de medición</w:t>
      </w:r>
      <w:bookmarkEnd w:id="26"/>
      <w:bookmarkEnd w:id="27"/>
    </w:p>
    <w:p w14:paraId="5557B924" w14:textId="77777777" w:rsidR="00417115" w:rsidRPr="00325A77" w:rsidRDefault="00000000">
      <w:pPr>
        <w:spacing w:after="160" w:line="288" w:lineRule="auto"/>
        <w:rPr>
          <w:rFonts w:ascii="Cambria" w:hAnsi="Cambria"/>
        </w:rPr>
      </w:pPr>
      <w:r w:rsidRPr="00325A77">
        <w:rPr>
          <w:rFonts w:ascii="Cambria" w:hAnsi="Cambria"/>
        </w:rPr>
        <w:t>La norma trata estos dos conceptos por separado:</w:t>
      </w:r>
    </w:p>
    <w:p w14:paraId="2166763E"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Juicios significativos.</w:t>
      </w:r>
      <w:r w:rsidRPr="00325A77">
        <w:rPr>
          <w:rFonts w:ascii="Cambria" w:hAnsi="Cambria"/>
          <w:i/>
          <w:iCs/>
          <w:color w:val="5B6B7A"/>
          <w:sz w:val="18"/>
          <w:szCs w:val="18"/>
        </w:rPr>
        <w:t xml:space="preserve">  (NIIF S1 párr. 74)</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7CABCD79" w14:textId="77777777">
        <w:tc>
          <w:tcPr>
            <w:tcW w:w="0" w:type="auto"/>
            <w:shd w:val="clear" w:color="auto" w:fill="EAF2FA"/>
            <w:tcMar>
              <w:top w:w="160" w:type="dxa"/>
              <w:left w:w="260" w:type="dxa"/>
              <w:bottom w:w="160" w:type="dxa"/>
              <w:right w:w="260" w:type="dxa"/>
            </w:tcMar>
          </w:tcPr>
          <w:p w14:paraId="20B5E200" w14:textId="77777777" w:rsidR="00417115" w:rsidRPr="00325A77" w:rsidRDefault="00000000">
            <w:pPr>
              <w:spacing w:line="276" w:lineRule="auto"/>
              <w:rPr>
                <w:rFonts w:ascii="Cambria" w:hAnsi="Cambria"/>
              </w:rPr>
            </w:pPr>
            <w:r w:rsidRPr="00325A77">
              <w:rPr>
                <w:rFonts w:ascii="Cambria" w:hAnsi="Cambria"/>
                <w:i/>
                <w:iCs/>
                <w:sz w:val="21"/>
                <w:szCs w:val="21"/>
              </w:rPr>
              <w:t>Un “juicio” es una decisión de criterio que tomó quien preparó el informe, no un cálculo. Ejemplo: decidir que el riesgo de inundación es “material” (importante) para la organización mientras que otro riesgo no lo es. Hay que explicar ese razonamiento, no solo el resultado.</w:t>
            </w:r>
          </w:p>
        </w:tc>
      </w:tr>
    </w:tbl>
    <w:p w14:paraId="65F692FD"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Incertidumbre de medición.</w:t>
      </w:r>
      <w:r w:rsidRPr="00325A77">
        <w:rPr>
          <w:rFonts w:ascii="Cambria" w:hAnsi="Cambria"/>
          <w:i/>
          <w:iCs/>
          <w:color w:val="5B6B7A"/>
          <w:sz w:val="18"/>
          <w:szCs w:val="18"/>
        </w:rPr>
        <w:t xml:space="preserve">  (NIIF S1 párr. 77-82)</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410FF915" w14:textId="77777777">
        <w:tc>
          <w:tcPr>
            <w:tcW w:w="0" w:type="auto"/>
            <w:shd w:val="clear" w:color="auto" w:fill="EAF2FA"/>
            <w:tcMar>
              <w:top w:w="160" w:type="dxa"/>
              <w:left w:w="260" w:type="dxa"/>
              <w:bottom w:w="160" w:type="dxa"/>
              <w:right w:w="260" w:type="dxa"/>
            </w:tcMar>
          </w:tcPr>
          <w:p w14:paraId="11A34EBA" w14:textId="77777777" w:rsidR="00417115" w:rsidRPr="00325A77" w:rsidRDefault="00000000">
            <w:pPr>
              <w:spacing w:line="276" w:lineRule="auto"/>
              <w:rPr>
                <w:rFonts w:ascii="Cambria" w:hAnsi="Cambria"/>
              </w:rPr>
            </w:pPr>
            <w:r w:rsidRPr="00325A77">
              <w:rPr>
                <w:rFonts w:ascii="Cambria" w:hAnsi="Cambria"/>
                <w:i/>
                <w:iCs/>
                <w:sz w:val="21"/>
                <w:szCs w:val="21"/>
              </w:rPr>
              <w:t>Esto se refiere a qué tan seguros o exactos son los números reportados. Como es probable que la entidad no tenga medidores directos de emisiones, sino que use factores de emisión estimados (tablas estándar), hay que decirlo explícitamente: de dónde salió el estimado y qué tan confiable es, en vez de presentar el número como si fuera una medición exacta.</w:t>
            </w:r>
          </w:p>
        </w:tc>
      </w:tr>
    </w:tbl>
    <w:p w14:paraId="1CD3675C" w14:textId="77777777" w:rsidR="00417115" w:rsidRPr="00325A77" w:rsidRDefault="00000000">
      <w:pPr>
        <w:pStyle w:val="Ttulo1"/>
        <w:pBdr>
          <w:bottom w:val="single" w:sz="8" w:space="6" w:color="1F5C99"/>
        </w:pBdr>
        <w:spacing w:before="480" w:after="200"/>
        <w:rPr>
          <w:rFonts w:ascii="Cambria" w:hAnsi="Cambria"/>
        </w:rPr>
      </w:pPr>
      <w:bookmarkStart w:id="28" w:name="_Toc235311639"/>
      <w:bookmarkStart w:id="29" w:name="_Toc235354058"/>
      <w:r w:rsidRPr="00325A77">
        <w:rPr>
          <w:rFonts w:ascii="Cambria" w:hAnsi="Cambria"/>
          <w:b/>
          <w:bCs/>
          <w:color w:val="13315C"/>
          <w:sz w:val="34"/>
          <w:szCs w:val="34"/>
        </w:rPr>
        <w:t>6. Requerimientos generales de presentación</w:t>
      </w:r>
      <w:bookmarkEnd w:id="28"/>
      <w:bookmarkEnd w:id="29"/>
    </w:p>
    <w:p w14:paraId="7530E7E5" w14:textId="77777777" w:rsidR="00417115" w:rsidRPr="00325A77" w:rsidRDefault="00000000">
      <w:pPr>
        <w:spacing w:after="160" w:line="288" w:lineRule="auto"/>
        <w:rPr>
          <w:rFonts w:ascii="Cambria" w:hAnsi="Cambria"/>
        </w:rPr>
      </w:pPr>
      <w:r w:rsidRPr="00325A77">
        <w:rPr>
          <w:rFonts w:ascii="Cambria" w:hAnsi="Cambria"/>
        </w:rPr>
        <w:t>Este pilar no es un capítulo aislado: son reglas de “cómo” se presenta todo el informe, sin importar el tema.</w:t>
      </w:r>
    </w:p>
    <w:p w14:paraId="703D3439"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Declaración de cumplimiento.</w:t>
      </w:r>
      <w:r w:rsidRPr="00325A77">
        <w:rPr>
          <w:rFonts w:ascii="Cambria" w:hAnsi="Cambria"/>
          <w:i/>
          <w:iCs/>
          <w:color w:val="5B6B7A"/>
          <w:sz w:val="18"/>
          <w:szCs w:val="18"/>
        </w:rPr>
        <w:t xml:space="preserve">  (NIIF S1 párr. 72)</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6DEDF32" w14:textId="77777777">
        <w:tc>
          <w:tcPr>
            <w:tcW w:w="0" w:type="auto"/>
            <w:shd w:val="clear" w:color="auto" w:fill="EAF2FA"/>
            <w:tcMar>
              <w:top w:w="160" w:type="dxa"/>
              <w:left w:w="260" w:type="dxa"/>
              <w:bottom w:w="160" w:type="dxa"/>
              <w:right w:w="260" w:type="dxa"/>
            </w:tcMar>
          </w:tcPr>
          <w:p w14:paraId="3FE532E9" w14:textId="77777777" w:rsidR="00417115" w:rsidRPr="00325A77" w:rsidRDefault="00000000">
            <w:pPr>
              <w:spacing w:line="276" w:lineRule="auto"/>
              <w:rPr>
                <w:rFonts w:ascii="Cambria" w:hAnsi="Cambria"/>
              </w:rPr>
            </w:pPr>
            <w:r w:rsidRPr="00325A77">
              <w:rPr>
                <w:rFonts w:ascii="Cambria" w:hAnsi="Cambria"/>
                <w:i/>
                <w:iCs/>
                <w:sz w:val="21"/>
                <w:szCs w:val="21"/>
              </w:rPr>
              <w:t>Ya explicado en la Sección 0: solo se puede decir “cumplimos la norma” si de verdad se cumplen todos los requerimientos aplicables. Si no, se debe usar un lenguaje más modesto como “tomando como referencia”.</w:t>
            </w:r>
          </w:p>
        </w:tc>
      </w:tr>
    </w:tbl>
    <w:p w14:paraId="3F25771A"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Información conectada.</w:t>
      </w:r>
      <w:r w:rsidRPr="00325A77">
        <w:rPr>
          <w:rFonts w:ascii="Cambria" w:hAnsi="Cambria"/>
          <w:i/>
          <w:iCs/>
          <w:color w:val="5B6B7A"/>
          <w:sz w:val="18"/>
          <w:szCs w:val="18"/>
        </w:rPr>
        <w:t xml:space="preserve">  (NIIF S1 párr. 21)</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39D46A9" w14:textId="77777777">
        <w:tc>
          <w:tcPr>
            <w:tcW w:w="0" w:type="auto"/>
            <w:shd w:val="clear" w:color="auto" w:fill="EAF2FA"/>
            <w:tcMar>
              <w:top w:w="160" w:type="dxa"/>
              <w:left w:w="260" w:type="dxa"/>
              <w:bottom w:w="160" w:type="dxa"/>
              <w:right w:w="260" w:type="dxa"/>
            </w:tcMar>
          </w:tcPr>
          <w:p w14:paraId="723CDAA8" w14:textId="77777777" w:rsidR="00417115" w:rsidRPr="00325A77" w:rsidRDefault="00000000">
            <w:pPr>
              <w:spacing w:line="276" w:lineRule="auto"/>
              <w:rPr>
                <w:rFonts w:ascii="Cambria" w:hAnsi="Cambria"/>
              </w:rPr>
            </w:pPr>
            <w:r w:rsidRPr="00325A77">
              <w:rPr>
                <w:rFonts w:ascii="Cambria" w:hAnsi="Cambria"/>
                <w:i/>
                <w:iCs/>
                <w:sz w:val="21"/>
                <w:szCs w:val="21"/>
              </w:rPr>
              <w:t>Hay que mostrar cómo se relacionan entre sí los distintos temas del informe. Por ejemplo, conectar el riesgo físico de inundación (Estrategia) con el gasto de mantenimiento que aparece en los estados financieros. No se trata de escribir capítulos aislados que no se hablan entre sí.</w:t>
            </w:r>
          </w:p>
        </w:tc>
      </w:tr>
    </w:tbl>
    <w:p w14:paraId="63AC7CF6"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Coherencia de datos y supuestos.</w:t>
      </w:r>
      <w:r w:rsidRPr="00325A77">
        <w:rPr>
          <w:rFonts w:ascii="Cambria" w:hAnsi="Cambria"/>
          <w:i/>
          <w:iCs/>
          <w:color w:val="5B6B7A"/>
          <w:sz w:val="18"/>
          <w:szCs w:val="18"/>
        </w:rPr>
        <w:t xml:space="preserve">  (NIIF S1 párr. 23)</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FD891EE" w14:textId="77777777">
        <w:tc>
          <w:tcPr>
            <w:tcW w:w="0" w:type="auto"/>
            <w:shd w:val="clear" w:color="auto" w:fill="EAF2FA"/>
            <w:tcMar>
              <w:top w:w="160" w:type="dxa"/>
              <w:left w:w="260" w:type="dxa"/>
              <w:bottom w:w="160" w:type="dxa"/>
              <w:right w:w="260" w:type="dxa"/>
            </w:tcMar>
          </w:tcPr>
          <w:p w14:paraId="7D9A9F27" w14:textId="77777777" w:rsidR="00417115" w:rsidRPr="00325A77" w:rsidRDefault="00000000">
            <w:pPr>
              <w:spacing w:line="276" w:lineRule="auto"/>
              <w:rPr>
                <w:rFonts w:ascii="Cambria" w:hAnsi="Cambria"/>
              </w:rPr>
            </w:pPr>
            <w:r w:rsidRPr="00325A77">
              <w:rPr>
                <w:rFonts w:ascii="Cambria" w:hAnsi="Cambria"/>
                <w:i/>
                <w:iCs/>
                <w:sz w:val="21"/>
                <w:szCs w:val="21"/>
              </w:rPr>
              <w:t>Si en los estados financieros se usó un supuesto (por ejemplo, una proyección de ingresos), ese mismo supuesto debe usarse en el informe de sostenibilidad, en la medida de lo posible — no se pueden usar números distintos para contar historias distintas.</w:t>
            </w:r>
          </w:p>
        </w:tc>
      </w:tr>
    </w:tbl>
    <w:p w14:paraId="22632D8E"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Fuentes de orientación en ausencia de un requerimiento específico.</w:t>
      </w:r>
      <w:r w:rsidRPr="00325A77">
        <w:rPr>
          <w:rFonts w:ascii="Cambria" w:hAnsi="Cambria"/>
          <w:i/>
          <w:iCs/>
          <w:color w:val="5B6B7A"/>
          <w:sz w:val="18"/>
          <w:szCs w:val="18"/>
        </w:rPr>
        <w:t xml:space="preserve">  (NIIF S1 párr. 55-59)</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1A30AFF8" w14:textId="77777777">
        <w:tc>
          <w:tcPr>
            <w:tcW w:w="0" w:type="auto"/>
            <w:shd w:val="clear" w:color="auto" w:fill="EAF2FA"/>
            <w:tcMar>
              <w:top w:w="160" w:type="dxa"/>
              <w:left w:w="260" w:type="dxa"/>
              <w:bottom w:w="160" w:type="dxa"/>
              <w:right w:w="260" w:type="dxa"/>
            </w:tcMar>
          </w:tcPr>
          <w:p w14:paraId="50CE6CCC" w14:textId="77777777" w:rsidR="00417115" w:rsidRPr="00325A77" w:rsidRDefault="00000000">
            <w:pPr>
              <w:spacing w:line="276" w:lineRule="auto"/>
              <w:rPr>
                <w:rFonts w:ascii="Cambria" w:hAnsi="Cambria"/>
              </w:rPr>
            </w:pPr>
            <w:r w:rsidRPr="00325A77">
              <w:rPr>
                <w:rFonts w:ascii="Cambria" w:hAnsi="Cambria"/>
                <w:i/>
                <w:iCs/>
                <w:sz w:val="21"/>
                <w:szCs w:val="21"/>
              </w:rPr>
              <w:t>Si se identifica un riesgo u oportunidad que ninguna norma explica en detalle, debe buscarse orientación en las normas SASB del sector correspondiente (transporte terrestre, en este caso) y en otras guías no obligatorias del ISSB, en vez de inventar un criterio propio sin respaldo.</w:t>
            </w:r>
          </w:p>
        </w:tc>
      </w:tr>
    </w:tbl>
    <w:p w14:paraId="58DB791C"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Costo o esfuerzo desproporcionado.</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1ABA35A5" w14:textId="77777777">
        <w:tc>
          <w:tcPr>
            <w:tcW w:w="0" w:type="auto"/>
            <w:shd w:val="clear" w:color="auto" w:fill="EAF2FA"/>
            <w:tcMar>
              <w:top w:w="160" w:type="dxa"/>
              <w:left w:w="260" w:type="dxa"/>
              <w:bottom w:w="160" w:type="dxa"/>
              <w:right w:w="260" w:type="dxa"/>
            </w:tcMar>
          </w:tcPr>
          <w:p w14:paraId="0E84E10C" w14:textId="77777777" w:rsidR="00417115" w:rsidRPr="00325A77" w:rsidRDefault="00000000">
            <w:pPr>
              <w:spacing w:line="276" w:lineRule="auto"/>
              <w:rPr>
                <w:rFonts w:ascii="Cambria" w:hAnsi="Cambria"/>
              </w:rPr>
            </w:pPr>
            <w:r w:rsidRPr="00325A77">
              <w:rPr>
                <w:rFonts w:ascii="Cambria" w:hAnsi="Cambria"/>
                <w:i/>
                <w:iCs/>
                <w:sz w:val="21"/>
                <w:szCs w:val="21"/>
              </w:rPr>
              <w:lastRenderedPageBreak/>
              <w:t>La organización puede hacer una búsqueda de información menos exhaustiva que una gran corporación, siempre que use la mejor información que tenga razonablemente disponible sin gastar recursos excesivos en obtenerla. Este es el mismo principio ya citado en la Sección 2.5 para justificar los análisis simplificados.</w:t>
            </w:r>
          </w:p>
        </w:tc>
      </w:tr>
    </w:tbl>
    <w:p w14:paraId="74A8BBD4"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Ubicación, frecuencia y comparabilidad.</w:t>
      </w:r>
      <w:r w:rsidRPr="00325A77">
        <w:rPr>
          <w:rFonts w:ascii="Cambria" w:hAnsi="Cambria"/>
          <w:i/>
          <w:iCs/>
          <w:color w:val="5B6B7A"/>
          <w:sz w:val="18"/>
          <w:szCs w:val="18"/>
        </w:rPr>
        <w:t xml:space="preserve">  (NIIF S1 párr. 60-71)</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7A4C2FDA" w14:textId="77777777">
        <w:tc>
          <w:tcPr>
            <w:tcW w:w="0" w:type="auto"/>
            <w:shd w:val="clear" w:color="auto" w:fill="EAF2FA"/>
            <w:tcMar>
              <w:top w:w="160" w:type="dxa"/>
              <w:left w:w="260" w:type="dxa"/>
              <w:bottom w:w="160" w:type="dxa"/>
              <w:right w:w="260" w:type="dxa"/>
            </w:tcMar>
          </w:tcPr>
          <w:p w14:paraId="4B1B8864" w14:textId="77777777" w:rsidR="00417115" w:rsidRPr="00325A77" w:rsidRDefault="00000000">
            <w:pPr>
              <w:spacing w:line="276" w:lineRule="auto"/>
              <w:rPr>
                <w:rFonts w:ascii="Cambria" w:hAnsi="Cambria"/>
              </w:rPr>
            </w:pPr>
            <w:r w:rsidRPr="00325A77">
              <w:rPr>
                <w:rFonts w:ascii="Cambria" w:hAnsi="Cambria"/>
                <w:i/>
                <w:iCs/>
                <w:sz w:val="21"/>
                <w:szCs w:val="21"/>
              </w:rPr>
              <w:t>La norma pide definir dónde se publica el informe (documento independiente o junto a los estados financieros), con qué frecuencia (idealmente anual, igual que los estados financieros), y de forma comparable año a año, para que un lector pueda seguir la evolución de la organización en el tiempo.</w:t>
            </w:r>
          </w:p>
        </w:tc>
      </w:tr>
    </w:tbl>
    <w:p w14:paraId="57D4C1FE" w14:textId="77777777" w:rsidR="00417115" w:rsidRPr="00325A77" w:rsidRDefault="00000000">
      <w:pPr>
        <w:pStyle w:val="Ttulo1"/>
        <w:pBdr>
          <w:bottom w:val="single" w:sz="8" w:space="6" w:color="1F5C99"/>
        </w:pBdr>
        <w:spacing w:before="480" w:after="200"/>
        <w:rPr>
          <w:rFonts w:ascii="Cambria" w:hAnsi="Cambria"/>
        </w:rPr>
      </w:pPr>
      <w:bookmarkStart w:id="30" w:name="_Toc235311640"/>
      <w:bookmarkStart w:id="31" w:name="_Toc235354059"/>
      <w:r w:rsidRPr="00325A77">
        <w:rPr>
          <w:rFonts w:ascii="Cambria" w:hAnsi="Cambria"/>
          <w:b/>
          <w:bCs/>
          <w:color w:val="13315C"/>
          <w:sz w:val="34"/>
          <w:szCs w:val="34"/>
        </w:rPr>
        <w:t>7. Disposiciones de transición</w:t>
      </w:r>
      <w:bookmarkEnd w:id="30"/>
      <w:bookmarkEnd w:id="31"/>
    </w:p>
    <w:p w14:paraId="18231A99" w14:textId="77777777" w:rsidR="00417115" w:rsidRPr="00325A77" w:rsidRDefault="00000000">
      <w:pPr>
        <w:spacing w:after="160" w:line="288" w:lineRule="auto"/>
        <w:rPr>
          <w:rFonts w:ascii="Cambria" w:hAnsi="Cambria"/>
        </w:rPr>
      </w:pPr>
      <w:r w:rsidRPr="00325A77">
        <w:rPr>
          <w:rFonts w:ascii="Cambria" w:hAnsi="Cambria"/>
        </w:rPr>
        <w:t>Muy relevante si el informe se presenta como primer ejercicio bajo este marco.</w:t>
      </w:r>
    </w:p>
    <w:p w14:paraId="15C01396"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Enfoque “</w:t>
      </w:r>
      <w:proofErr w:type="spellStart"/>
      <w:r w:rsidRPr="00325A77">
        <w:rPr>
          <w:rFonts w:ascii="Cambria" w:hAnsi="Cambria"/>
        </w:rPr>
        <w:t>climate-first</w:t>
      </w:r>
      <w:proofErr w:type="spellEnd"/>
      <w:r w:rsidRPr="00325A77">
        <w:rPr>
          <w:rFonts w:ascii="Cambria" w:hAnsi="Cambria"/>
        </w:rPr>
        <w:t>”.</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52448450" w14:textId="77777777">
        <w:tc>
          <w:tcPr>
            <w:tcW w:w="0" w:type="auto"/>
            <w:shd w:val="clear" w:color="auto" w:fill="EAF2FA"/>
            <w:tcMar>
              <w:top w:w="160" w:type="dxa"/>
              <w:left w:w="260" w:type="dxa"/>
              <w:bottom w:w="160" w:type="dxa"/>
              <w:right w:w="260" w:type="dxa"/>
            </w:tcMar>
          </w:tcPr>
          <w:p w14:paraId="3ED37BE3" w14:textId="77777777" w:rsidR="00417115" w:rsidRPr="00325A77" w:rsidRDefault="00000000">
            <w:pPr>
              <w:spacing w:line="276" w:lineRule="auto"/>
              <w:rPr>
                <w:rFonts w:ascii="Cambria" w:hAnsi="Cambria"/>
              </w:rPr>
            </w:pPr>
            <w:r w:rsidRPr="00325A77">
              <w:rPr>
                <w:rFonts w:ascii="Cambria" w:hAnsi="Cambria"/>
                <w:i/>
                <w:iCs/>
                <w:sz w:val="21"/>
                <w:szCs w:val="21"/>
              </w:rPr>
              <w:t xml:space="preserve">En el primer año, una entidad puede reportar solamente los temas relacionados con el clima (NIIF S2) y dejar el resto de </w:t>
            </w:r>
            <w:proofErr w:type="gramStart"/>
            <w:r w:rsidRPr="00325A77">
              <w:rPr>
                <w:rFonts w:ascii="Cambria" w:hAnsi="Cambria"/>
                <w:i/>
                <w:iCs/>
                <w:sz w:val="21"/>
                <w:szCs w:val="21"/>
              </w:rPr>
              <w:t>temas</w:t>
            </w:r>
            <w:proofErr w:type="gramEnd"/>
            <w:r w:rsidRPr="00325A77">
              <w:rPr>
                <w:rFonts w:ascii="Cambria" w:hAnsi="Cambria"/>
                <w:i/>
                <w:iCs/>
                <w:sz w:val="21"/>
                <w:szCs w:val="21"/>
              </w:rPr>
              <w:t xml:space="preserve"> de sostenibilidad general (NIIF S1) para el año siguiente. Es una especie de “permiso de arranque gradual”, siempre que se declare abiertamente que se está usando.</w:t>
            </w:r>
          </w:p>
        </w:tc>
      </w:tr>
    </w:tbl>
    <w:p w14:paraId="2994CA87"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Alivio de información comparativa.</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64811919" w14:textId="77777777">
        <w:tc>
          <w:tcPr>
            <w:tcW w:w="0" w:type="auto"/>
            <w:shd w:val="clear" w:color="auto" w:fill="EAF2FA"/>
            <w:tcMar>
              <w:top w:w="160" w:type="dxa"/>
              <w:left w:w="260" w:type="dxa"/>
              <w:bottom w:w="160" w:type="dxa"/>
              <w:right w:w="260" w:type="dxa"/>
            </w:tcMar>
          </w:tcPr>
          <w:p w14:paraId="136D55CB" w14:textId="77777777" w:rsidR="00417115" w:rsidRPr="00325A77" w:rsidRDefault="00000000">
            <w:pPr>
              <w:spacing w:line="276" w:lineRule="auto"/>
              <w:rPr>
                <w:rFonts w:ascii="Cambria" w:hAnsi="Cambria"/>
              </w:rPr>
            </w:pPr>
            <w:r w:rsidRPr="00325A77">
              <w:rPr>
                <w:rFonts w:ascii="Cambria" w:hAnsi="Cambria"/>
                <w:i/>
                <w:iCs/>
                <w:sz w:val="21"/>
                <w:szCs w:val="21"/>
              </w:rPr>
              <w:t>En el primer informe no hace falta mostrar cifras de años anteriores para comparar; esa exigencia empieza recién en el segundo año.</w:t>
            </w:r>
          </w:p>
        </w:tc>
      </w:tr>
    </w:tbl>
    <w:p w14:paraId="47ACB171"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Alivio de Alcance 3.</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28F3BABE" w14:textId="77777777">
        <w:tc>
          <w:tcPr>
            <w:tcW w:w="0" w:type="auto"/>
            <w:shd w:val="clear" w:color="auto" w:fill="EAF2FA"/>
            <w:tcMar>
              <w:top w:w="160" w:type="dxa"/>
              <w:left w:w="260" w:type="dxa"/>
              <w:bottom w:w="160" w:type="dxa"/>
              <w:right w:w="260" w:type="dxa"/>
            </w:tcMar>
          </w:tcPr>
          <w:p w14:paraId="36D1C808" w14:textId="77777777" w:rsidR="00417115" w:rsidRPr="00325A77" w:rsidRDefault="00000000">
            <w:pPr>
              <w:spacing w:line="276" w:lineRule="auto"/>
              <w:rPr>
                <w:rFonts w:ascii="Cambria" w:hAnsi="Cambria"/>
              </w:rPr>
            </w:pPr>
            <w:r w:rsidRPr="00325A77">
              <w:rPr>
                <w:rFonts w:ascii="Cambria" w:hAnsi="Cambria"/>
                <w:i/>
                <w:iCs/>
                <w:sz w:val="21"/>
                <w:szCs w:val="21"/>
              </w:rPr>
              <w:t>Las emisiones de Alcance 3 (las más difíciles de calcular, porque dependen de terceros) se pueden reportar un año después que las de Alcance 1 y 2.</w:t>
            </w:r>
          </w:p>
        </w:tc>
      </w:tr>
    </w:tbl>
    <w:p w14:paraId="294FCAB7" w14:textId="77777777" w:rsidR="00417115" w:rsidRPr="00325A77" w:rsidRDefault="00000000">
      <w:pPr>
        <w:pStyle w:val="Prrafodelista"/>
        <w:numPr>
          <w:ilvl w:val="0"/>
          <w:numId w:val="1"/>
        </w:numPr>
        <w:spacing w:after="140" w:line="276" w:lineRule="auto"/>
        <w:rPr>
          <w:rFonts w:ascii="Cambria" w:hAnsi="Cambria"/>
        </w:rPr>
      </w:pPr>
      <w:r w:rsidRPr="00325A77">
        <w:rPr>
          <w:rFonts w:ascii="Cambria" w:hAnsi="Cambria"/>
        </w:rPr>
        <w:t>Alivio metodológico de GEI.</w:t>
      </w:r>
    </w:p>
    <w:tbl>
      <w:tblPr>
        <w:tblW w:w="5000" w:type="pct"/>
        <w:tblBorders>
          <w:top w:val="none" w:sz="0" w:space="0" w:color="FFFFFF"/>
          <w:left w:val="single" w:sz="36" w:space="0" w:color="1F5C99"/>
          <w:bottom w:val="none" w:sz="0" w:space="0" w:color="FFFFFF"/>
          <w:right w:val="none" w:sz="0" w:space="0" w:color="FFFFFF"/>
          <w:insideH w:val="none" w:sz="0" w:space="0" w:color="FFFFFF"/>
          <w:insideV w:val="none" w:sz="0" w:space="0" w:color="FFFFFF"/>
        </w:tblBorders>
        <w:tblCellMar>
          <w:left w:w="0" w:type="dxa"/>
          <w:bottom w:w="240" w:type="dxa"/>
          <w:right w:w="0" w:type="dxa"/>
        </w:tblCellMar>
        <w:tblLook w:val="04A0" w:firstRow="1" w:lastRow="0" w:firstColumn="1" w:lastColumn="0" w:noHBand="0" w:noVBand="1"/>
      </w:tblPr>
      <w:tblGrid>
        <w:gridCol w:w="9995"/>
      </w:tblGrid>
      <w:tr w:rsidR="00417115" w:rsidRPr="00325A77" w14:paraId="0EA70528" w14:textId="77777777">
        <w:tc>
          <w:tcPr>
            <w:tcW w:w="0" w:type="auto"/>
            <w:shd w:val="clear" w:color="auto" w:fill="EAF2FA"/>
            <w:tcMar>
              <w:top w:w="160" w:type="dxa"/>
              <w:left w:w="260" w:type="dxa"/>
              <w:bottom w:w="160" w:type="dxa"/>
              <w:right w:w="260" w:type="dxa"/>
            </w:tcMar>
          </w:tcPr>
          <w:p w14:paraId="7D6B0B8C" w14:textId="77777777" w:rsidR="00417115" w:rsidRPr="00325A77" w:rsidRDefault="00000000">
            <w:pPr>
              <w:spacing w:line="276" w:lineRule="auto"/>
              <w:rPr>
                <w:rFonts w:ascii="Cambria" w:hAnsi="Cambria"/>
              </w:rPr>
            </w:pPr>
            <w:r w:rsidRPr="00325A77">
              <w:rPr>
                <w:rFonts w:ascii="Cambria" w:hAnsi="Cambria"/>
                <w:i/>
                <w:iCs/>
                <w:sz w:val="21"/>
                <w:szCs w:val="21"/>
              </w:rPr>
              <w:t xml:space="preserve">Si la organización ya usaba un método distinto al GHG </w:t>
            </w:r>
            <w:proofErr w:type="spellStart"/>
            <w:r w:rsidRPr="00325A77">
              <w:rPr>
                <w:rFonts w:ascii="Cambria" w:hAnsi="Cambria"/>
                <w:i/>
                <w:iCs/>
                <w:sz w:val="21"/>
                <w:szCs w:val="21"/>
              </w:rPr>
              <w:t>Protocol</w:t>
            </w:r>
            <w:proofErr w:type="spellEnd"/>
            <w:r w:rsidRPr="00325A77">
              <w:rPr>
                <w:rFonts w:ascii="Cambria" w:hAnsi="Cambria"/>
                <w:i/>
                <w:iCs/>
                <w:sz w:val="21"/>
                <w:szCs w:val="21"/>
              </w:rPr>
              <w:t xml:space="preserve"> para calcular emisiones, puede seguir usándolo en el primer año, siempre que lo declare.</w:t>
            </w:r>
          </w:p>
        </w:tc>
      </w:tr>
    </w:tbl>
    <w:p w14:paraId="387D766B" w14:textId="77777777" w:rsidR="00417115" w:rsidRPr="00325A77" w:rsidRDefault="00000000">
      <w:pPr>
        <w:rPr>
          <w:rFonts w:ascii="Cambria" w:hAnsi="Cambria"/>
        </w:rPr>
      </w:pPr>
      <w:r w:rsidRPr="00325A77">
        <w:rPr>
          <w:rFonts w:ascii="Cambria" w:hAnsi="Cambria"/>
        </w:rPr>
        <w:br w:type="page"/>
      </w:r>
    </w:p>
    <w:sectPr w:rsidR="00417115" w:rsidRPr="00325A77">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89CB2" w14:textId="77777777" w:rsidR="00827FCF" w:rsidRDefault="00827FCF">
      <w:r>
        <w:separator/>
      </w:r>
    </w:p>
  </w:endnote>
  <w:endnote w:type="continuationSeparator" w:id="0">
    <w:p w14:paraId="192FF7A2" w14:textId="77777777" w:rsidR="00827FCF" w:rsidRDefault="00827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01F0" w14:textId="77777777" w:rsidR="00417115" w:rsidRDefault="00000000">
    <w:pPr>
      <w:jc w:val="center"/>
    </w:pPr>
    <w:r>
      <w:rPr>
        <w:color w:val="5B6B7A"/>
        <w:sz w:val="16"/>
        <w:szCs w:val="16"/>
      </w:rPr>
      <w:fldChar w:fldCharType="begin"/>
    </w:r>
    <w:r>
      <w:rPr>
        <w:color w:val="5B6B7A"/>
        <w:sz w:val="16"/>
        <w:szCs w:val="16"/>
      </w:rPr>
      <w:instrText>PAGE</w:instrText>
    </w:r>
    <w:r>
      <w:rPr>
        <w:color w:val="5B6B7A"/>
        <w:sz w:val="16"/>
        <w:szCs w:val="16"/>
      </w:rPr>
      <w:fldChar w:fldCharType="separate"/>
    </w:r>
    <w:r w:rsidR="00325A77">
      <w:rPr>
        <w:noProof/>
        <w:color w:val="5B6B7A"/>
        <w:sz w:val="16"/>
        <w:szCs w:val="16"/>
      </w:rPr>
      <w:t>1</w:t>
    </w:r>
    <w:r>
      <w:rPr>
        <w:color w:val="5B6B7A"/>
        <w:sz w:val="16"/>
        <w:szCs w:val="16"/>
      </w:rPr>
      <w:fldChar w:fldCharType="end"/>
    </w:r>
    <w:r>
      <w:rPr>
        <w:color w:val="5B6B7A"/>
        <w:sz w:val="16"/>
        <w:szCs w:val="16"/>
      </w:rPr>
      <w:t xml:space="preserve"> / </w:t>
    </w:r>
    <w:r>
      <w:rPr>
        <w:color w:val="5B6B7A"/>
        <w:sz w:val="16"/>
        <w:szCs w:val="16"/>
      </w:rPr>
      <w:fldChar w:fldCharType="begin"/>
    </w:r>
    <w:r>
      <w:rPr>
        <w:color w:val="5B6B7A"/>
        <w:sz w:val="16"/>
        <w:szCs w:val="16"/>
      </w:rPr>
      <w:instrText>NUMPAGES</w:instrText>
    </w:r>
    <w:r>
      <w:rPr>
        <w:color w:val="5B6B7A"/>
        <w:sz w:val="16"/>
        <w:szCs w:val="16"/>
      </w:rPr>
      <w:fldChar w:fldCharType="separate"/>
    </w:r>
    <w:r w:rsidR="00325A77">
      <w:rPr>
        <w:noProof/>
        <w:color w:val="5B6B7A"/>
        <w:sz w:val="16"/>
        <w:szCs w:val="16"/>
      </w:rPr>
      <w:t>1</w:t>
    </w:r>
    <w:r>
      <w:rPr>
        <w:color w:val="5B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AAB7" w14:textId="77777777" w:rsidR="00827FCF" w:rsidRDefault="00827FCF">
      <w:r>
        <w:separator/>
      </w:r>
    </w:p>
  </w:footnote>
  <w:footnote w:type="continuationSeparator" w:id="0">
    <w:p w14:paraId="6A20B0A7" w14:textId="77777777" w:rsidR="00827FCF" w:rsidRDefault="00827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EE42" w14:textId="54EA71B8" w:rsidR="00417115" w:rsidRPr="00325A77" w:rsidRDefault="00000000">
    <w:pPr>
      <w:jc w:val="right"/>
      <w:rPr>
        <w:rFonts w:ascii="Cambria" w:hAnsi="Cambria"/>
      </w:rPr>
    </w:pPr>
    <w:r w:rsidRPr="00325A77">
      <w:rPr>
        <w:rFonts w:ascii="Cambria" w:hAnsi="Cambria"/>
        <w:i/>
        <w:iCs/>
        <w:color w:val="5B6B7A"/>
        <w:sz w:val="15"/>
        <w:szCs w:val="15"/>
      </w:rPr>
      <w:t>Informe de Sostenibilidad — Te</w:t>
    </w:r>
    <w:r w:rsidR="00325A77">
      <w:rPr>
        <w:rFonts w:ascii="Cambria" w:hAnsi="Cambria"/>
        <w:i/>
        <w:iCs/>
        <w:color w:val="5B6B7A"/>
        <w:sz w:val="15"/>
        <w:szCs w:val="15"/>
      </w:rPr>
      <w:t>rminal</w:t>
    </w:r>
    <w:r w:rsidRPr="00325A77">
      <w:rPr>
        <w:rFonts w:ascii="Cambria" w:hAnsi="Cambria"/>
        <w:i/>
        <w:iCs/>
        <w:color w:val="5B6B7A"/>
        <w:sz w:val="15"/>
        <w:szCs w:val="15"/>
      </w:rPr>
      <w:t xml:space="preserve"> </w:t>
    </w:r>
    <w:r w:rsidR="003801D2" w:rsidRPr="00325A77">
      <w:rPr>
        <w:rFonts w:ascii="Cambria" w:hAnsi="Cambria"/>
        <w:i/>
        <w:iCs/>
        <w:color w:val="5B6B7A"/>
        <w:sz w:val="15"/>
        <w:szCs w:val="15"/>
      </w:rPr>
      <w:t>Terrest</w:t>
    </w:r>
    <w:r w:rsidR="003801D2">
      <w:rPr>
        <w:rFonts w:ascii="Cambria" w:hAnsi="Cambria"/>
        <w:i/>
        <w:iCs/>
        <w:color w:val="5B6B7A"/>
        <w:sz w:val="15"/>
        <w:szCs w:val="15"/>
      </w:rPr>
      <w:t>re</w:t>
    </w:r>
    <w:r w:rsidRPr="00325A77">
      <w:rPr>
        <w:rFonts w:ascii="Cambria" w:hAnsi="Cambria"/>
        <w:i/>
        <w:iCs/>
        <w:color w:val="5B6B7A"/>
        <w:sz w:val="15"/>
        <w:szCs w:val="15"/>
      </w:rPr>
      <w:t xml:space="preserve"> | NIIF S1 / S2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A537F"/>
    <w:multiLevelType w:val="hybridMultilevel"/>
    <w:tmpl w:val="D7D0C8FC"/>
    <w:lvl w:ilvl="0" w:tplc="5FF82388">
      <w:start w:val="1"/>
      <w:numFmt w:val="bullet"/>
      <w:lvlText w:val="•"/>
      <w:lvlJc w:val="left"/>
      <w:pPr>
        <w:ind w:left="720" w:hanging="360"/>
      </w:pPr>
    </w:lvl>
    <w:lvl w:ilvl="1" w:tplc="470C05BA">
      <w:start w:val="1"/>
      <w:numFmt w:val="bullet"/>
      <w:lvlText w:val="○"/>
      <w:lvlJc w:val="left"/>
      <w:pPr>
        <w:ind w:left="1440" w:hanging="360"/>
      </w:pPr>
    </w:lvl>
    <w:lvl w:ilvl="2" w:tplc="027EEE28">
      <w:start w:val="1"/>
      <w:numFmt w:val="bullet"/>
      <w:lvlText w:val="■"/>
      <w:lvlJc w:val="left"/>
      <w:pPr>
        <w:ind w:left="2160" w:hanging="360"/>
      </w:pPr>
    </w:lvl>
    <w:lvl w:ilvl="3" w:tplc="10D6686E">
      <w:start w:val="1"/>
      <w:numFmt w:val="bullet"/>
      <w:lvlText w:val="●"/>
      <w:lvlJc w:val="left"/>
      <w:pPr>
        <w:ind w:left="2880" w:hanging="360"/>
      </w:pPr>
    </w:lvl>
    <w:lvl w:ilvl="4" w:tplc="CECE62FA">
      <w:start w:val="1"/>
      <w:numFmt w:val="bullet"/>
      <w:lvlText w:val="○"/>
      <w:lvlJc w:val="left"/>
      <w:pPr>
        <w:ind w:left="3600" w:hanging="360"/>
      </w:pPr>
    </w:lvl>
    <w:lvl w:ilvl="5" w:tplc="A06499F0">
      <w:start w:val="1"/>
      <w:numFmt w:val="bullet"/>
      <w:lvlText w:val="■"/>
      <w:lvlJc w:val="left"/>
      <w:pPr>
        <w:ind w:left="4320" w:hanging="360"/>
      </w:pPr>
    </w:lvl>
    <w:lvl w:ilvl="6" w:tplc="FE300BEA">
      <w:start w:val="1"/>
      <w:numFmt w:val="bullet"/>
      <w:lvlText w:val="●"/>
      <w:lvlJc w:val="left"/>
      <w:pPr>
        <w:ind w:left="5040" w:hanging="360"/>
      </w:pPr>
    </w:lvl>
    <w:lvl w:ilvl="7" w:tplc="8BD26894">
      <w:start w:val="1"/>
      <w:numFmt w:val="bullet"/>
      <w:lvlText w:val="●"/>
      <w:lvlJc w:val="left"/>
      <w:pPr>
        <w:ind w:left="5760" w:hanging="360"/>
      </w:pPr>
    </w:lvl>
    <w:lvl w:ilvl="8" w:tplc="5052B856">
      <w:start w:val="1"/>
      <w:numFmt w:val="bullet"/>
      <w:lvlText w:val="●"/>
      <w:lvlJc w:val="left"/>
      <w:pPr>
        <w:ind w:left="6480" w:hanging="360"/>
      </w:pPr>
    </w:lvl>
  </w:abstractNum>
  <w:num w:numId="1" w16cid:durableId="1043333788">
    <w:abstractNumId w:val="0"/>
  </w:num>
  <w:num w:numId="2" w16cid:durableId="214500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15"/>
    <w:rsid w:val="00087AE8"/>
    <w:rsid w:val="002C0349"/>
    <w:rsid w:val="00325A77"/>
    <w:rsid w:val="003801D2"/>
    <w:rsid w:val="00417115"/>
    <w:rsid w:val="004A2012"/>
    <w:rsid w:val="00535D0A"/>
    <w:rsid w:val="005725C4"/>
    <w:rsid w:val="00827FCF"/>
    <w:rsid w:val="00BC5467"/>
    <w:rsid w:val="00CE73E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3C8F"/>
  <w15:docId w15:val="{EA366E38-7E89-4B3B-ADAC-A0CE30AF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303D"/>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325A77"/>
    <w:pPr>
      <w:spacing w:after="100"/>
      <w:ind w:left="220"/>
    </w:pPr>
  </w:style>
  <w:style w:type="paragraph" w:styleId="TDC1">
    <w:name w:val="toc 1"/>
    <w:basedOn w:val="Normal"/>
    <w:next w:val="Normal"/>
    <w:autoRedefine/>
    <w:uiPriority w:val="39"/>
    <w:unhideWhenUsed/>
    <w:rsid w:val="00325A77"/>
    <w:pPr>
      <w:spacing w:after="100"/>
    </w:pPr>
  </w:style>
  <w:style w:type="paragraph" w:styleId="Encabezado">
    <w:name w:val="header"/>
    <w:basedOn w:val="Normal"/>
    <w:link w:val="EncabezadoCar"/>
    <w:uiPriority w:val="99"/>
    <w:unhideWhenUsed/>
    <w:rsid w:val="00325A77"/>
    <w:pPr>
      <w:tabs>
        <w:tab w:val="center" w:pos="4252"/>
        <w:tab w:val="right" w:pos="8504"/>
      </w:tabs>
    </w:pPr>
  </w:style>
  <w:style w:type="character" w:customStyle="1" w:styleId="EncabezadoCar">
    <w:name w:val="Encabezado Car"/>
    <w:basedOn w:val="Fuentedeprrafopredeter"/>
    <w:link w:val="Encabezado"/>
    <w:uiPriority w:val="99"/>
    <w:rsid w:val="00325A77"/>
  </w:style>
  <w:style w:type="paragraph" w:styleId="Piedepgina">
    <w:name w:val="footer"/>
    <w:basedOn w:val="Normal"/>
    <w:link w:val="PiedepginaCar"/>
    <w:uiPriority w:val="99"/>
    <w:unhideWhenUsed/>
    <w:rsid w:val="00325A77"/>
    <w:pPr>
      <w:tabs>
        <w:tab w:val="center" w:pos="4252"/>
        <w:tab w:val="right" w:pos="8504"/>
      </w:tabs>
    </w:pPr>
  </w:style>
  <w:style w:type="character" w:customStyle="1" w:styleId="PiedepginaCar">
    <w:name w:val="Pie de página Car"/>
    <w:basedOn w:val="Fuentedeprrafopredeter"/>
    <w:link w:val="Piedepgina"/>
    <w:uiPriority w:val="99"/>
    <w:rsid w:val="00325A77"/>
  </w:style>
  <w:style w:type="paragraph" w:styleId="TtuloTDC">
    <w:name w:val="TOC Heading"/>
    <w:basedOn w:val="Ttulo1"/>
    <w:next w:val="Normal"/>
    <w:uiPriority w:val="39"/>
    <w:unhideWhenUsed/>
    <w:qFormat/>
    <w:rsid w:val="00BC5467"/>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232C2-A3E4-4C4D-9431-D5873A5F7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3098</Words>
  <Characters>17042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Nahomi Peñafiel</cp:lastModifiedBy>
  <cp:revision>6</cp:revision>
  <dcterms:created xsi:type="dcterms:W3CDTF">2026-07-19T04:55:00Z</dcterms:created>
  <dcterms:modified xsi:type="dcterms:W3CDTF">2026-07-19T20:49:00Z</dcterms:modified>
</cp:coreProperties>
</file>