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12FF" w:rsidP="009818B1" w:rsidRDefault="009818B1" w14:paraId="1E97D58B" w14:textId="6D138D53">
      <w:pPr>
        <w:spacing w:after="60"/>
        <w:jc w:val="center"/>
      </w:pPr>
      <w:r>
        <w:rPr>
          <w:rFonts w:ascii="Cambria" w:hAnsi="Cambria" w:eastAsia="Cambria" w:cs="Cambria"/>
          <w:b/>
          <w:bCs/>
          <w:color w:val="0D1B2A"/>
          <w:sz w:val="40"/>
          <w:szCs w:val="40"/>
        </w:rPr>
        <w:t>MATRIZ DE RIESGOS Y OPORTUNIDADES</w:t>
      </w:r>
    </w:p>
    <w:p w:rsidR="007612FF" w:rsidP="009818B1" w:rsidRDefault="00670612" w14:paraId="41E7EE71" w14:textId="77777777">
      <w:pPr>
        <w:spacing w:after="300"/>
        <w:jc w:val="center"/>
      </w:pPr>
      <w:r>
        <w:rPr>
          <w:rFonts w:ascii="Calibri" w:hAnsi="Calibri" w:eastAsia="Calibri" w:cs="Calibri"/>
          <w:i/>
          <w:iCs/>
          <w:color w:val="1B8C7D"/>
        </w:rPr>
        <w:t>Matriz de riesgos y oportunidades climáticas · Fundación Terminal Terrestre de Guayaquil (FTTG) — Pilar de Gestión de Riesgos, NIIF S2</w:t>
      </w:r>
    </w:p>
    <w:p w:rsidR="007612FF" w:rsidRDefault="00670612" w14:paraId="79B340AF" w14:textId="7A7EC353">
      <w:pPr>
        <w:pBdr>
          <w:bottom w:val="single" w:color="1B8C7D" w:sz="10" w:space="4"/>
        </w:pBdr>
        <w:spacing w:before="320" w:after="160"/>
      </w:pPr>
      <w:r>
        <w:rPr>
          <w:rFonts w:ascii="Cambria" w:hAnsi="Cambria" w:eastAsia="Cambria" w:cs="Cambria"/>
          <w:b/>
          <w:bCs/>
          <w:color w:val="1B8C7D"/>
          <w:sz w:val="24"/>
          <w:szCs w:val="24"/>
        </w:rPr>
        <w:t xml:space="preserve">1.  </w:t>
      </w:r>
      <w:r>
        <w:rPr>
          <w:rFonts w:ascii="Cambria" w:hAnsi="Cambria" w:eastAsia="Cambria" w:cs="Cambria"/>
          <w:b/>
          <w:bCs/>
          <w:color w:val="0D1B2A"/>
          <w:sz w:val="24"/>
          <w:szCs w:val="24"/>
        </w:rPr>
        <w:t>Matriz de riesgos</w:t>
      </w:r>
    </w:p>
    <w:p w:rsidR="007612FF" w:rsidRDefault="00670612" w14:paraId="6CC57F65" w14:textId="77777777">
      <w:pPr>
        <w:spacing w:after="260"/>
      </w:pPr>
      <w:r>
        <w:rPr>
          <w:rFonts w:ascii="Calibri" w:hAnsi="Calibri" w:eastAsia="Calibri" w:cs="Calibri"/>
          <w:b/>
          <w:bCs/>
          <w:color w:val="0D1B2A"/>
          <w:sz w:val="18"/>
          <w:szCs w:val="18"/>
        </w:rPr>
        <w:t xml:space="preserve">Nivel de riesgo:   </w:t>
      </w:r>
      <w:r>
        <w:rPr>
          <w:rFonts w:ascii="Calibri" w:hAnsi="Calibri" w:eastAsia="Calibri" w:cs="Calibri"/>
          <w:b/>
          <w:bCs/>
          <w:color w:val="276749"/>
          <w:sz w:val="18"/>
          <w:szCs w:val="18"/>
          <w:shd w:val="clear" w:color="auto" w:fill="EBF5EE"/>
        </w:rPr>
        <w:t xml:space="preserve">  Bajo  </w:t>
      </w:r>
      <w:r>
        <w:t xml:space="preserve">   </w:t>
      </w:r>
      <w:r>
        <w:rPr>
          <w:rFonts w:ascii="Calibri" w:hAnsi="Calibri" w:eastAsia="Calibri" w:cs="Calibri"/>
          <w:b/>
          <w:bCs/>
          <w:color w:val="C97A10"/>
          <w:sz w:val="18"/>
          <w:szCs w:val="18"/>
          <w:shd w:val="clear" w:color="auto" w:fill="FEF6E8"/>
        </w:rPr>
        <w:t xml:space="preserve">  Medio  </w:t>
      </w:r>
      <w:r>
        <w:t xml:space="preserve">   </w:t>
      </w:r>
      <w:r>
        <w:rPr>
          <w:rFonts w:ascii="Calibri" w:hAnsi="Calibri" w:eastAsia="Calibri" w:cs="Calibri"/>
          <w:b/>
          <w:bCs/>
          <w:color w:val="B7791F"/>
          <w:sz w:val="18"/>
          <w:szCs w:val="18"/>
          <w:shd w:val="clear" w:color="auto" w:fill="FDF0D8"/>
        </w:rPr>
        <w:t xml:space="preserve">  Medio-Alto  </w:t>
      </w:r>
      <w:r>
        <w:t xml:space="preserve">   </w:t>
      </w:r>
      <w:r>
        <w:rPr>
          <w:rFonts w:ascii="Calibri" w:hAnsi="Calibri" w:eastAsia="Calibri" w:cs="Calibri"/>
          <w:b/>
          <w:bCs/>
          <w:color w:val="9B2C2C"/>
          <w:sz w:val="18"/>
          <w:szCs w:val="18"/>
          <w:shd w:val="clear" w:color="auto" w:fill="FBEAEA"/>
        </w:rPr>
        <w:t xml:space="preserve">  Alto  </w:t>
      </w:r>
    </w:p>
    <w:tbl>
      <w:tblPr>
        <w:tblW w:w="14400" w:type="dxa"/>
        <w:tblBorders>
          <w:top w:val="single" w:color="E7EAEE" w:sz="4" w:space="0"/>
          <w:left w:val="single" w:color="E7EAEE" w:sz="4" w:space="0"/>
          <w:bottom w:val="single" w:color="E7EAEE" w:sz="4" w:space="0"/>
          <w:right w:val="single" w:color="E7EAEE" w:sz="4" w:space="0"/>
          <w:insideH w:val="single" w:color="E7EAEE" w:sz="2" w:space="0"/>
          <w:insideV w:val="single" w:color="E7EAEE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4032"/>
        <w:gridCol w:w="3168"/>
        <w:gridCol w:w="1152"/>
        <w:gridCol w:w="1296"/>
        <w:gridCol w:w="1440"/>
        <w:gridCol w:w="1584"/>
      </w:tblGrid>
      <w:tr w:rsidR="007612FF" w:rsidTr="4553A652" w14:paraId="60FCF252" w14:textId="77777777">
        <w:trPr>
          <w:tblHeader/>
        </w:trPr>
        <w:tc>
          <w:tcPr>
            <w:tcW w:w="1728" w:type="dxa"/>
            <w:shd w:val="clear" w:color="auto" w:fill="0D1B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12FF" w:rsidRDefault="00670612" w14:paraId="6FB52F6A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Categoría / Tipo</w:t>
            </w:r>
          </w:p>
        </w:tc>
        <w:tc>
          <w:tcPr>
            <w:tcW w:w="4032" w:type="dxa"/>
            <w:shd w:val="clear" w:color="auto" w:fill="0D1B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12FF" w:rsidRDefault="00670612" w14:paraId="14E8DABD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Riesgo / oportunidad (específico de la FTTG)</w:t>
            </w:r>
          </w:p>
        </w:tc>
        <w:tc>
          <w:tcPr>
            <w:tcW w:w="3168" w:type="dxa"/>
            <w:shd w:val="clear" w:color="auto" w:fill="0D1B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12FF" w:rsidRDefault="00670612" w14:paraId="441C476C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Amenaza / Vulnerabilidad</w:t>
            </w:r>
          </w:p>
        </w:tc>
        <w:tc>
          <w:tcPr>
            <w:tcW w:w="1152" w:type="dxa"/>
            <w:shd w:val="clear" w:color="auto" w:fill="0D1B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12FF" w:rsidRDefault="00670612" w14:paraId="0BECCE02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Plazo</w:t>
            </w:r>
          </w:p>
        </w:tc>
        <w:tc>
          <w:tcPr>
            <w:tcW w:w="1296" w:type="dxa"/>
            <w:shd w:val="clear" w:color="auto" w:fill="0D1B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12FF" w:rsidRDefault="00670612" w14:paraId="16A7D90D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Probabilidad</w:t>
            </w:r>
          </w:p>
        </w:tc>
        <w:tc>
          <w:tcPr>
            <w:tcW w:w="1440" w:type="dxa"/>
            <w:shd w:val="clear" w:color="auto" w:fill="0D1B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12FF" w:rsidRDefault="00670612" w14:paraId="403E95A6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Nivel de riesgo</w:t>
            </w:r>
          </w:p>
        </w:tc>
        <w:tc>
          <w:tcPr>
            <w:tcW w:w="1584" w:type="dxa"/>
            <w:shd w:val="clear" w:color="auto" w:fill="0D1B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12FF" w:rsidRDefault="00670612" w14:paraId="3BFFD78C" w14:textId="1E2CE3AD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Impacto </w:t>
            </w:r>
          </w:p>
        </w:tc>
      </w:tr>
      <w:tr w:rsidR="007612FF" w:rsidTr="4553A652" w14:paraId="5F35AF78" w14:textId="77777777">
        <w:tc>
          <w:tcPr>
            <w:tcW w:w="1728" w:type="dxa"/>
            <w:shd w:val="clear" w:color="auto" w:fill="EAF1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62E9132C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4E8A"/>
                <w:sz w:val="18"/>
                <w:szCs w:val="18"/>
              </w:rPr>
              <w:t>Físico</w:t>
            </w:r>
          </w:p>
          <w:p w:rsidR="007612FF" w:rsidRDefault="00670612" w14:paraId="22916198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A5568"/>
                <w:sz w:val="16"/>
                <w:szCs w:val="16"/>
              </w:rPr>
              <w:t>Agudo</w:t>
            </w:r>
          </w:p>
        </w:tc>
        <w:tc>
          <w:tcPr>
            <w:tcW w:w="4032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3E59B932" w14:textId="71ED4834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 xml:space="preserve">Inundaciones por lluvias intensas (El Niño): el patio de buses y los andenes de abordaje de la FTTG se </w:t>
            </w:r>
            <w:r w:rsidR="00372070"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inundan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, deteniendo el ingreso y salida de unidades y afectando a usuarios en horas pico.</w:t>
            </w:r>
          </w:p>
        </w:tc>
        <w:tc>
          <w:tcPr>
            <w:tcW w:w="3168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132276C1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Amenaza: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eventos de lluvia extrema recurrentes en Guayaquil.</w:t>
            </w:r>
          </w:p>
          <w:p w:rsidR="007612FF" w:rsidRDefault="00670612" w14:paraId="2C327772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Vulnerabilidad: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drenaje insuficiente y andenes a nivel de calle, sin elevación.</w:t>
            </w:r>
          </w:p>
        </w:tc>
        <w:tc>
          <w:tcPr>
            <w:tcW w:w="1152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271D2622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Corto plazo</w:t>
            </w:r>
          </w:p>
        </w:tc>
        <w:tc>
          <w:tcPr>
            <w:tcW w:w="129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P="4553A652" w:rsidRDefault="00670612" w14:paraId="244CB866" w14:textId="77777777">
            <w:pPr>
              <w:spacing w:after="40"/>
              <w:jc w:val="center"/>
              <w:rPr>
                <w:rFonts w:ascii="Calibri" w:hAnsi="Calibri" w:eastAsia="Calibri" w:cs="Calibri"/>
                <w:color w:val="4A5568"/>
                <w:sz w:val="17"/>
                <w:szCs w:val="17"/>
              </w:rPr>
            </w:pPr>
            <w:r w:rsidRPr="4553A652" w:rsidR="71CC54A0"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Alta</w:t>
            </w:r>
            <w:commentRangeStart w:id="1282379109"/>
            <w:commentRangeEnd w:id="1282379109"/>
            <w:r>
              <w:rPr>
                <w:rStyle w:val="CommentReference"/>
              </w:rPr>
              <w:commentReference w:id="1282379109"/>
            </w:r>
          </w:p>
        </w:tc>
        <w:tc>
          <w:tcPr>
            <w:tcW w:w="1440" w:type="dxa"/>
            <w:shd w:val="clear" w:color="auto" w:fill="FBEAE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2E4AF6ED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B2C2C"/>
                <w:sz w:val="17"/>
                <w:szCs w:val="17"/>
              </w:rPr>
              <w:t>Alto</w:t>
            </w:r>
          </w:p>
        </w:tc>
        <w:tc>
          <w:tcPr>
            <w:tcW w:w="158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P="00372070" w:rsidRDefault="00372070" w14:paraId="0CEF9BB9" w14:textId="5D0D9F2F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9B2C2C"/>
                <w:sz w:val="17"/>
                <w:szCs w:val="17"/>
              </w:rPr>
              <w:t>P</w:t>
            </w:r>
            <w:r w:rsidR="00670612">
              <w:rPr>
                <w:rFonts w:ascii="Calibri" w:hAnsi="Calibri" w:eastAsia="Calibri" w:cs="Calibri"/>
                <w:color w:val="9B2C2C"/>
                <w:sz w:val="17"/>
                <w:szCs w:val="17"/>
              </w:rPr>
              <w:t>araliza la operación diaria y genera pérdidas económicas directas por suspensión de rutas.</w:t>
            </w:r>
          </w:p>
        </w:tc>
      </w:tr>
      <w:tr w:rsidR="007612FF" w:rsidTr="4553A652" w14:paraId="4826910B" w14:textId="77777777">
        <w:tc>
          <w:tcPr>
            <w:tcW w:w="1728" w:type="dxa"/>
            <w:shd w:val="clear" w:color="auto" w:fill="EAF1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29996F54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4E8A"/>
                <w:sz w:val="18"/>
                <w:szCs w:val="18"/>
              </w:rPr>
              <w:t>Físico</w:t>
            </w:r>
          </w:p>
          <w:p w:rsidR="007612FF" w:rsidRDefault="00670612" w14:paraId="7E50B018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A5568"/>
                <w:sz w:val="16"/>
                <w:szCs w:val="16"/>
              </w:rPr>
              <w:t>Agudo</w:t>
            </w:r>
          </w:p>
        </w:tc>
        <w:tc>
          <w:tcPr>
            <w:tcW w:w="4032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78808CF7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Cortes de energía eléctrica por lluvias e inundaciones: la terminal pierde suministro eléctrico durante eventos de lluvia fuerte, afectando iluminación, seguridad y comunicación con usuarios.</w:t>
            </w:r>
          </w:p>
        </w:tc>
        <w:tc>
          <w:tcPr>
            <w:tcW w:w="3168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76ACD07F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Amenaza: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saturación de la red eléctrica local en temporada invernal.</w:t>
            </w:r>
          </w:p>
          <w:p w:rsidR="007612FF" w:rsidRDefault="00670612" w14:paraId="5EC78036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Vulnerabilidad: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la FTTG no cuenta con generación eléctrica de respaldo suficiente.</w:t>
            </w:r>
          </w:p>
        </w:tc>
        <w:tc>
          <w:tcPr>
            <w:tcW w:w="1152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268E7CFF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Corto plazo</w:t>
            </w:r>
          </w:p>
        </w:tc>
        <w:tc>
          <w:tcPr>
            <w:tcW w:w="1296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435E1342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Media-Alta</w:t>
            </w:r>
          </w:p>
        </w:tc>
        <w:tc>
          <w:tcPr>
            <w:tcW w:w="1440" w:type="dxa"/>
            <w:shd w:val="clear" w:color="auto" w:fill="FDF0D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0B15B5E7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7791F"/>
                <w:sz w:val="17"/>
                <w:szCs w:val="17"/>
              </w:rPr>
              <w:t>Medio-Alto</w:t>
            </w:r>
          </w:p>
        </w:tc>
        <w:tc>
          <w:tcPr>
            <w:tcW w:w="158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P="00F84A3F" w:rsidRDefault="00372070" w14:paraId="5AF01A1C" w14:textId="11B84D7B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9B2C2C"/>
                <w:sz w:val="17"/>
                <w:szCs w:val="17"/>
              </w:rPr>
              <w:t>C</w:t>
            </w:r>
            <w:r w:rsidR="00670612">
              <w:rPr>
                <w:rFonts w:ascii="Calibri" w:hAnsi="Calibri" w:eastAsia="Calibri" w:cs="Calibri"/>
                <w:color w:val="9B2C2C"/>
                <w:sz w:val="17"/>
                <w:szCs w:val="17"/>
              </w:rPr>
              <w:t>ompromete la seguridad de los usuarios y la continuidad operativa en horas nocturnas.</w:t>
            </w:r>
          </w:p>
        </w:tc>
      </w:tr>
      <w:tr w:rsidR="007612FF" w:rsidTr="4553A652" w14:paraId="3650F669" w14:textId="77777777">
        <w:tc>
          <w:tcPr>
            <w:tcW w:w="1728" w:type="dxa"/>
            <w:shd w:val="clear" w:color="auto" w:fill="EAF1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0A9729EB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4E8A"/>
                <w:sz w:val="18"/>
                <w:szCs w:val="18"/>
              </w:rPr>
              <w:t>Físico</w:t>
            </w:r>
          </w:p>
          <w:p w:rsidR="007612FF" w:rsidRDefault="00670612" w14:paraId="642FC475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A5568"/>
                <w:sz w:val="16"/>
                <w:szCs w:val="16"/>
              </w:rPr>
              <w:t>Agudo</w:t>
            </w:r>
          </w:p>
        </w:tc>
        <w:tc>
          <w:tcPr>
            <w:tcW w:w="4032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372070" w14:paraId="17909D2A" w14:textId="74692F66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Aumento rápido</w:t>
            </w:r>
            <w:r w:rsidR="00670612">
              <w:rPr>
                <w:rFonts w:ascii="Calibri" w:hAnsi="Calibri" w:eastAsia="Calibri" w:cs="Calibri"/>
                <w:color w:val="4A5568"/>
                <w:sz w:val="17"/>
                <w:szCs w:val="17"/>
              </w:rPr>
              <w:t xml:space="preserve"> de enfermedades por aguas estancadas (dengue, </w:t>
            </w:r>
            <w:proofErr w:type="spellStart"/>
            <w:r w:rsidR="00670612"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chikungunya</w:t>
            </w:r>
            <w:proofErr w:type="spellEnd"/>
            <w:r w:rsidR="00670612"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): tras las inundaciones, el agua acumulada favorece la aparición de vectores que ponen en riesgo la salud de usuarios y personal.</w:t>
            </w:r>
          </w:p>
        </w:tc>
        <w:tc>
          <w:tcPr>
            <w:tcW w:w="3168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21EA13E0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Amenaza: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temporada de lluvias prolongada, típica de la costa ecuatoriana.</w:t>
            </w:r>
          </w:p>
          <w:p w:rsidR="007612FF" w:rsidRDefault="00670612" w14:paraId="2C093405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Vulnerabilidad: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falta de protocolos de fumigación y eliminación rápida de agua estancada.</w:t>
            </w:r>
          </w:p>
        </w:tc>
        <w:tc>
          <w:tcPr>
            <w:tcW w:w="1152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781D6DC4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Corto-Mediano plazo</w:t>
            </w:r>
          </w:p>
        </w:tc>
        <w:tc>
          <w:tcPr>
            <w:tcW w:w="129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1C09031F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Media</w:t>
            </w:r>
          </w:p>
        </w:tc>
        <w:tc>
          <w:tcPr>
            <w:tcW w:w="1440" w:type="dxa"/>
            <w:shd w:val="clear" w:color="auto" w:fill="FEF6E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20C98D1D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7A10"/>
                <w:sz w:val="17"/>
                <w:szCs w:val="17"/>
              </w:rPr>
              <w:t>Medio</w:t>
            </w:r>
          </w:p>
        </w:tc>
        <w:tc>
          <w:tcPr>
            <w:tcW w:w="158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P="00F84A3F" w:rsidRDefault="00372070" w14:paraId="6F3744A2" w14:textId="4B604AB3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9B2C2C"/>
                <w:sz w:val="17"/>
                <w:szCs w:val="17"/>
              </w:rPr>
              <w:t>I</w:t>
            </w:r>
            <w:r w:rsidR="00670612">
              <w:rPr>
                <w:rFonts w:ascii="Calibri" w:hAnsi="Calibri" w:eastAsia="Calibri" w:cs="Calibri"/>
                <w:color w:val="9B2C2C"/>
                <w:sz w:val="17"/>
                <w:szCs w:val="17"/>
              </w:rPr>
              <w:t>mplica un riesgo directo a la salud pública y una posible responsabilidad institucional.</w:t>
            </w:r>
          </w:p>
        </w:tc>
      </w:tr>
      <w:tr w:rsidR="007612FF" w:rsidTr="4553A652" w14:paraId="39E4CBAD" w14:textId="77777777">
        <w:tc>
          <w:tcPr>
            <w:tcW w:w="1728" w:type="dxa"/>
            <w:shd w:val="clear" w:color="auto" w:fill="EAF1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5B09E1D9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4E8A"/>
                <w:sz w:val="18"/>
                <w:szCs w:val="18"/>
              </w:rPr>
              <w:t>Físico</w:t>
            </w:r>
          </w:p>
          <w:p w:rsidR="007612FF" w:rsidRDefault="00670612" w14:paraId="252A3B84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A5568"/>
                <w:sz w:val="16"/>
                <w:szCs w:val="16"/>
              </w:rPr>
              <w:t>Crónico</w:t>
            </w:r>
          </w:p>
        </w:tc>
        <w:tc>
          <w:tcPr>
            <w:tcW w:w="4032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603A1031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Aumento de la temperatura promedio: el mayor calor dentro de la terminal afecta el confort de usuarios y personal, y eleva el gasto en climatización.</w:t>
            </w:r>
          </w:p>
        </w:tc>
        <w:tc>
          <w:tcPr>
            <w:tcW w:w="3168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2E8C0E74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Amenaza: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tendencia de calentamiento en la región costera.</w:t>
            </w:r>
          </w:p>
          <w:p w:rsidR="007612FF" w:rsidRDefault="00670612" w14:paraId="4E134C22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Vulnerabilidad: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infraestructura sin diseño bioclimático ni ventilación eficiente.</w:t>
            </w:r>
          </w:p>
        </w:tc>
        <w:tc>
          <w:tcPr>
            <w:tcW w:w="1152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555CA5F1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Mediano plazo</w:t>
            </w:r>
          </w:p>
        </w:tc>
        <w:tc>
          <w:tcPr>
            <w:tcW w:w="1296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5E56F67A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Alta</w:t>
            </w:r>
          </w:p>
        </w:tc>
        <w:tc>
          <w:tcPr>
            <w:tcW w:w="1440" w:type="dxa"/>
            <w:shd w:val="clear" w:color="auto" w:fill="FDF0D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493A7DB0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7791F"/>
                <w:sz w:val="17"/>
                <w:szCs w:val="17"/>
              </w:rPr>
              <w:t>Medio-Alto</w:t>
            </w:r>
          </w:p>
        </w:tc>
        <w:tc>
          <w:tcPr>
            <w:tcW w:w="158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P="00F84A3F" w:rsidRDefault="00372070" w14:paraId="63F49AD5" w14:textId="1C8792AB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C97A10"/>
                <w:sz w:val="17"/>
                <w:szCs w:val="17"/>
              </w:rPr>
              <w:t>D</w:t>
            </w:r>
            <w:r w:rsidR="00670612">
              <w:rPr>
                <w:rFonts w:ascii="Calibri" w:hAnsi="Calibri" w:eastAsia="Calibri" w:cs="Calibri"/>
                <w:color w:val="C97A10"/>
                <w:sz w:val="17"/>
                <w:szCs w:val="17"/>
              </w:rPr>
              <w:t>etiene la operación, pero incrementa los costos operativos de forma sostenida.</w:t>
            </w:r>
          </w:p>
        </w:tc>
      </w:tr>
      <w:tr w:rsidR="007612FF" w:rsidTr="4553A652" w14:paraId="545E837B" w14:textId="77777777">
        <w:tc>
          <w:tcPr>
            <w:tcW w:w="1728" w:type="dxa"/>
            <w:shd w:val="clear" w:color="auto" w:fill="EAF1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19666DB6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4E8A"/>
                <w:sz w:val="18"/>
                <w:szCs w:val="18"/>
              </w:rPr>
              <w:t>Físico</w:t>
            </w:r>
          </w:p>
          <w:p w:rsidR="007612FF" w:rsidRDefault="00670612" w14:paraId="098BABFF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A5568"/>
                <w:sz w:val="16"/>
                <w:szCs w:val="16"/>
              </w:rPr>
              <w:t>Crónico</w:t>
            </w:r>
          </w:p>
        </w:tc>
        <w:tc>
          <w:tcPr>
            <w:tcW w:w="4032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4E52170C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Humedad constante del suelo por lluvias prolongadas: el terreno bajo la terminal permanece húmedo por periodos largos, deteriorando poco a poco cimientos y tuberías de drenaje.</w:t>
            </w:r>
          </w:p>
        </w:tc>
        <w:tc>
          <w:tcPr>
            <w:tcW w:w="3168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3E4B1727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Amenaza: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temporadas de lluvia cada vez más largas en Guayaquil.</w:t>
            </w:r>
          </w:p>
          <w:p w:rsidR="007612FF" w:rsidRDefault="00670612" w14:paraId="61C40D4E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Vulnerabilidad: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antigüedad de la infraestructura y falta de mantenimiento preventivo.</w:t>
            </w:r>
          </w:p>
        </w:tc>
        <w:tc>
          <w:tcPr>
            <w:tcW w:w="1152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393F56E2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Largo plazo</w:t>
            </w:r>
          </w:p>
        </w:tc>
        <w:tc>
          <w:tcPr>
            <w:tcW w:w="129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4DF4E502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Media</w:t>
            </w:r>
          </w:p>
        </w:tc>
        <w:tc>
          <w:tcPr>
            <w:tcW w:w="1440" w:type="dxa"/>
            <w:shd w:val="clear" w:color="auto" w:fill="FEF6E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47024D73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7A10"/>
                <w:sz w:val="17"/>
                <w:szCs w:val="17"/>
              </w:rPr>
              <w:t>Medio</w:t>
            </w:r>
          </w:p>
        </w:tc>
        <w:tc>
          <w:tcPr>
            <w:tcW w:w="158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P="00F84A3F" w:rsidRDefault="00707EC4" w14:paraId="3E6218CF" w14:textId="2DCEA9E8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C97A10"/>
                <w:sz w:val="17"/>
                <w:szCs w:val="17"/>
              </w:rPr>
              <w:t>C</w:t>
            </w:r>
            <w:r w:rsidR="00670612">
              <w:rPr>
                <w:rFonts w:ascii="Calibri" w:hAnsi="Calibri" w:eastAsia="Calibri" w:cs="Calibri"/>
                <w:color w:val="C97A10"/>
                <w:sz w:val="17"/>
                <w:szCs w:val="17"/>
              </w:rPr>
              <w:t>ompromete la vida útil de la infraestructura si no se interviene a tiempo.</w:t>
            </w:r>
          </w:p>
        </w:tc>
      </w:tr>
      <w:tr w:rsidR="007612FF" w:rsidTr="4553A652" w14:paraId="2E308326" w14:textId="77777777">
        <w:tc>
          <w:tcPr>
            <w:tcW w:w="1728" w:type="dxa"/>
            <w:shd w:val="clear" w:color="auto" w:fill="EAF1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48E6EE0F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4E8A"/>
                <w:sz w:val="18"/>
                <w:szCs w:val="18"/>
              </w:rPr>
              <w:lastRenderedPageBreak/>
              <w:t>Físico</w:t>
            </w:r>
          </w:p>
          <w:p w:rsidR="007612FF" w:rsidRDefault="00670612" w14:paraId="5E479043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A5568"/>
                <w:sz w:val="16"/>
                <w:szCs w:val="16"/>
              </w:rPr>
              <w:t>Crónico</w:t>
            </w:r>
          </w:p>
        </w:tc>
        <w:tc>
          <w:tcPr>
            <w:tcW w:w="4032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7A7639DF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Mayor desgaste de estructuras por corrosión y humedad ambiental: el clima tropical húmedo acelera el deterioro de metales, techos y sistemas eléctricos, elevando los costos de mantenimiento.</w:t>
            </w:r>
          </w:p>
        </w:tc>
        <w:tc>
          <w:tcPr>
            <w:tcW w:w="3168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2497108E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Amenaza: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humedad relativa alta y constante propia del clima de Guayaquil.</w:t>
            </w:r>
          </w:p>
          <w:p w:rsidR="007612FF" w:rsidRDefault="00670612" w14:paraId="5262EAD5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Vulnerabilidad: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materiales de construcción sin tratamiento anticorrosivo.</w:t>
            </w:r>
          </w:p>
        </w:tc>
        <w:tc>
          <w:tcPr>
            <w:tcW w:w="1152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37D7BFA7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Mediano-Largo plazo</w:t>
            </w:r>
          </w:p>
        </w:tc>
        <w:tc>
          <w:tcPr>
            <w:tcW w:w="1296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6AE02E13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Alta</w:t>
            </w:r>
          </w:p>
        </w:tc>
        <w:tc>
          <w:tcPr>
            <w:tcW w:w="1440" w:type="dxa"/>
            <w:shd w:val="clear" w:color="auto" w:fill="FEF6E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355488E3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7A10"/>
                <w:sz w:val="17"/>
                <w:szCs w:val="17"/>
              </w:rPr>
              <w:t>Medio</w:t>
            </w:r>
          </w:p>
        </w:tc>
        <w:tc>
          <w:tcPr>
            <w:tcW w:w="158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P="00F84A3F" w:rsidRDefault="00707EC4" w14:paraId="07143B38" w14:textId="25F77666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C97A10"/>
                <w:sz w:val="17"/>
                <w:szCs w:val="17"/>
              </w:rPr>
              <w:t>R</w:t>
            </w:r>
            <w:r w:rsidR="00670612">
              <w:rPr>
                <w:rFonts w:ascii="Calibri" w:hAnsi="Calibri" w:eastAsia="Calibri" w:cs="Calibri"/>
                <w:color w:val="C97A10"/>
                <w:sz w:val="17"/>
                <w:szCs w:val="17"/>
              </w:rPr>
              <w:t>epresenta un gasto recurrente que crece si no se realiza mantenimiento preventivo.</w:t>
            </w:r>
          </w:p>
        </w:tc>
      </w:tr>
      <w:tr w:rsidR="007612FF" w:rsidTr="4553A652" w14:paraId="11B1AC9E" w14:textId="77777777">
        <w:trPr>
          <w:trHeight w:val="1263"/>
        </w:trPr>
        <w:tc>
          <w:tcPr>
            <w:tcW w:w="1728" w:type="dxa"/>
            <w:shd w:val="clear" w:color="auto" w:fill="E6F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16241E4D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8C7D"/>
                <w:sz w:val="18"/>
                <w:szCs w:val="18"/>
              </w:rPr>
              <w:t>Transición</w:t>
            </w:r>
          </w:p>
          <w:p w:rsidR="007612FF" w:rsidRDefault="00670612" w14:paraId="02AB2D1E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A5568"/>
                <w:sz w:val="16"/>
                <w:szCs w:val="16"/>
              </w:rPr>
              <w:t>Regulatorio</w:t>
            </w:r>
          </w:p>
        </w:tc>
        <w:tc>
          <w:tcPr>
            <w:tcW w:w="4032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7BEE93C3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Nuevas normativas de emisiones para transporte terrestre: las cooperativas que operan en la FTTG podrían verse obligadas a renovar su flota o adoptar buses menos contaminantes.</w:t>
            </w:r>
          </w:p>
        </w:tc>
        <w:tc>
          <w:tcPr>
            <w:tcW w:w="3168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0AA7A511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Amenaza: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cambios en la normativa ambiental nacional o municipal.</w:t>
            </w:r>
          </w:p>
          <w:p w:rsidR="007612FF" w:rsidRDefault="00670612" w14:paraId="5C744614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Vulnerabilidad: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la FTTG no tiene infraestructura de carga eléctrica ni protocolos de transición para operadores.</w:t>
            </w:r>
          </w:p>
        </w:tc>
        <w:tc>
          <w:tcPr>
            <w:tcW w:w="1152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73B1635A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Mediano plazo</w:t>
            </w:r>
          </w:p>
        </w:tc>
        <w:tc>
          <w:tcPr>
            <w:tcW w:w="129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773D57B9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Alta</w:t>
            </w:r>
          </w:p>
        </w:tc>
        <w:tc>
          <w:tcPr>
            <w:tcW w:w="1440" w:type="dxa"/>
            <w:shd w:val="clear" w:color="auto" w:fill="FBEAE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075B40EF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B2C2C"/>
                <w:sz w:val="17"/>
                <w:szCs w:val="17"/>
              </w:rPr>
              <w:t>Alto</w:t>
            </w:r>
          </w:p>
        </w:tc>
        <w:tc>
          <w:tcPr>
            <w:tcW w:w="158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P="00F84A3F" w:rsidRDefault="00707EC4" w14:paraId="52D6B384" w14:textId="6A63909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9B2C2C"/>
                <w:sz w:val="17"/>
                <w:szCs w:val="17"/>
              </w:rPr>
              <w:t>I</w:t>
            </w:r>
            <w:r w:rsidR="00670612">
              <w:rPr>
                <w:rFonts w:ascii="Calibri" w:hAnsi="Calibri" w:eastAsia="Calibri" w:cs="Calibri"/>
                <w:color w:val="9B2C2C"/>
                <w:sz w:val="17"/>
                <w:szCs w:val="17"/>
              </w:rPr>
              <w:t>nversión en infraestructura y podría afectar la relación con las cooperativas de transporte.</w:t>
            </w:r>
          </w:p>
        </w:tc>
      </w:tr>
      <w:tr w:rsidR="007612FF" w:rsidTr="4553A652" w14:paraId="6682B227" w14:textId="77777777">
        <w:tc>
          <w:tcPr>
            <w:tcW w:w="1728" w:type="dxa"/>
            <w:shd w:val="clear" w:color="auto" w:fill="E6F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6837DED2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8C7D"/>
                <w:sz w:val="18"/>
                <w:szCs w:val="18"/>
              </w:rPr>
              <w:t>Transición</w:t>
            </w:r>
          </w:p>
          <w:p w:rsidR="007612FF" w:rsidRDefault="00670612" w14:paraId="426C0BAF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A5568"/>
                <w:sz w:val="16"/>
                <w:szCs w:val="16"/>
              </w:rPr>
              <w:t>Tecnológico</w:t>
            </w:r>
          </w:p>
        </w:tc>
        <w:tc>
          <w:tcPr>
            <w:tcW w:w="4032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460919E8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Adopción de buses eléctricos o híbridos: se requerirán puntos de carga y adecuación de andenes para las nuevas unidades.</w:t>
            </w:r>
          </w:p>
        </w:tc>
        <w:tc>
          <w:tcPr>
            <w:tcW w:w="3168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6633B13F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Amenaza: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presión del mercado y de la regulación hacia la electromovilidad.</w:t>
            </w:r>
          </w:p>
          <w:p w:rsidR="007612FF" w:rsidRDefault="00670612" w14:paraId="6823A12A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Vulnerabilidad: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falta de estudios técnicos previos sobre la capacidad eléctrica de la terminal.</w:t>
            </w:r>
          </w:p>
        </w:tc>
        <w:tc>
          <w:tcPr>
            <w:tcW w:w="1152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39EABBF3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Mediano-Largo plazo</w:t>
            </w:r>
          </w:p>
        </w:tc>
        <w:tc>
          <w:tcPr>
            <w:tcW w:w="1296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7D391E22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Media</w:t>
            </w:r>
          </w:p>
        </w:tc>
        <w:tc>
          <w:tcPr>
            <w:tcW w:w="1440" w:type="dxa"/>
            <w:shd w:val="clear" w:color="auto" w:fill="FEF6E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1345FBC9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7A10"/>
                <w:sz w:val="17"/>
                <w:szCs w:val="17"/>
              </w:rPr>
              <w:t>Medio</w:t>
            </w:r>
          </w:p>
        </w:tc>
        <w:tc>
          <w:tcPr>
            <w:tcW w:w="158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P="00F84A3F" w:rsidRDefault="00707EC4" w14:paraId="7ED90430" w14:textId="19CA6A30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C97A10"/>
                <w:sz w:val="17"/>
                <w:szCs w:val="17"/>
              </w:rPr>
              <w:t>I</w:t>
            </w:r>
            <w:r w:rsidR="00670612">
              <w:rPr>
                <w:rFonts w:ascii="Calibri" w:hAnsi="Calibri" w:eastAsia="Calibri" w:cs="Calibri"/>
                <w:color w:val="C97A10"/>
                <w:sz w:val="17"/>
                <w:szCs w:val="17"/>
              </w:rPr>
              <w:t>nversión planifica</w:t>
            </w:r>
            <w:r>
              <w:rPr>
                <w:rFonts w:ascii="Calibri" w:hAnsi="Calibri" w:eastAsia="Calibri" w:cs="Calibri"/>
                <w:color w:val="C97A10"/>
                <w:sz w:val="17"/>
                <w:szCs w:val="17"/>
              </w:rPr>
              <w:t>da</w:t>
            </w:r>
            <w:r w:rsidR="00670612">
              <w:rPr>
                <w:rFonts w:ascii="Calibri" w:hAnsi="Calibri" w:eastAsia="Calibri" w:cs="Calibri"/>
                <w:color w:val="C97A10"/>
                <w:sz w:val="17"/>
                <w:szCs w:val="17"/>
              </w:rPr>
              <w:t xml:space="preserve"> si se anticipa con tiempo.</w:t>
            </w:r>
          </w:p>
        </w:tc>
      </w:tr>
      <w:tr w:rsidR="007612FF" w:rsidTr="4553A652" w14:paraId="5E843056" w14:textId="77777777">
        <w:trPr>
          <w:trHeight w:val="1289"/>
        </w:trPr>
        <w:tc>
          <w:tcPr>
            <w:tcW w:w="1728" w:type="dxa"/>
            <w:shd w:val="clear" w:color="auto" w:fill="E6F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7DA3B6A2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8C7D"/>
                <w:sz w:val="18"/>
                <w:szCs w:val="18"/>
              </w:rPr>
              <w:t>Transición</w:t>
            </w:r>
          </w:p>
          <w:p w:rsidR="007612FF" w:rsidRDefault="00670612" w14:paraId="0CA26A74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A5568"/>
                <w:sz w:val="16"/>
                <w:szCs w:val="16"/>
              </w:rPr>
              <w:t>Mercado</w:t>
            </w:r>
          </w:p>
        </w:tc>
        <w:tc>
          <w:tcPr>
            <w:tcW w:w="4032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4DDA9285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Pérdida de competitividad frente a otras terminales o medios de transporte con certificaciones sostenibles: si la FTTG no adopta prácticas visibles, puede perder relevancia frente a alternativas mejor posicionadas.</w:t>
            </w:r>
          </w:p>
        </w:tc>
        <w:tc>
          <w:tcPr>
            <w:tcW w:w="3168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5533E2DD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Amenaza: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creciente exigencia del mercado por operadores certificados en sostenibilidad.</w:t>
            </w:r>
          </w:p>
          <w:p w:rsidR="007612FF" w:rsidRDefault="00670612" w14:paraId="42931D5D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Vulnerabilidad: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la FTTG aún no cuenta con certificaciones ni sello de sostenibilidad.</w:t>
            </w:r>
          </w:p>
        </w:tc>
        <w:tc>
          <w:tcPr>
            <w:tcW w:w="1152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20DA53E6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Largo plazo</w:t>
            </w:r>
          </w:p>
        </w:tc>
        <w:tc>
          <w:tcPr>
            <w:tcW w:w="1296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72D17398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Baja-Media</w:t>
            </w:r>
          </w:p>
        </w:tc>
        <w:tc>
          <w:tcPr>
            <w:tcW w:w="1440" w:type="dxa"/>
            <w:shd w:val="clear" w:color="auto" w:fill="FEF6E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684C94A3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7A10"/>
                <w:sz w:val="17"/>
                <w:szCs w:val="17"/>
              </w:rPr>
              <w:t>Medio</w:t>
            </w:r>
          </w:p>
        </w:tc>
        <w:tc>
          <w:tcPr>
            <w:tcW w:w="158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P="00F84A3F" w:rsidRDefault="00707EC4" w14:paraId="5CEF2C52" w14:textId="733EFC79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C97A10"/>
                <w:sz w:val="17"/>
                <w:szCs w:val="17"/>
              </w:rPr>
              <w:t>A</w:t>
            </w:r>
            <w:r w:rsidR="00670612">
              <w:rPr>
                <w:rFonts w:ascii="Calibri" w:hAnsi="Calibri" w:eastAsia="Calibri" w:cs="Calibri"/>
                <w:color w:val="C97A10"/>
                <w:sz w:val="17"/>
                <w:szCs w:val="17"/>
              </w:rPr>
              <w:t>fecta la posición institucional a largo plazo frente a otros actores del sector.</w:t>
            </w:r>
          </w:p>
        </w:tc>
      </w:tr>
      <w:tr w:rsidR="007612FF" w:rsidTr="4553A652" w14:paraId="0F2C9F3F" w14:textId="77777777">
        <w:tc>
          <w:tcPr>
            <w:tcW w:w="1728" w:type="dxa"/>
            <w:shd w:val="clear" w:color="auto" w:fill="E6F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103F3853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8C7D"/>
                <w:sz w:val="18"/>
                <w:szCs w:val="18"/>
              </w:rPr>
              <w:t>Transición</w:t>
            </w:r>
          </w:p>
          <w:p w:rsidR="007612FF" w:rsidRDefault="00670612" w14:paraId="64607CE6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A5568"/>
                <w:sz w:val="16"/>
                <w:szCs w:val="16"/>
              </w:rPr>
              <w:t>Reputacional</w:t>
            </w:r>
          </w:p>
        </w:tc>
        <w:tc>
          <w:tcPr>
            <w:tcW w:w="4032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64A47EF6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Mayor exigencia de transparencia en sostenibilidad: usuarios, cooperativas y entes de control esperan reportes claros de gestión ambiental de parte de la FTTG.</w:t>
            </w:r>
          </w:p>
        </w:tc>
        <w:tc>
          <w:tcPr>
            <w:tcW w:w="3168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15A7836E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Amenaza: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mayor exigencia social y regulatoria de rendición de cuentas.</w:t>
            </w:r>
          </w:p>
          <w:p w:rsidR="007612FF" w:rsidRDefault="00670612" w14:paraId="5669C131" w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4A5568"/>
                <w:sz w:val="17"/>
                <w:szCs w:val="17"/>
              </w:rPr>
              <w:t xml:space="preserve">Vulnerabilidad: </w:t>
            </w: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la FTTG no contaba previamente con un modelo formal de reporte de sostenibilidad.</w:t>
            </w:r>
          </w:p>
        </w:tc>
        <w:tc>
          <w:tcPr>
            <w:tcW w:w="1152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3225516A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Corto plazo</w:t>
            </w:r>
          </w:p>
        </w:tc>
        <w:tc>
          <w:tcPr>
            <w:tcW w:w="129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5CB11677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Alta</w:t>
            </w:r>
          </w:p>
        </w:tc>
        <w:tc>
          <w:tcPr>
            <w:tcW w:w="1440" w:type="dxa"/>
            <w:shd w:val="clear" w:color="auto" w:fill="FDF0D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10B7AD99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7791F"/>
                <w:sz w:val="17"/>
                <w:szCs w:val="17"/>
              </w:rPr>
              <w:t>Medio-Alto</w:t>
            </w:r>
          </w:p>
        </w:tc>
        <w:tc>
          <w:tcPr>
            <w:tcW w:w="158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P="00F84A3F" w:rsidRDefault="00707EC4" w14:paraId="718B7C4E" w14:textId="5DFA0DF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C97A10"/>
                <w:sz w:val="17"/>
                <w:szCs w:val="17"/>
              </w:rPr>
              <w:t>A</w:t>
            </w:r>
            <w:r w:rsidR="00670612">
              <w:rPr>
                <w:rFonts w:ascii="Calibri" w:hAnsi="Calibri" w:eastAsia="Calibri" w:cs="Calibri"/>
                <w:color w:val="C97A10"/>
                <w:sz w:val="17"/>
                <w:szCs w:val="17"/>
              </w:rPr>
              <w:t>fecta la imagen institucional ante actores clave, aunque no la operación directa.</w:t>
            </w:r>
          </w:p>
        </w:tc>
      </w:tr>
    </w:tbl>
    <w:p w:rsidR="007612FF" w:rsidRDefault="007612FF" w14:paraId="6F78399C" w14:textId="77777777">
      <w:pPr>
        <w:spacing w:after="200"/>
      </w:pPr>
    </w:p>
    <w:p w:rsidR="009818B1" w:rsidRDefault="009818B1" w14:paraId="2FC08CFD" w14:textId="77777777">
      <w:pPr>
        <w:spacing w:after="200"/>
      </w:pPr>
    </w:p>
    <w:p w:rsidR="009818B1" w:rsidRDefault="009818B1" w14:paraId="1C927765" w14:textId="77777777">
      <w:pPr>
        <w:spacing w:after="200"/>
      </w:pPr>
    </w:p>
    <w:p w:rsidR="009818B1" w:rsidRDefault="009818B1" w14:paraId="70192CEE" w14:textId="77777777">
      <w:pPr>
        <w:spacing w:after="200"/>
      </w:pPr>
    </w:p>
    <w:p w:rsidR="009818B1" w:rsidRDefault="009818B1" w14:paraId="1DAF4ECA" w14:textId="77777777">
      <w:pPr>
        <w:spacing w:after="200"/>
      </w:pPr>
    </w:p>
    <w:p w:rsidR="009818B1" w:rsidRDefault="009818B1" w14:paraId="4A49A345" w14:textId="77777777">
      <w:pPr>
        <w:spacing w:after="200"/>
      </w:pPr>
    </w:p>
    <w:p w:rsidR="009818B1" w:rsidRDefault="009818B1" w14:paraId="348D424E" w14:textId="77777777">
      <w:pPr>
        <w:spacing w:after="200"/>
      </w:pPr>
    </w:p>
    <w:p w:rsidR="009818B1" w:rsidP="009818B1" w:rsidRDefault="009818B1" w14:paraId="140A617D" w14:textId="6B3110D9">
      <w:pPr>
        <w:pBdr>
          <w:bottom w:val="single" w:color="1B8C7D" w:sz="10" w:space="4"/>
        </w:pBdr>
        <w:spacing w:before="320" w:after="160"/>
      </w:pPr>
      <w:r>
        <w:rPr>
          <w:rFonts w:ascii="Cambria" w:hAnsi="Cambria" w:eastAsia="Cambria" w:cs="Cambria"/>
          <w:b/>
          <w:bCs/>
          <w:color w:val="1B8C7D"/>
          <w:sz w:val="24"/>
          <w:szCs w:val="24"/>
        </w:rPr>
        <w:t xml:space="preserve">2.  </w:t>
      </w:r>
      <w:r>
        <w:rPr>
          <w:rFonts w:ascii="Cambria" w:hAnsi="Cambria" w:eastAsia="Cambria" w:cs="Cambria"/>
          <w:b/>
          <w:bCs/>
          <w:color w:val="0D1B2A"/>
          <w:sz w:val="24"/>
          <w:szCs w:val="24"/>
        </w:rPr>
        <w:t>Matriz de Oportunidades</w:t>
      </w:r>
    </w:p>
    <w:p w:rsidR="009818B1" w:rsidRDefault="009818B1" w14:paraId="6793B3E6" w14:textId="77777777">
      <w:pPr>
        <w:spacing w:after="200"/>
      </w:pPr>
    </w:p>
    <w:tbl>
      <w:tblPr>
        <w:tblW w:w="11232" w:type="dxa"/>
        <w:tblBorders>
          <w:top w:val="single" w:color="E7EAEE" w:sz="4" w:space="0"/>
          <w:left w:val="single" w:color="E7EAEE" w:sz="4" w:space="0"/>
          <w:bottom w:val="single" w:color="E7EAEE" w:sz="4" w:space="0"/>
          <w:right w:val="single" w:color="E7EAEE" w:sz="4" w:space="0"/>
          <w:insideH w:val="single" w:color="E7EAEE" w:sz="2" w:space="0"/>
          <w:insideV w:val="single" w:color="E7EAEE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4032"/>
        <w:gridCol w:w="1152"/>
        <w:gridCol w:w="1296"/>
        <w:gridCol w:w="1440"/>
        <w:gridCol w:w="1584"/>
      </w:tblGrid>
      <w:tr w:rsidR="009818B1" w:rsidTr="009818B1" w14:paraId="625B8426" w14:textId="77777777">
        <w:trPr>
          <w:tblHeader/>
        </w:trPr>
        <w:tc>
          <w:tcPr>
            <w:tcW w:w="1728" w:type="dxa"/>
            <w:shd w:val="clear" w:color="auto" w:fill="0D1B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818B1" w:rsidP="00DB1D9E" w:rsidRDefault="009818B1" w14:paraId="678BCA67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Categoría / Tipo</w:t>
            </w:r>
          </w:p>
        </w:tc>
        <w:tc>
          <w:tcPr>
            <w:tcW w:w="4032" w:type="dxa"/>
            <w:shd w:val="clear" w:color="auto" w:fill="0D1B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818B1" w:rsidP="00DB1D9E" w:rsidRDefault="009818B1" w14:paraId="78E0D151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Riesgo / oportunidad (específico de la FTTG)</w:t>
            </w:r>
          </w:p>
        </w:tc>
        <w:tc>
          <w:tcPr>
            <w:tcW w:w="1152" w:type="dxa"/>
            <w:shd w:val="clear" w:color="auto" w:fill="0D1B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818B1" w:rsidP="00DB1D9E" w:rsidRDefault="009818B1" w14:paraId="00A2DE4E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Plazo</w:t>
            </w:r>
          </w:p>
        </w:tc>
        <w:tc>
          <w:tcPr>
            <w:tcW w:w="1296" w:type="dxa"/>
            <w:shd w:val="clear" w:color="auto" w:fill="0D1B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818B1" w:rsidP="00DB1D9E" w:rsidRDefault="009818B1" w14:paraId="03370AA4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Probabilidad</w:t>
            </w:r>
          </w:p>
        </w:tc>
        <w:tc>
          <w:tcPr>
            <w:tcW w:w="1440" w:type="dxa"/>
            <w:shd w:val="clear" w:color="auto" w:fill="0D1B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818B1" w:rsidP="00DB1D9E" w:rsidRDefault="009818B1" w14:paraId="719FE0CF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Nivel de riesgo</w:t>
            </w:r>
          </w:p>
        </w:tc>
        <w:tc>
          <w:tcPr>
            <w:tcW w:w="1584" w:type="dxa"/>
            <w:shd w:val="clear" w:color="auto" w:fill="0D1B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818B1" w:rsidP="00DB1D9E" w:rsidRDefault="009818B1" w14:paraId="1D80697C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Impacto </w:t>
            </w:r>
          </w:p>
        </w:tc>
      </w:tr>
      <w:tr w:rsidR="009818B1" w:rsidTr="009818B1" w14:paraId="6A0387E5" w14:textId="77777777">
        <w:tc>
          <w:tcPr>
            <w:tcW w:w="1728" w:type="dxa"/>
            <w:shd w:val="clear" w:color="auto" w:fill="EBF5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9818B1" w:rsidP="00DB1D9E" w:rsidRDefault="009818B1" w14:paraId="0A69A102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76749"/>
                <w:sz w:val="18"/>
                <w:szCs w:val="18"/>
              </w:rPr>
              <w:t>Oportunidad</w:t>
            </w:r>
          </w:p>
          <w:p w:rsidR="009818B1" w:rsidP="00DB1D9E" w:rsidRDefault="009818B1" w14:paraId="11526F58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A5568"/>
                <w:sz w:val="16"/>
                <w:szCs w:val="16"/>
              </w:rPr>
              <w:t>Eficiencia de recursos</w:t>
            </w:r>
          </w:p>
        </w:tc>
        <w:tc>
          <w:tcPr>
            <w:tcW w:w="4032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9818B1" w:rsidP="00DB1D9E" w:rsidRDefault="009818B1" w14:paraId="22863D7D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Optimización energética: la iluminación LED, los paneles solares y una mejor gestión del agua permiten reducir costos operativos.</w:t>
            </w:r>
          </w:p>
        </w:tc>
        <w:tc>
          <w:tcPr>
            <w:tcW w:w="1152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9818B1" w:rsidP="00DB1D9E" w:rsidRDefault="009818B1" w14:paraId="5E50581A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Corto-Mediano plazo</w:t>
            </w:r>
          </w:p>
        </w:tc>
        <w:tc>
          <w:tcPr>
            <w:tcW w:w="1296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9818B1" w:rsidP="00DB1D9E" w:rsidRDefault="009818B1" w14:paraId="4B50CEE3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Alta</w:t>
            </w:r>
          </w:p>
        </w:tc>
        <w:tc>
          <w:tcPr>
            <w:tcW w:w="1440" w:type="dxa"/>
            <w:shd w:val="clear" w:color="auto" w:fill="EBF5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9818B1" w:rsidP="00DB1D9E" w:rsidRDefault="009818B1" w14:paraId="761DB473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76749"/>
                <w:sz w:val="17"/>
                <w:szCs w:val="17"/>
              </w:rPr>
              <w:t>Oportunidad Alta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9818B1" w:rsidP="00F84A3F" w:rsidRDefault="009818B1" w14:paraId="6CA0A5BF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C97A10"/>
                <w:sz w:val="17"/>
                <w:szCs w:val="17"/>
              </w:rPr>
              <w:t>Genera un ahorro sostenido en el tiempo.</w:t>
            </w:r>
          </w:p>
        </w:tc>
      </w:tr>
      <w:tr w:rsidR="00CF51E2" w:rsidTr="009818B1" w14:paraId="0ADEEA8E" w14:textId="77777777">
        <w:tc>
          <w:tcPr>
            <w:tcW w:w="1728" w:type="dxa"/>
            <w:shd w:val="clear" w:color="auto" w:fill="EBF5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CF51E2" w:rsidP="00DB1D9E" w:rsidRDefault="00CF51E2" w14:paraId="45F6AD46" w14:textId="77777777">
            <w:pPr>
              <w:spacing w:after="40"/>
              <w:jc w:val="center"/>
              <w:rPr>
                <w:rFonts w:ascii="Calibri" w:hAnsi="Calibri" w:eastAsia="Calibri" w:cs="Calibri"/>
                <w:b/>
                <w:bCs/>
                <w:color w:val="276749"/>
                <w:sz w:val="18"/>
                <w:szCs w:val="18"/>
              </w:rPr>
            </w:pPr>
          </w:p>
        </w:tc>
        <w:tc>
          <w:tcPr>
            <w:tcW w:w="4032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CF51E2" w:rsidP="00DB1D9E" w:rsidRDefault="00CF51E2" w14:paraId="23624314" w14:textId="77777777">
            <w:pPr>
              <w:spacing w:after="40"/>
              <w:rPr>
                <w:rFonts w:ascii="Calibri" w:hAnsi="Calibri" w:eastAsia="Calibri" w:cs="Calibri"/>
                <w:color w:val="4A5568"/>
                <w:sz w:val="17"/>
                <w:szCs w:val="17"/>
              </w:rPr>
            </w:pPr>
          </w:p>
        </w:tc>
        <w:tc>
          <w:tcPr>
            <w:tcW w:w="1152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CF51E2" w:rsidP="00DB1D9E" w:rsidRDefault="00CF51E2" w14:paraId="0BB41848" w14:textId="77777777">
            <w:pPr>
              <w:spacing w:after="40"/>
              <w:jc w:val="center"/>
              <w:rPr>
                <w:rFonts w:ascii="Calibri" w:hAnsi="Calibri" w:eastAsia="Calibri" w:cs="Calibri"/>
                <w:color w:val="4A5568"/>
                <w:sz w:val="17"/>
                <w:szCs w:val="17"/>
              </w:rPr>
            </w:pPr>
          </w:p>
        </w:tc>
        <w:tc>
          <w:tcPr>
            <w:tcW w:w="1296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CF51E2" w:rsidP="00DB1D9E" w:rsidRDefault="00CF51E2" w14:paraId="1714369C" w14:textId="77777777">
            <w:pPr>
              <w:spacing w:after="40"/>
              <w:jc w:val="center"/>
              <w:rPr>
                <w:rFonts w:ascii="Calibri" w:hAnsi="Calibri" w:eastAsia="Calibri" w:cs="Calibri"/>
                <w:color w:val="4A5568"/>
                <w:sz w:val="17"/>
                <w:szCs w:val="17"/>
              </w:rPr>
            </w:pPr>
          </w:p>
        </w:tc>
        <w:tc>
          <w:tcPr>
            <w:tcW w:w="1440" w:type="dxa"/>
            <w:shd w:val="clear" w:color="auto" w:fill="EBF5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CF51E2" w:rsidP="00DB1D9E" w:rsidRDefault="00CF51E2" w14:paraId="7D7FB7D7" w14:textId="77777777">
            <w:pPr>
              <w:spacing w:after="40"/>
              <w:jc w:val="center"/>
              <w:rPr>
                <w:rFonts w:ascii="Calibri" w:hAnsi="Calibri" w:eastAsia="Calibri" w:cs="Calibri"/>
                <w:b/>
                <w:bCs/>
                <w:color w:val="276749"/>
                <w:sz w:val="17"/>
                <w:szCs w:val="17"/>
              </w:rPr>
            </w:pPr>
          </w:p>
        </w:tc>
        <w:tc>
          <w:tcPr>
            <w:tcW w:w="158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CF51E2" w:rsidP="00F84A3F" w:rsidRDefault="00CF51E2" w14:paraId="27BCA3A6" w14:textId="77777777">
            <w:pPr>
              <w:spacing w:after="40"/>
              <w:jc w:val="center"/>
              <w:rPr>
                <w:rFonts w:ascii="Calibri" w:hAnsi="Calibri" w:eastAsia="Calibri" w:cs="Calibri"/>
                <w:color w:val="C97A10"/>
                <w:sz w:val="17"/>
                <w:szCs w:val="17"/>
              </w:rPr>
            </w:pPr>
          </w:p>
        </w:tc>
      </w:tr>
      <w:tr w:rsidR="009818B1" w:rsidTr="009818B1" w14:paraId="0BC3A8D7" w14:textId="77777777">
        <w:trPr>
          <w:trHeight w:val="28"/>
        </w:trPr>
        <w:tc>
          <w:tcPr>
            <w:tcW w:w="1728" w:type="dxa"/>
            <w:shd w:val="clear" w:color="auto" w:fill="EBF5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9818B1" w:rsidP="00DB1D9E" w:rsidRDefault="009818B1" w14:paraId="2481519B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76749"/>
                <w:sz w:val="18"/>
                <w:szCs w:val="18"/>
              </w:rPr>
              <w:t>Oportunidad</w:t>
            </w:r>
          </w:p>
          <w:p w:rsidR="009818B1" w:rsidP="00DB1D9E" w:rsidRDefault="009818B1" w14:paraId="102472FD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A5568"/>
                <w:sz w:val="16"/>
                <w:szCs w:val="16"/>
              </w:rPr>
              <w:t>Financiamiento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9818B1" w:rsidP="00DB1D9E" w:rsidRDefault="009818B1" w14:paraId="615C18EB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Acceso a incentivos y financiamiento verde: adoptar un modelo de reporte de sostenibilidad puede abrir la puerta a créditos o cooperación con condiciones preferenciales para infraestructura sostenible.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9818B1" w:rsidP="00DB1D9E" w:rsidRDefault="009818B1" w14:paraId="76C43B04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Mediano plazo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9818B1" w:rsidP="00DB1D9E" w:rsidRDefault="009818B1" w14:paraId="611907FB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Media</w:t>
            </w:r>
          </w:p>
        </w:tc>
        <w:tc>
          <w:tcPr>
            <w:tcW w:w="1440" w:type="dxa"/>
            <w:shd w:val="clear" w:color="auto" w:fill="E6F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9818B1" w:rsidP="00DB1D9E" w:rsidRDefault="009818B1" w14:paraId="18540805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8C7D"/>
                <w:sz w:val="17"/>
                <w:szCs w:val="17"/>
              </w:rPr>
              <w:t>Oportunidad Media-Alta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9818B1" w:rsidP="00F84A3F" w:rsidRDefault="009818B1" w14:paraId="6AC46781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color w:val="9B2C2C"/>
                <w:sz w:val="17"/>
                <w:szCs w:val="17"/>
              </w:rPr>
              <w:t>Representa una vía concreta de recursos para mejoras que de otra forma se financiarían con presupuesto propio.</w:t>
            </w:r>
          </w:p>
        </w:tc>
      </w:tr>
    </w:tbl>
    <w:p w:rsidR="009818B1" w:rsidRDefault="009818B1" w14:paraId="29CE39CA" w14:textId="77777777">
      <w:pPr>
        <w:spacing w:after="200"/>
      </w:pPr>
    </w:p>
    <w:p w:rsidR="00707EC4" w:rsidRDefault="00707EC4" w14:paraId="00BAEE6B" w14:textId="77777777">
      <w:pPr>
        <w:spacing w:after="200"/>
      </w:pPr>
    </w:p>
    <w:p w:rsidR="00707EC4" w:rsidRDefault="00707EC4" w14:paraId="4B605650" w14:textId="77777777">
      <w:pPr>
        <w:spacing w:after="200"/>
      </w:pPr>
    </w:p>
    <w:p w:rsidR="007612FF" w:rsidRDefault="007E14BE" w14:paraId="7246FE58" w14:textId="6A5AD911">
      <w:pPr>
        <w:pBdr>
          <w:bottom w:val="single" w:color="1B8C7D" w:sz="10" w:space="4"/>
        </w:pBdr>
        <w:spacing w:before="320" w:after="160"/>
      </w:pPr>
      <w:r>
        <w:rPr>
          <w:rFonts w:ascii="Cambria" w:hAnsi="Cambria" w:eastAsia="Cambria" w:cs="Cambria"/>
          <w:b/>
          <w:bCs/>
          <w:color w:val="1B8C7D"/>
          <w:sz w:val="24"/>
          <w:szCs w:val="24"/>
        </w:rPr>
        <w:t>3</w:t>
      </w:r>
      <w:r w:rsidR="00670612">
        <w:rPr>
          <w:rFonts w:ascii="Cambria" w:hAnsi="Cambria" w:eastAsia="Cambria" w:cs="Cambria"/>
          <w:b/>
          <w:bCs/>
          <w:color w:val="1B8C7D"/>
          <w:sz w:val="24"/>
          <w:szCs w:val="24"/>
        </w:rPr>
        <w:t xml:space="preserve">.  </w:t>
      </w:r>
      <w:r w:rsidR="00670612">
        <w:rPr>
          <w:rFonts w:ascii="Cambria" w:hAnsi="Cambria" w:eastAsia="Cambria" w:cs="Cambria"/>
          <w:b/>
          <w:bCs/>
          <w:color w:val="0D1B2A"/>
          <w:sz w:val="24"/>
          <w:szCs w:val="24"/>
        </w:rPr>
        <w:t>Mapa de calor: probabilidad × impacto</w:t>
      </w:r>
    </w:p>
    <w:p w:rsidR="007612FF" w:rsidRDefault="00670612" w14:paraId="28986CBB" w14:textId="77777777">
      <w:pPr>
        <w:spacing w:after="200"/>
      </w:pP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>Cruce de las variables de probabilidad e impacto que determina el nivel de riesgo inherente de cada evento identificado.</w:t>
      </w:r>
    </w:p>
    <w:tbl>
      <w:tblPr>
        <w:tblW w:w="8600" w:type="dxa"/>
        <w:tblBorders>
          <w:top w:val="single" w:color="E7EAEE" w:sz="4" w:space="0"/>
          <w:left w:val="single" w:color="E7EAEE" w:sz="4" w:space="0"/>
          <w:bottom w:val="single" w:color="E7EAEE" w:sz="4" w:space="0"/>
          <w:right w:val="single" w:color="E7EAEE" w:sz="4" w:space="0"/>
          <w:insideH w:val="single" w:color="E7EAEE" w:sz="2" w:space="0"/>
          <w:insideV w:val="single" w:color="E7EAEE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200"/>
      </w:tblGrid>
      <w:tr w:rsidR="007612FF" w14:paraId="4B7D94E6" w14:textId="77777777">
        <w:trPr>
          <w:tblHeader/>
        </w:trPr>
        <w:tc>
          <w:tcPr>
            <w:tcW w:w="2000" w:type="dxa"/>
            <w:shd w:val="clear" w:color="auto" w:fill="0D1B2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7612FF" w:rsidRDefault="00670612" w14:paraId="7A901806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Probabilidad \ Impacto</w:t>
            </w:r>
          </w:p>
        </w:tc>
        <w:tc>
          <w:tcPr>
            <w:tcW w:w="2200" w:type="dxa"/>
            <w:shd w:val="clear" w:color="auto" w:fill="0D1B2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7612FF" w:rsidRDefault="00670612" w14:paraId="04F69312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Bajo</w:t>
            </w:r>
          </w:p>
        </w:tc>
        <w:tc>
          <w:tcPr>
            <w:tcW w:w="2200" w:type="dxa"/>
            <w:shd w:val="clear" w:color="auto" w:fill="0D1B2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7612FF" w:rsidRDefault="00670612" w14:paraId="0274DACE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2200" w:type="dxa"/>
            <w:shd w:val="clear" w:color="auto" w:fill="0D1B2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7612FF" w:rsidRDefault="00670612" w14:paraId="57FACC54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Alto</w:t>
            </w:r>
          </w:p>
        </w:tc>
      </w:tr>
      <w:tr w:rsidR="007612FF" w14:paraId="24EFCADE" w14:textId="77777777">
        <w:tc>
          <w:tcPr>
            <w:tcW w:w="2000" w:type="dxa"/>
            <w:shd w:val="clear" w:color="auto" w:fill="EDF1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12FF" w:rsidRDefault="00670612" w14:paraId="2BC618FE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D1B2A"/>
                <w:sz w:val="18"/>
                <w:szCs w:val="18"/>
              </w:rPr>
              <w:t>Alta</w:t>
            </w:r>
          </w:p>
        </w:tc>
        <w:tc>
          <w:tcPr>
            <w:tcW w:w="2200" w:type="dxa"/>
            <w:shd w:val="clear" w:color="auto" w:fill="FEF6E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7612FF" w:rsidRDefault="00670612" w14:paraId="69B98F27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7A10"/>
                <w:sz w:val="18"/>
                <w:szCs w:val="18"/>
              </w:rPr>
              <w:t>Medio</w:t>
            </w:r>
          </w:p>
        </w:tc>
        <w:tc>
          <w:tcPr>
            <w:tcW w:w="2200" w:type="dxa"/>
            <w:shd w:val="clear" w:color="auto" w:fill="FDF0D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7612FF" w:rsidRDefault="00670612" w14:paraId="0EB5C4EE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7791F"/>
                <w:sz w:val="18"/>
                <w:szCs w:val="18"/>
              </w:rPr>
              <w:t>Medio-Alto</w:t>
            </w:r>
          </w:p>
        </w:tc>
        <w:tc>
          <w:tcPr>
            <w:tcW w:w="2200" w:type="dxa"/>
            <w:shd w:val="clear" w:color="auto" w:fill="FBEAE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7612FF" w:rsidRDefault="00670612" w14:paraId="6E50984E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B2C2C"/>
                <w:sz w:val="18"/>
                <w:szCs w:val="18"/>
              </w:rPr>
              <w:t>Alto</w:t>
            </w:r>
          </w:p>
        </w:tc>
      </w:tr>
      <w:tr w:rsidR="007612FF" w14:paraId="5E78ED2E" w14:textId="77777777">
        <w:tc>
          <w:tcPr>
            <w:tcW w:w="2000" w:type="dxa"/>
            <w:shd w:val="clear" w:color="auto" w:fill="EDF1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12FF" w:rsidRDefault="00670612" w14:paraId="1E467B18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D1B2A"/>
                <w:sz w:val="18"/>
                <w:szCs w:val="18"/>
              </w:rPr>
              <w:t>Media</w:t>
            </w:r>
          </w:p>
        </w:tc>
        <w:tc>
          <w:tcPr>
            <w:tcW w:w="2200" w:type="dxa"/>
            <w:shd w:val="clear" w:color="auto" w:fill="EBF5E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7612FF" w:rsidRDefault="00670612" w14:paraId="10ED1666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76749"/>
                <w:sz w:val="18"/>
                <w:szCs w:val="18"/>
              </w:rPr>
              <w:t>Bajo</w:t>
            </w:r>
          </w:p>
        </w:tc>
        <w:tc>
          <w:tcPr>
            <w:tcW w:w="2200" w:type="dxa"/>
            <w:shd w:val="clear" w:color="auto" w:fill="FEF6E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7612FF" w:rsidRDefault="00670612" w14:paraId="7280EFE3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7A10"/>
                <w:sz w:val="18"/>
                <w:szCs w:val="18"/>
              </w:rPr>
              <w:t>Medio</w:t>
            </w:r>
          </w:p>
        </w:tc>
        <w:tc>
          <w:tcPr>
            <w:tcW w:w="2200" w:type="dxa"/>
            <w:shd w:val="clear" w:color="auto" w:fill="FDF0D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7612FF" w:rsidRDefault="00670612" w14:paraId="577FD771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7791F"/>
                <w:sz w:val="18"/>
                <w:szCs w:val="18"/>
              </w:rPr>
              <w:t>Medio-Alto</w:t>
            </w:r>
          </w:p>
        </w:tc>
      </w:tr>
      <w:tr w:rsidR="007612FF" w14:paraId="7522C77A" w14:textId="77777777">
        <w:tc>
          <w:tcPr>
            <w:tcW w:w="2000" w:type="dxa"/>
            <w:shd w:val="clear" w:color="auto" w:fill="EDF1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612FF" w:rsidRDefault="00670612" w14:paraId="602FE376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D1B2A"/>
                <w:sz w:val="18"/>
                <w:szCs w:val="18"/>
              </w:rPr>
              <w:t>Baja</w:t>
            </w:r>
          </w:p>
        </w:tc>
        <w:tc>
          <w:tcPr>
            <w:tcW w:w="2200" w:type="dxa"/>
            <w:shd w:val="clear" w:color="auto" w:fill="EBF5E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7612FF" w:rsidRDefault="00670612" w14:paraId="28361955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76749"/>
                <w:sz w:val="18"/>
                <w:szCs w:val="18"/>
              </w:rPr>
              <w:t>Bajo</w:t>
            </w:r>
          </w:p>
        </w:tc>
        <w:tc>
          <w:tcPr>
            <w:tcW w:w="2200" w:type="dxa"/>
            <w:shd w:val="clear" w:color="auto" w:fill="EBF5E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7612FF" w:rsidRDefault="00670612" w14:paraId="3E76A832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76749"/>
                <w:sz w:val="18"/>
                <w:szCs w:val="18"/>
              </w:rPr>
              <w:t>Bajo</w:t>
            </w:r>
          </w:p>
        </w:tc>
        <w:tc>
          <w:tcPr>
            <w:tcW w:w="2200" w:type="dxa"/>
            <w:shd w:val="clear" w:color="auto" w:fill="FEF6E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7612FF" w:rsidRDefault="00670612" w14:paraId="691F6997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7A10"/>
                <w:sz w:val="18"/>
                <w:szCs w:val="18"/>
              </w:rPr>
              <w:t>Medio</w:t>
            </w:r>
          </w:p>
        </w:tc>
      </w:tr>
    </w:tbl>
    <w:p w:rsidR="007612FF" w:rsidRDefault="007612FF" w14:paraId="524B9CAA" w14:textId="77777777">
      <w:pPr>
        <w:spacing w:after="200"/>
      </w:pPr>
    </w:p>
    <w:p w:rsidR="00372070" w:rsidRDefault="00372070" w14:paraId="2E60B44E" w14:textId="77777777">
      <w:pPr>
        <w:spacing w:after="200"/>
      </w:pPr>
    </w:p>
    <w:p w:rsidR="00372070" w:rsidRDefault="00372070" w14:paraId="65D658C9" w14:textId="77777777">
      <w:pPr>
        <w:spacing w:after="200"/>
      </w:pPr>
    </w:p>
    <w:p w:rsidR="00372070" w:rsidRDefault="00372070" w14:paraId="378F3194" w14:textId="77777777">
      <w:pPr>
        <w:spacing w:after="200"/>
      </w:pPr>
    </w:p>
    <w:p w:rsidR="00372070" w:rsidRDefault="00372070" w14:paraId="6165EC73" w14:textId="77777777">
      <w:pPr>
        <w:spacing w:after="200"/>
      </w:pPr>
    </w:p>
    <w:p w:rsidR="007612FF" w:rsidRDefault="007E14BE" w14:paraId="39C5FDA6" w14:textId="1D569964">
      <w:pPr>
        <w:pBdr>
          <w:bottom w:val="single" w:color="1B8C7D" w:sz="10" w:space="4"/>
        </w:pBdr>
        <w:spacing w:before="320" w:after="160"/>
      </w:pPr>
      <w:r>
        <w:rPr>
          <w:rFonts w:ascii="Cambria" w:hAnsi="Cambria" w:eastAsia="Cambria" w:cs="Cambria"/>
          <w:b/>
          <w:bCs/>
          <w:color w:val="1B8C7D"/>
          <w:sz w:val="24"/>
          <w:szCs w:val="24"/>
        </w:rPr>
        <w:t>4</w:t>
      </w:r>
      <w:r w:rsidR="00670612">
        <w:rPr>
          <w:rFonts w:ascii="Cambria" w:hAnsi="Cambria" w:eastAsia="Cambria" w:cs="Cambria"/>
          <w:b/>
          <w:bCs/>
          <w:color w:val="1B8C7D"/>
          <w:sz w:val="24"/>
          <w:szCs w:val="24"/>
        </w:rPr>
        <w:t xml:space="preserve">.  </w:t>
      </w:r>
      <w:r w:rsidR="00670612">
        <w:rPr>
          <w:rFonts w:ascii="Cambria" w:hAnsi="Cambria" w:eastAsia="Cambria" w:cs="Cambria"/>
          <w:b/>
          <w:bCs/>
          <w:color w:val="0D1B2A"/>
          <w:sz w:val="24"/>
          <w:szCs w:val="24"/>
        </w:rPr>
        <w:t>Guía de criterios de evaluación</w:t>
      </w:r>
    </w:p>
    <w:p w:rsidR="007612FF" w:rsidRDefault="00670612" w14:paraId="7BA0A59D" w14:textId="77777777">
      <w:pPr>
        <w:spacing w:after="200"/>
      </w:pP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>Criterios utilizados para calificar cada riesgo y oportunidad de la matriz anterior.</w:t>
      </w:r>
    </w:p>
    <w:tbl>
      <w:tblPr>
        <w:tblW w:w="13260" w:type="dxa"/>
        <w:tblBorders>
          <w:top w:val="single" w:color="E7EAEE" w:sz="4" w:space="0"/>
          <w:left w:val="single" w:color="E7EAEE" w:sz="4" w:space="0"/>
          <w:bottom w:val="single" w:color="E7EAEE" w:sz="4" w:space="0"/>
          <w:right w:val="single" w:color="E7EAEE" w:sz="4" w:space="0"/>
          <w:insideH w:val="single" w:color="E7EAEE" w:sz="2" w:space="0"/>
          <w:insideV w:val="single" w:color="E7EAEE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3"/>
        <w:gridCol w:w="2433"/>
        <w:gridCol w:w="8394"/>
      </w:tblGrid>
      <w:tr w:rsidR="007612FF" w:rsidTr="009818B1" w14:paraId="683F8FF8" w14:textId="77777777">
        <w:trPr>
          <w:trHeight w:val="312"/>
          <w:tblHeader/>
        </w:trPr>
        <w:tc>
          <w:tcPr>
            <w:tcW w:w="2433" w:type="dxa"/>
            <w:shd w:val="clear" w:color="auto" w:fill="0D1B2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RDefault="00670612" w14:paraId="5CFE6FD8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33" w:type="dxa"/>
            <w:shd w:val="clear" w:color="auto" w:fill="0D1B2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RDefault="00670612" w14:paraId="28159C65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8394" w:type="dxa"/>
            <w:shd w:val="clear" w:color="auto" w:fill="0D1B2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RDefault="00670612" w14:paraId="601D89E2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612FF" w:rsidTr="00C45280" w14:paraId="09A3F62E" w14:textId="77777777">
        <w:trPr>
          <w:trHeight w:val="292"/>
        </w:trPr>
        <w:tc>
          <w:tcPr>
            <w:tcW w:w="2433" w:type="dxa"/>
            <w:shd w:val="clear" w:color="auto" w:fill="F2F2F2" w:themeFill="background1" w:themeFillShade="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P="009818B1" w:rsidRDefault="007612FF" w14:paraId="69831A5F" w14:textId="78CF5A85">
            <w:pPr>
              <w:spacing w:after="40"/>
              <w:jc w:val="center"/>
            </w:pPr>
          </w:p>
        </w:tc>
        <w:tc>
          <w:tcPr>
            <w:tcW w:w="243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P="00C45280" w:rsidRDefault="00C45280" w14:paraId="6597A353" w14:textId="10C6659F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76749"/>
                <w:sz w:val="17"/>
                <w:szCs w:val="17"/>
              </w:rPr>
              <w:t>Bajo</w:t>
            </w:r>
          </w:p>
        </w:tc>
        <w:tc>
          <w:tcPr>
            <w:tcW w:w="839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056187D0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Se estima que el evento ocurra rara vez o no existen antecedentes de este tipo en la FTTG.</w:t>
            </w:r>
          </w:p>
        </w:tc>
      </w:tr>
      <w:tr w:rsidR="007612FF" w:rsidTr="00C45280" w14:paraId="5A5B9082" w14:textId="77777777">
        <w:trPr>
          <w:trHeight w:val="312"/>
        </w:trPr>
        <w:tc>
          <w:tcPr>
            <w:tcW w:w="2433" w:type="dxa"/>
            <w:shd w:val="clear" w:color="auto" w:fill="F2F2F2" w:themeFill="background1" w:themeFillShade="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P="009818B1" w:rsidRDefault="009818B1" w14:paraId="7227FE5A" w14:textId="0C21693F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D1B2A"/>
                <w:sz w:val="17"/>
                <w:szCs w:val="17"/>
              </w:rPr>
              <w:t>Probabilidad</w:t>
            </w:r>
          </w:p>
        </w:tc>
        <w:tc>
          <w:tcPr>
            <w:tcW w:w="243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RDefault="00C45280" w14:paraId="0355B304" w14:textId="1606C9C5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7A10"/>
                <w:sz w:val="17"/>
                <w:szCs w:val="17"/>
              </w:rPr>
              <w:t>Media</w:t>
            </w:r>
          </w:p>
        </w:tc>
        <w:tc>
          <w:tcPr>
            <w:tcW w:w="8394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09C15EB9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El evento ha ocurrido de forma esporádica o existe una posibilidad razonable de que ocurra.</w:t>
            </w:r>
          </w:p>
        </w:tc>
      </w:tr>
      <w:tr w:rsidR="007612FF" w:rsidTr="00C45280" w14:paraId="124312DF" w14:textId="77777777">
        <w:trPr>
          <w:trHeight w:val="331"/>
        </w:trPr>
        <w:tc>
          <w:tcPr>
            <w:tcW w:w="2433" w:type="dxa"/>
            <w:shd w:val="clear" w:color="auto" w:fill="F2F2F2" w:themeFill="background1" w:themeFillShade="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P="009818B1" w:rsidRDefault="007612FF" w14:paraId="05C3B900" w14:textId="77777777">
            <w:pPr>
              <w:spacing w:after="40"/>
              <w:jc w:val="center"/>
            </w:pPr>
          </w:p>
        </w:tc>
        <w:tc>
          <w:tcPr>
            <w:tcW w:w="243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RDefault="00C45280" w14:paraId="409CEC72" w14:textId="224491A2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B2C2C"/>
                <w:sz w:val="17"/>
                <w:szCs w:val="17"/>
              </w:rPr>
              <w:t>Alta</w:t>
            </w:r>
          </w:p>
        </w:tc>
        <w:tc>
          <w:tcPr>
            <w:tcW w:w="839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5F27BB23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El evento ocurre de forma recurrente o existe alta certeza de que ocurrirá.</w:t>
            </w:r>
          </w:p>
        </w:tc>
      </w:tr>
      <w:tr w:rsidR="007612FF" w:rsidTr="00C45280" w14:paraId="72B6A458" w14:textId="77777777">
        <w:trPr>
          <w:trHeight w:val="292"/>
        </w:trPr>
        <w:tc>
          <w:tcPr>
            <w:tcW w:w="2433" w:type="dxa"/>
            <w:shd w:val="clear" w:color="auto" w:fill="D9D9D9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P="009818B1" w:rsidRDefault="007612FF" w14:paraId="3237B0BB" w14:textId="165AB02B">
            <w:pPr>
              <w:spacing w:after="40"/>
              <w:jc w:val="center"/>
            </w:pPr>
          </w:p>
        </w:tc>
        <w:tc>
          <w:tcPr>
            <w:tcW w:w="2433" w:type="dxa"/>
            <w:shd w:val="clear" w:color="auto" w:fill="EBF5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P="00C45280" w:rsidRDefault="00C45280" w14:paraId="1D83C6DC" w14:textId="641FBDCB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76749"/>
                <w:sz w:val="17"/>
                <w:szCs w:val="17"/>
              </w:rPr>
              <w:t>Bajo</w:t>
            </w:r>
          </w:p>
        </w:tc>
        <w:tc>
          <w:tcPr>
            <w:tcW w:w="8394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63709FFD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Afectación mínima: no interrumpe la operación ni genera costos relevantes.</w:t>
            </w:r>
          </w:p>
        </w:tc>
      </w:tr>
      <w:tr w:rsidR="007612FF" w:rsidTr="00C45280" w14:paraId="18024A18" w14:textId="77777777">
        <w:trPr>
          <w:trHeight w:val="526"/>
        </w:trPr>
        <w:tc>
          <w:tcPr>
            <w:tcW w:w="2433" w:type="dxa"/>
            <w:shd w:val="clear" w:color="auto" w:fill="D9D9D9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P="009818B1" w:rsidRDefault="009818B1" w14:paraId="63CBB256" w14:textId="6A77F0B8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D1B2A"/>
                <w:sz w:val="17"/>
                <w:szCs w:val="17"/>
              </w:rPr>
              <w:t>Impacto</w:t>
            </w:r>
          </w:p>
        </w:tc>
        <w:tc>
          <w:tcPr>
            <w:tcW w:w="2433" w:type="dxa"/>
            <w:shd w:val="clear" w:color="auto" w:fill="FEF6E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RDefault="00670612" w14:paraId="18857C83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7A10"/>
                <w:sz w:val="17"/>
                <w:szCs w:val="17"/>
              </w:rPr>
              <w:t>Medio</w:t>
            </w:r>
          </w:p>
        </w:tc>
        <w:tc>
          <w:tcPr>
            <w:tcW w:w="839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54067D50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Afectación moderada: genera costos adicionales o afecta parcialmente la operación o la imagen institucional.</w:t>
            </w:r>
          </w:p>
        </w:tc>
      </w:tr>
      <w:tr w:rsidR="007612FF" w:rsidTr="00C45280" w14:paraId="3FB2D579" w14:textId="77777777">
        <w:trPr>
          <w:trHeight w:val="526"/>
        </w:trPr>
        <w:tc>
          <w:tcPr>
            <w:tcW w:w="2433" w:type="dxa"/>
            <w:shd w:val="clear" w:color="auto" w:fill="D9D9D9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P="009818B1" w:rsidRDefault="007612FF" w14:paraId="2AE14101" w14:textId="77777777">
            <w:pPr>
              <w:spacing w:after="40"/>
              <w:jc w:val="center"/>
            </w:pPr>
          </w:p>
        </w:tc>
        <w:tc>
          <w:tcPr>
            <w:tcW w:w="2433" w:type="dxa"/>
            <w:shd w:val="clear" w:color="auto" w:fill="FBEAE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RDefault="00670612" w14:paraId="1E878561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B2C2C"/>
                <w:sz w:val="17"/>
                <w:szCs w:val="17"/>
              </w:rPr>
              <w:t>Alto</w:t>
            </w:r>
          </w:p>
        </w:tc>
        <w:tc>
          <w:tcPr>
            <w:tcW w:w="8394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50148EB0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Afectación severa: interrumpe la operación, genera pérdidas económicas significativas o daño reputacional grave.</w:t>
            </w:r>
          </w:p>
        </w:tc>
      </w:tr>
      <w:tr w:rsidR="007612FF" w:rsidTr="00C45280" w14:paraId="0F08F136" w14:textId="77777777">
        <w:trPr>
          <w:trHeight w:val="312"/>
        </w:trPr>
        <w:tc>
          <w:tcPr>
            <w:tcW w:w="2433" w:type="dxa"/>
            <w:shd w:val="clear" w:color="auto" w:fill="BFBFBF" w:themeFill="background1" w:themeFillShade="B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P="009818B1" w:rsidRDefault="007612FF" w14:paraId="4AB44D23" w14:textId="45F43E7B">
            <w:pPr>
              <w:spacing w:after="40"/>
              <w:jc w:val="center"/>
            </w:pPr>
          </w:p>
        </w:tc>
        <w:tc>
          <w:tcPr>
            <w:tcW w:w="2433" w:type="dxa"/>
            <w:shd w:val="clear" w:color="auto" w:fill="EBF5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RDefault="00670612" w14:paraId="02000AD0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76749"/>
                <w:sz w:val="17"/>
                <w:szCs w:val="17"/>
              </w:rPr>
              <w:t>Bajo</w:t>
            </w:r>
          </w:p>
        </w:tc>
        <w:tc>
          <w:tcPr>
            <w:tcW w:w="839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56AB91E5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Riesgo controlable, sujeto a monitoreo periódico.</w:t>
            </w:r>
          </w:p>
        </w:tc>
      </w:tr>
      <w:tr w:rsidR="007612FF" w:rsidTr="00C45280" w14:paraId="6216BF76" w14:textId="77777777">
        <w:trPr>
          <w:trHeight w:val="312"/>
        </w:trPr>
        <w:tc>
          <w:tcPr>
            <w:tcW w:w="2433" w:type="dxa"/>
            <w:shd w:val="clear" w:color="auto" w:fill="BFBFBF" w:themeFill="background1" w:themeFillShade="B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P="009818B1" w:rsidRDefault="00C45280" w14:paraId="651A6820" w14:textId="0688B77F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D1B2A"/>
                <w:sz w:val="17"/>
                <w:szCs w:val="17"/>
              </w:rPr>
              <w:t>Nivel de riesgo</w:t>
            </w:r>
          </w:p>
        </w:tc>
        <w:tc>
          <w:tcPr>
            <w:tcW w:w="2433" w:type="dxa"/>
            <w:shd w:val="clear" w:color="auto" w:fill="FEF6E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RDefault="00670612" w14:paraId="411986B7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97A10"/>
                <w:sz w:val="17"/>
                <w:szCs w:val="17"/>
              </w:rPr>
              <w:t>Medio</w:t>
            </w:r>
          </w:p>
        </w:tc>
        <w:tc>
          <w:tcPr>
            <w:tcW w:w="8394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0B51F453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Riesgo que requiere un plan de acción a mediano plazo.</w:t>
            </w:r>
          </w:p>
        </w:tc>
      </w:tr>
      <w:tr w:rsidR="007612FF" w:rsidTr="00C45280" w14:paraId="69635CEB" w14:textId="77777777">
        <w:trPr>
          <w:trHeight w:val="312"/>
        </w:trPr>
        <w:tc>
          <w:tcPr>
            <w:tcW w:w="2433" w:type="dxa"/>
            <w:shd w:val="clear" w:color="auto" w:fill="BFBFBF" w:themeFill="background1" w:themeFillShade="B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P="009818B1" w:rsidRDefault="007612FF" w14:paraId="1DBBEB42" w14:textId="77777777">
            <w:pPr>
              <w:spacing w:after="40"/>
              <w:jc w:val="center"/>
            </w:pPr>
          </w:p>
        </w:tc>
        <w:tc>
          <w:tcPr>
            <w:tcW w:w="2433" w:type="dxa"/>
            <w:shd w:val="clear" w:color="auto" w:fill="FDF0D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RDefault="00670612" w14:paraId="4D3D1134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7791F"/>
                <w:sz w:val="17"/>
                <w:szCs w:val="17"/>
              </w:rPr>
              <w:t>Medio-Alto</w:t>
            </w:r>
          </w:p>
        </w:tc>
        <w:tc>
          <w:tcPr>
            <w:tcW w:w="8394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3AC9C3A5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Riesgo que requiere atención prioritaria en el corto o mediano plazo.</w:t>
            </w:r>
          </w:p>
        </w:tc>
      </w:tr>
      <w:tr w:rsidR="007612FF" w:rsidTr="00C45280" w14:paraId="5D3950B7" w14:textId="77777777">
        <w:trPr>
          <w:trHeight w:val="312"/>
        </w:trPr>
        <w:tc>
          <w:tcPr>
            <w:tcW w:w="2433" w:type="dxa"/>
            <w:shd w:val="clear" w:color="auto" w:fill="BFBFBF" w:themeFill="background1" w:themeFillShade="B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RDefault="007612FF" w14:paraId="23F08441" w14:textId="77777777">
            <w:pPr>
              <w:spacing w:after="40"/>
            </w:pPr>
          </w:p>
        </w:tc>
        <w:tc>
          <w:tcPr>
            <w:tcW w:w="2433" w:type="dxa"/>
            <w:shd w:val="clear" w:color="auto" w:fill="FBEAE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612FF" w:rsidRDefault="00670612" w14:paraId="5D0E8622" w14:textId="7777777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B2C2C"/>
                <w:sz w:val="17"/>
                <w:szCs w:val="17"/>
              </w:rPr>
              <w:t>Alto</w:t>
            </w:r>
          </w:p>
        </w:tc>
        <w:tc>
          <w:tcPr>
            <w:tcW w:w="8394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7612FF" w:rsidRDefault="00670612" w14:paraId="113C9BFF" w14:textId="77777777">
            <w:pPr>
              <w:spacing w:after="40"/>
            </w:pPr>
            <w:r>
              <w:rPr>
                <w:rFonts w:ascii="Calibri" w:hAnsi="Calibri" w:eastAsia="Calibri" w:cs="Calibri"/>
                <w:color w:val="4A5568"/>
                <w:sz w:val="17"/>
                <w:szCs w:val="17"/>
              </w:rPr>
              <w:t>Riesgo crítico: requiere un plan de mitigación inmediato.</w:t>
            </w:r>
          </w:p>
        </w:tc>
      </w:tr>
    </w:tbl>
    <w:p w:rsidR="00670612" w:rsidRDefault="00670612" w14:paraId="7ADA5677" w14:textId="77777777"/>
    <w:sectPr w:rsidR="00670612" w:rsidSect="00372070">
      <w:headerReference w:type="default" r:id="rId10"/>
      <w:footerReference w:type="default" r:id="rId11"/>
      <w:pgSz w:w="15840" w:h="12240" w:orient="portrait"/>
      <w:pgMar w:top="640" w:right="720" w:bottom="640" w:left="720" w:header="708" w:footer="708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T" w:author="Jessica Wendy Espinoza Toala" w:date="2026-07-21T19:32:28" w:id="1282379109">
    <w:p xmlns:w14="http://schemas.microsoft.com/office/word/2010/wordml" xmlns:w="http://schemas.openxmlformats.org/wordprocessingml/2006/main" w:rsidR="3FCBAA23" w:rsidRDefault="2CEEDA30" w14:paraId="156F2488" w14:textId="7B0A7B2E">
      <w:pPr>
        <w:pStyle w:val="CommentText"/>
      </w:pPr>
      <w:r>
        <w:rPr>
          <w:rStyle w:val="CommentReference"/>
        </w:rPr>
        <w:annotationRef/>
      </w:r>
      <w:r w:rsidRPr="7D8B8501" w:rsidR="2B86094F">
        <w:t>por qué se considera ese nivel de probabilidad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56F248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10039AC" w16cex:dateUtc="2026-07-22T00:32:28.12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56F2488" w16cid:durableId="110039A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365F" w:rsidRDefault="0087365F" w14:paraId="3D61D6BC" w14:textId="77777777">
      <w:r>
        <w:separator/>
      </w:r>
    </w:p>
  </w:endnote>
  <w:endnote w:type="continuationSeparator" w:id="0">
    <w:p w:rsidR="0087365F" w:rsidRDefault="0087365F" w14:paraId="23C6A5C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12FF" w:rsidRDefault="00670612" w14:paraId="7074E7BA" w14:textId="77777777">
    <w:pPr>
      <w:jc w:val="right"/>
    </w:pPr>
    <w:r>
      <w:rPr>
        <w:rFonts w:ascii="Calibri" w:hAnsi="Calibri" w:eastAsia="Calibri" w:cs="Calibri"/>
        <w:color w:val="4A5568"/>
        <w:sz w:val="16"/>
        <w:szCs w:val="16"/>
      </w:rPr>
      <w:t xml:space="preserve">Página </w:t>
    </w:r>
    <w:r>
      <w:rPr>
        <w:rFonts w:ascii="Calibri" w:hAnsi="Calibri" w:eastAsia="Calibri" w:cs="Calibri"/>
        <w:color w:val="4A5568"/>
        <w:sz w:val="16"/>
        <w:szCs w:val="16"/>
      </w:rPr>
      <w:fldChar w:fldCharType="begin"/>
    </w:r>
    <w:r>
      <w:rPr>
        <w:rFonts w:ascii="Calibri" w:hAnsi="Calibri" w:eastAsia="Calibri" w:cs="Calibri"/>
        <w:color w:val="4A5568"/>
        <w:sz w:val="16"/>
        <w:szCs w:val="16"/>
      </w:rPr>
      <w:instrText>PAGE</w:instrText>
    </w:r>
    <w:r>
      <w:rPr>
        <w:rFonts w:ascii="Calibri" w:hAnsi="Calibri" w:eastAsia="Calibri" w:cs="Calibri"/>
        <w:color w:val="4A5568"/>
        <w:sz w:val="16"/>
        <w:szCs w:val="16"/>
      </w:rPr>
      <w:fldChar w:fldCharType="separate"/>
    </w:r>
    <w:r w:rsidR="00372070">
      <w:rPr>
        <w:rFonts w:ascii="Calibri" w:hAnsi="Calibri" w:eastAsia="Calibri" w:cs="Calibri"/>
        <w:noProof/>
        <w:color w:val="4A5568"/>
        <w:sz w:val="16"/>
        <w:szCs w:val="16"/>
      </w:rPr>
      <w:t>1</w:t>
    </w:r>
    <w:r>
      <w:rPr>
        <w:rFonts w:ascii="Calibri" w:hAnsi="Calibri" w:eastAsia="Calibri" w:cs="Calibri"/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365F" w:rsidRDefault="0087365F" w14:paraId="0817E9A6" w14:textId="77777777">
      <w:r>
        <w:separator/>
      </w:r>
    </w:p>
  </w:footnote>
  <w:footnote w:type="continuationSeparator" w:id="0">
    <w:p w:rsidR="0087365F" w:rsidRDefault="0087365F" w14:paraId="6628CE6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12FF" w:rsidRDefault="007612FF" w14:paraId="30838AB0" w14:textId="0C0BC5A2">
    <w:pPr>
      <w:pBdr>
        <w:bottom w:val="single" w:color="E7EAEE" w:sz="6" w:space="4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A4D38"/>
    <w:multiLevelType w:val="hybridMultilevel"/>
    <w:tmpl w:val="65886720"/>
    <w:lvl w:ilvl="0" w:tplc="AFEEC424">
      <w:start w:val="1"/>
      <w:numFmt w:val="bullet"/>
      <w:lvlText w:val="●"/>
      <w:lvlJc w:val="left"/>
      <w:pPr>
        <w:ind w:left="720" w:hanging="360"/>
      </w:pPr>
    </w:lvl>
    <w:lvl w:ilvl="1" w:tplc="1ED8B668">
      <w:start w:val="1"/>
      <w:numFmt w:val="bullet"/>
      <w:lvlText w:val="○"/>
      <w:lvlJc w:val="left"/>
      <w:pPr>
        <w:ind w:left="1440" w:hanging="360"/>
      </w:pPr>
    </w:lvl>
    <w:lvl w:ilvl="2" w:tplc="4D0ADD76">
      <w:start w:val="1"/>
      <w:numFmt w:val="bullet"/>
      <w:lvlText w:val="■"/>
      <w:lvlJc w:val="left"/>
      <w:pPr>
        <w:ind w:left="2160" w:hanging="360"/>
      </w:pPr>
    </w:lvl>
    <w:lvl w:ilvl="3" w:tplc="7914804C">
      <w:start w:val="1"/>
      <w:numFmt w:val="bullet"/>
      <w:lvlText w:val="●"/>
      <w:lvlJc w:val="left"/>
      <w:pPr>
        <w:ind w:left="2880" w:hanging="360"/>
      </w:pPr>
    </w:lvl>
    <w:lvl w:ilvl="4" w:tplc="89CCCFDE">
      <w:start w:val="1"/>
      <w:numFmt w:val="bullet"/>
      <w:lvlText w:val="○"/>
      <w:lvlJc w:val="left"/>
      <w:pPr>
        <w:ind w:left="3600" w:hanging="360"/>
      </w:pPr>
    </w:lvl>
    <w:lvl w:ilvl="5" w:tplc="F1865610">
      <w:start w:val="1"/>
      <w:numFmt w:val="bullet"/>
      <w:lvlText w:val="■"/>
      <w:lvlJc w:val="left"/>
      <w:pPr>
        <w:ind w:left="4320" w:hanging="360"/>
      </w:pPr>
    </w:lvl>
    <w:lvl w:ilvl="6" w:tplc="31308DA4">
      <w:start w:val="1"/>
      <w:numFmt w:val="bullet"/>
      <w:lvlText w:val="●"/>
      <w:lvlJc w:val="left"/>
      <w:pPr>
        <w:ind w:left="5040" w:hanging="360"/>
      </w:pPr>
    </w:lvl>
    <w:lvl w:ilvl="7" w:tplc="76E223DA">
      <w:start w:val="1"/>
      <w:numFmt w:val="bullet"/>
      <w:lvlText w:val="●"/>
      <w:lvlJc w:val="left"/>
      <w:pPr>
        <w:ind w:left="5760" w:hanging="360"/>
      </w:pPr>
    </w:lvl>
    <w:lvl w:ilvl="8" w:tplc="D506C3F8">
      <w:start w:val="1"/>
      <w:numFmt w:val="bullet"/>
      <w:lvlText w:val="●"/>
      <w:lvlJc w:val="left"/>
      <w:pPr>
        <w:ind w:left="6480" w:hanging="360"/>
      </w:pPr>
    </w:lvl>
  </w:abstractNum>
  <w:num w:numId="1" w16cid:durableId="537158458">
    <w:abstractNumId w:val="0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essica Wendy Espinoza Toala">
    <w15:presenceInfo w15:providerId="AD" w15:userId="S::wespinoz@espol.edu.ec::95b0b969-c60c-41bb-bbdf-1451872be9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2FF"/>
    <w:rsid w:val="00160F87"/>
    <w:rsid w:val="00192A1A"/>
    <w:rsid w:val="00372070"/>
    <w:rsid w:val="00623EC8"/>
    <w:rsid w:val="00670612"/>
    <w:rsid w:val="00707EC4"/>
    <w:rsid w:val="007612FF"/>
    <w:rsid w:val="007E14BE"/>
    <w:rsid w:val="0087365F"/>
    <w:rsid w:val="009818B1"/>
    <w:rsid w:val="00C45280"/>
    <w:rsid w:val="00CF51E2"/>
    <w:rsid w:val="00EB31FF"/>
    <w:rsid w:val="00F84A3F"/>
    <w:rsid w:val="4553A652"/>
    <w:rsid w:val="71CC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0D84C"/>
  <w15:docId w15:val="{81388109-F2C7-4213-BEF9-5569C008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818B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818B1"/>
  </w:style>
  <w:style w:type="paragraph" w:styleId="Piedepgina">
    <w:name w:val="footer"/>
    <w:basedOn w:val="Normal"/>
    <w:link w:val="PiedepginaCar"/>
    <w:uiPriority w:val="99"/>
    <w:unhideWhenUsed/>
    <w:rsid w:val="009818B1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81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comments" Target="comments.xml" Id="R00e352a8f1ed4b32" /><Relationship Type="http://schemas.microsoft.com/office/2016/09/relationships/commentsIds" Target="commentsIds.xml" Id="R9631e9d46c9e46e6" /><Relationship Type="http://schemas.microsoft.com/office/2011/relationships/commentsExtended" Target="commentsExtended.xml" Id="Re8232ed0f8c74b9d" /><Relationship Type="http://schemas.microsoft.com/office/2018/08/relationships/commentsExtensible" Target="commentsExtensible.xml" Id="R52510173987a424f" /><Relationship Type="http://schemas.microsoft.com/office/2011/relationships/people" Target="people.xml" Id="R6300486a9482447a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B02F304768A8448AAF294BFC6AC33A" ma:contentTypeVersion="9" ma:contentTypeDescription="Crear nuevo documento." ma:contentTypeScope="" ma:versionID="773d60c8854aab3615aa8b0793ed7239">
  <xsd:schema xmlns:xsd="http://www.w3.org/2001/XMLSchema" xmlns:xs="http://www.w3.org/2001/XMLSchema" xmlns:p="http://schemas.microsoft.com/office/2006/metadata/properties" xmlns:ns2="8f023a0b-9ff1-4b02-9e81-38c96e5292c6" targetNamespace="http://schemas.microsoft.com/office/2006/metadata/properties" ma:root="true" ma:fieldsID="8400ac3a6c67c729ad6e6fa36c3ad878" ns2:_="">
    <xsd:import namespace="8f023a0b-9ff1-4b02-9e81-38c96e5292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023a0b-9ff1-4b02-9e81-38c96e529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ab0ecc0-c530-4610-a76f-9351d1ddb9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023a0b-9ff1-4b02-9e81-38c96e5292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B07C66-1B72-4D50-9E21-2519FEA349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894678-5498-4E8D-8C08-AA5B1AB373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023a0b-9ff1-4b02-9e81-38c96e5292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77603E-8A68-426B-9558-2C6A69E0BCBD}">
  <ds:schemaRefs>
    <ds:schemaRef ds:uri="http://schemas.microsoft.com/office/2006/metadata/properties"/>
    <ds:schemaRef ds:uri="http://schemas.microsoft.com/office/infopath/2007/PartnerControls"/>
    <ds:schemaRef ds:uri="8f023a0b-9ff1-4b02-9e81-38c96e5292c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Jessica Wendy Espinoza Toala</lastModifiedBy>
  <revision>6</revision>
  <lastPrinted>2026-07-20T01:43:00.0000000Z</lastPrinted>
  <dcterms:created xsi:type="dcterms:W3CDTF">2026-07-16T02:09:00.0000000Z</dcterms:created>
  <dcterms:modified xsi:type="dcterms:W3CDTF">2026-07-22T00:33:29.2515834Z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0x010100A8B02F304768A8448AAF294BFC6AC33A</vt:lpwstr>
  </property>
  <property fmtid="{D5CDD505-2E9C-101B-9397-08002B2CF9AE}" pid="3" name="MediaServiceImageTags">
    <vt:lpwstr/>
  </property>
</Properties>
</file>