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89B" w:rsidRDefault="00BE089B">
      <w:pPr>
        <w:pStyle w:val="Heading2"/>
      </w:pPr>
      <w:r>
        <w:t xml:space="preserve">Chapter </w:t>
      </w:r>
      <w:r w:rsidR="004C16B9">
        <w:t>7</w:t>
      </w:r>
      <w:r>
        <w:t xml:space="preserve">:  </w:t>
      </w:r>
      <w:r w:rsidR="00CF1B7F">
        <w:t xml:space="preserve">Result of </w:t>
      </w:r>
      <w:r w:rsidR="00D72D01">
        <w:t>Spectroscopic Profile</w:t>
      </w:r>
      <w:r w:rsidR="005B332A">
        <w:t>s</w:t>
      </w:r>
    </w:p>
    <w:p w:rsidR="00BE089B" w:rsidRDefault="004C16B9">
      <w:pPr>
        <w:pStyle w:val="Heading3"/>
      </w:pPr>
      <w:r>
        <w:t xml:space="preserve">7.1 </w:t>
      </w:r>
      <w:r w:rsidR="0064485B">
        <w:t>Profile Calculation</w:t>
      </w:r>
    </w:p>
    <w:p w:rsidR="00BE089B" w:rsidRDefault="001F2287">
      <w:pPr>
        <w:pStyle w:val="text"/>
      </w:pPr>
      <w:r>
        <w:t xml:space="preserve">A profile for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t xml:space="preserve"> by spectroscopic measurements is only possible over the ~35cm viewing range of the viewport. </w:t>
      </w:r>
      <w:r w:rsidR="00B01E99">
        <w:t xml:space="preserve">Each measurement consisted of one shot on the Helimak, with several integrations </w:t>
      </w:r>
      <w:r w:rsidR="00AD4A3E">
        <w:t xml:space="preserve">averaged and processed </w:t>
      </w:r>
      <w:r w:rsidR="00B01E99">
        <w:t xml:space="preserve">as described in chapter 3. </w:t>
      </w:r>
      <w:r>
        <w:t xml:space="preserve">Spectroscopic measurements </w:t>
      </w:r>
      <w:r w:rsidR="0077410F">
        <w:t>were</w:t>
      </w:r>
      <w:r>
        <w:t xml:space="preserve"> taken at 1cm increments</w:t>
      </w:r>
      <w:r w:rsidR="0077410F">
        <w:t xml:space="preserve"> for a </w:t>
      </w:r>
      <w:r w:rsidR="00AD4A3E">
        <w:t>total of 34 different positions.</w:t>
      </w:r>
    </w:p>
    <w:p w:rsidR="0092240D" w:rsidRDefault="003D37E9">
      <w:pPr>
        <w:pStyle w:val="text"/>
      </w:pPr>
      <w:r>
        <w:t xml:space="preserve">The methods in chapter 4 were used to determine a value of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t xml:space="preserve"> at each position, including the correction </w:t>
      </w:r>
      <w:r w:rsidR="007C1EE5">
        <w:t>factors calculated in chapter 6.</w:t>
      </w:r>
      <w:r>
        <w:t xml:space="preserve"> </w:t>
      </w:r>
      <w:r w:rsidR="007C1EE5">
        <w:t>I</w:t>
      </w:r>
      <w:r>
        <w:t>nitially</w:t>
      </w:r>
      <w:r w:rsidR="007C1EE5">
        <w:t>,</w:t>
      </w:r>
      <w:r>
        <w:t xml:space="preserve"> a flat density profile</w:t>
      </w:r>
      <w:r w:rsidR="007C1EE5">
        <w:t xml:space="preserve"> was used</w:t>
      </w:r>
      <w:r>
        <w:t xml:space="preserve"> for neutral Argon</w:t>
      </w:r>
      <w:r w:rsidR="007C1EE5">
        <w:t>, and</w:t>
      </w:r>
      <w:r>
        <w:t xml:space="preserve"> equal to the pressure recorded from the ionizati</w:t>
      </w:r>
      <w:r w:rsidR="0092240D">
        <w:t>on gauge.</w:t>
      </w:r>
      <w:r w:rsidR="00DE47EF">
        <w:t xml:space="preserve"> In this case the measured total density before the shot</w:t>
      </w:r>
      <w:r w:rsidR="00542476">
        <w:t>s</w:t>
      </w:r>
      <w:r w:rsidR="00DE47EF">
        <w:t xml:space="preserve"> </w:t>
      </w:r>
      <w:proofErr w:type="gramStart"/>
      <w:r w:rsidR="00DE47EF">
        <w:t xml:space="preserve">was </w:t>
      </w:r>
      <w:proofErr w:type="gramEnd"/>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=3.5E17 </m:t>
        </m:r>
        <m:sSup>
          <m:sSupPr>
            <m:ctrlPr>
              <w:rPr>
                <w:rFonts w:ascii="Cambria Math" w:hAnsi="Cambria Math"/>
                <w:i/>
              </w:rPr>
            </m:ctrlPr>
          </m:sSupPr>
          <m:e>
            <m:r>
              <w:rPr>
                <w:rFonts w:ascii="Cambria Math" w:hAnsi="Cambria Math"/>
              </w:rPr>
              <m:t>m</m:t>
            </m:r>
          </m:e>
          <m:sup>
            <m:r>
              <w:rPr>
                <w:rFonts w:ascii="Cambria Math" w:hAnsi="Cambria Math"/>
              </w:rPr>
              <m:t>-3</m:t>
            </m:r>
          </m:sup>
        </m:sSup>
      </m:oMath>
      <w:r w:rsidR="00FC6B2F">
        <w:t xml:space="preserve">, and </w:t>
      </w:r>
      <m:oMath>
        <m:f>
          <m:fPr>
            <m:type m:val="lin"/>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ArI</m:t>
                    </m:r>
                  </m:sub>
                </m:sSub>
              </m:e>
            </m:d>
          </m:num>
          <m:den>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=0.92</m:t>
            </m:r>
          </m:den>
        </m:f>
      </m:oMath>
      <w:r w:rsidR="00FC6B2F">
        <w:t xml:space="preserve">. </w:t>
      </w:r>
      <w:r w:rsidR="0092240D">
        <w:t>The resulting profiles are shown in figure 7.1.</w:t>
      </w:r>
    </w:p>
    <w:p w:rsidR="00DE47EF" w:rsidRDefault="00DE47EF">
      <w:pPr>
        <w:pStyle w:val="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92240D" w:rsidTr="00FC6B2F">
        <w:tc>
          <w:tcPr>
            <w:tcW w:w="4428" w:type="dxa"/>
          </w:tcPr>
          <w:p w:rsidR="0092240D" w:rsidRDefault="0092240D" w:rsidP="0092240D">
            <w:pPr>
              <w:pStyle w:val="text"/>
              <w:ind w:firstLine="0"/>
            </w:pPr>
            <w:r>
              <w:rPr>
                <w:noProof/>
              </w:rPr>
              <w:drawing>
                <wp:inline distT="0" distB="0" distL="0" distR="0" wp14:anchorId="73AB9A73" wp14:editId="19512CEF">
                  <wp:extent cx="2560052"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png"/>
                          <pic:cNvPicPr/>
                        </pic:nvPicPr>
                        <pic:blipFill>
                          <a:blip r:embed="rId8">
                            <a:extLst>
                              <a:ext uri="{28A0092B-C50C-407E-A947-70E740481C1C}">
                                <a14:useLocalDpi xmlns:a14="http://schemas.microsoft.com/office/drawing/2010/main" val="0"/>
                              </a:ext>
                            </a:extLst>
                          </a:blip>
                          <a:stretch>
                            <a:fillRect/>
                          </a:stretch>
                        </pic:blipFill>
                        <pic:spPr>
                          <a:xfrm>
                            <a:off x="0" y="0"/>
                            <a:ext cx="2560052" cy="2286000"/>
                          </a:xfrm>
                          <a:prstGeom prst="rect">
                            <a:avLst/>
                          </a:prstGeom>
                        </pic:spPr>
                      </pic:pic>
                    </a:graphicData>
                  </a:graphic>
                </wp:inline>
              </w:drawing>
            </w:r>
          </w:p>
        </w:tc>
        <w:tc>
          <w:tcPr>
            <w:tcW w:w="4428" w:type="dxa"/>
          </w:tcPr>
          <w:p w:rsidR="0092240D" w:rsidRDefault="0092240D" w:rsidP="0092240D">
            <w:pPr>
              <w:pStyle w:val="text"/>
              <w:ind w:firstLine="0"/>
            </w:pPr>
            <w:r>
              <w:rPr>
                <w:noProof/>
              </w:rPr>
              <w:drawing>
                <wp:inline distT="0" distB="0" distL="0" distR="0" wp14:anchorId="5A3589BD" wp14:editId="52F20B59">
                  <wp:extent cx="2560052" cy="22680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png"/>
                          <pic:cNvPicPr/>
                        </pic:nvPicPr>
                        <pic:blipFill>
                          <a:blip r:embed="rId9">
                            <a:extLst>
                              <a:ext uri="{28A0092B-C50C-407E-A947-70E740481C1C}">
                                <a14:useLocalDpi xmlns:a14="http://schemas.microsoft.com/office/drawing/2010/main" val="0"/>
                              </a:ext>
                            </a:extLst>
                          </a:blip>
                          <a:stretch>
                            <a:fillRect/>
                          </a:stretch>
                        </pic:blipFill>
                        <pic:spPr>
                          <a:xfrm>
                            <a:off x="0" y="0"/>
                            <a:ext cx="2560052" cy="2268057"/>
                          </a:xfrm>
                          <a:prstGeom prst="rect">
                            <a:avLst/>
                          </a:prstGeom>
                        </pic:spPr>
                      </pic:pic>
                    </a:graphicData>
                  </a:graphic>
                </wp:inline>
              </w:drawing>
            </w:r>
          </w:p>
        </w:tc>
      </w:tr>
    </w:tbl>
    <w:p w:rsidR="0092240D" w:rsidRDefault="00DE47EF" w:rsidP="00542476">
      <w:pPr>
        <w:pStyle w:val="Heading8"/>
      </w:pPr>
      <w:r>
        <w:t xml:space="preserve">Figure 7.1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t xml:space="preserve"> using the spectroscopic measurements and a flat neutral profile.</w:t>
      </w:r>
    </w:p>
    <w:p w:rsidR="0092240D" w:rsidRDefault="0092240D">
      <w:pPr>
        <w:pStyle w:val="text"/>
      </w:pPr>
    </w:p>
    <w:p w:rsidR="003D37E9" w:rsidRDefault="003D37E9">
      <w:pPr>
        <w:pStyle w:val="text"/>
      </w:pPr>
      <w:r>
        <w:lastRenderedPageBreak/>
        <w:t>The value</w:t>
      </w:r>
      <w:r w:rsidR="006F06A9">
        <w:t>s</w:t>
      </w:r>
      <w:r>
        <w:t xml:space="preserve"> of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t xml:space="preserve"> were </w:t>
      </w:r>
      <w:r w:rsidR="006F06A9">
        <w:t xml:space="preserve">then </w:t>
      </w:r>
      <w:r>
        <w:t>used with the kinetic model developed in chapter 5 to give a density profile for the neutral Argon.</w:t>
      </w:r>
      <w:r w:rsidR="000C357C">
        <w:t xml:space="preserve"> For the first iteration, a fitting parameter</w:t>
      </w:r>
      <w:r w:rsidR="00542476">
        <w:t xml:space="preserve">s for </w:t>
      </w:r>
      <m:oMath>
        <m:r>
          <w:rPr>
            <w:rFonts w:ascii="Cambria Math" w:hAnsi="Cambria Math"/>
          </w:rPr>
          <m:t>A</m:t>
        </m:r>
      </m:oMath>
      <w:r w:rsidR="000C357C">
        <w:t xml:space="preserve"> of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=6.5 eV</m:t>
        </m:r>
      </m:oMath>
      <w:r>
        <w:t xml:space="preserve"> </w:t>
      </w:r>
      <w:r w:rsidR="000C357C">
        <w:t xml:space="preserve">and </w:t>
      </w:r>
      <m:oMath>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 xml:space="preserve">=6E16 </m:t>
        </m:r>
        <m:sSup>
          <m:sSupPr>
            <m:ctrlPr>
              <w:rPr>
                <w:rFonts w:ascii="Cambria Math" w:hAnsi="Cambria Math"/>
                <w:i/>
              </w:rPr>
            </m:ctrlPr>
          </m:sSupPr>
          <m:e>
            <m:r>
              <w:rPr>
                <w:rFonts w:ascii="Cambria Math" w:hAnsi="Cambria Math"/>
              </w:rPr>
              <m:t>m</m:t>
            </m:r>
          </m:e>
          <m:sup>
            <m:r>
              <w:rPr>
                <w:rFonts w:ascii="Cambria Math" w:hAnsi="Cambria Math"/>
              </w:rPr>
              <m:t>-3</m:t>
            </m:r>
          </m:sup>
        </m:sSup>
      </m:oMath>
      <w:r w:rsidR="00542476">
        <w:t xml:space="preserve"> were used in eq. 5.25</w:t>
      </w:r>
      <w:r w:rsidR="000C357C">
        <w:t xml:space="preserve">. </w:t>
      </w:r>
      <w:r w:rsidR="00B5286E">
        <w:t xml:space="preserve">The new neutral profile was then used to calculate new values of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rsidR="00B5286E">
        <w:t xml:space="preserve"> </w:t>
      </w:r>
      <w:proofErr w:type="gramStart"/>
      <w:r w:rsidR="00B5286E">
        <w:t xml:space="preserve">and </w:t>
      </w:r>
      <w:proofErr w:type="gramEnd"/>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B5286E">
        <w:t xml:space="preserve">. </w:t>
      </w:r>
      <w:r>
        <w:t xml:space="preserve">This process was repeated </w:t>
      </w:r>
      <w:r w:rsidR="00542476">
        <w:t xml:space="preserve">several times until the </w:t>
      </w:r>
      <w:proofErr w:type="gramStart"/>
      <w:r w:rsidR="00542476">
        <w:t>resulting</w:t>
      </w:r>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e</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ArI</m:t>
            </m:r>
          </m:sub>
        </m:sSub>
      </m:oMath>
      <w:r>
        <w:t xml:space="preserve"> </w:t>
      </w:r>
      <w:r w:rsidR="006F06A9">
        <w:t xml:space="preserve">were the most </w:t>
      </w:r>
      <w:r>
        <w:t>self-consistent.</w:t>
      </w:r>
    </w:p>
    <w:p w:rsidR="00481BB9" w:rsidRDefault="00481BB9">
      <w:pPr>
        <w:pStyle w:val="text"/>
      </w:pPr>
      <w:r>
        <w:t>The coefficient of determination</w:t>
      </w:r>
      <w:proofErr w:type="gramStart"/>
      <w:r>
        <w:t>,</w:t>
      </w:r>
      <w:r w:rsidR="007E5EEB">
        <w:t xml:space="preserve"> </w:t>
      </w:r>
      <w:proofErr w:type="gramEnd"/>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type m:val="lin"/>
            <m:ctrlPr>
              <w:rPr>
                <w:rFonts w:ascii="Cambria Math" w:hAnsi="Cambria Math"/>
                <w:i/>
              </w:rPr>
            </m:ctrlPr>
          </m:fPr>
          <m:num>
            <m:sSub>
              <m:sSubPr>
                <m:ctrlPr>
                  <w:rPr>
                    <w:rFonts w:ascii="Cambria Math" w:hAnsi="Cambria Math"/>
                    <w:i/>
                  </w:rPr>
                </m:ctrlPr>
              </m:sSubPr>
              <m:e>
                <m:r>
                  <w:rPr>
                    <w:rFonts w:ascii="Cambria Math" w:hAnsi="Cambria Math"/>
                  </w:rPr>
                  <m:t>SS</m:t>
                </m:r>
              </m:e>
              <m:sub>
                <m:r>
                  <w:rPr>
                    <w:rFonts w:ascii="Cambria Math" w:hAnsi="Cambria Math"/>
                  </w:rPr>
                  <m:t>err</m:t>
                </m:r>
              </m:sub>
            </m:sSub>
          </m:num>
          <m:den>
            <m:sSub>
              <m:sSubPr>
                <m:ctrlPr>
                  <w:rPr>
                    <w:rFonts w:ascii="Cambria Math" w:hAnsi="Cambria Math"/>
                    <w:i/>
                  </w:rPr>
                </m:ctrlPr>
              </m:sSubPr>
              <m:e>
                <m:r>
                  <w:rPr>
                    <w:rFonts w:ascii="Cambria Math" w:hAnsi="Cambria Math"/>
                  </w:rPr>
                  <m:t>SS</m:t>
                </m:r>
              </m:e>
              <m:sub>
                <m:r>
                  <w:rPr>
                    <w:rFonts w:ascii="Cambria Math" w:hAnsi="Cambria Math"/>
                  </w:rPr>
                  <m:t>tot</m:t>
                </m:r>
              </m:sub>
            </m:sSub>
          </m:den>
        </m:f>
      </m:oMath>
      <w:r>
        <w:t>, was used as the quantitati</w:t>
      </w:r>
      <w:proofErr w:type="spellStart"/>
      <w:r>
        <w:t>ve</w:t>
      </w:r>
      <w:proofErr w:type="spellEnd"/>
      <w:r>
        <w:t xml:space="preserve"> measure for which profile best fit the measured spectroscopic data</w:t>
      </w:r>
      <w:r w:rsidR="007E5EEB">
        <w:t xml:space="preserve">. </w:t>
      </w:r>
      <w:proofErr w:type="gramStart"/>
      <w:r w:rsidR="007E5EEB">
        <w:t xml:space="preserve">Here </w:t>
      </w:r>
      <m:oMath>
        <m:sSub>
          <m:sSubPr>
            <m:ctrlPr>
              <w:rPr>
                <w:rFonts w:ascii="Cambria Math" w:hAnsi="Cambria Math"/>
                <w:i/>
              </w:rPr>
            </m:ctrlPr>
          </m:sSubPr>
          <m:e>
            <w:proofErr w:type="gramEnd"/>
            <m:r>
              <w:rPr>
                <w:rFonts w:ascii="Cambria Math" w:hAnsi="Cambria Math"/>
              </w:rPr>
              <m:t>SS</m:t>
            </m:r>
          </m:e>
          <m:sub>
            <m:r>
              <w:rPr>
                <w:rFonts w:ascii="Cambria Math" w:hAnsi="Cambria Math"/>
              </w:rPr>
              <m:t>tot</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w:r>
        <w:t xml:space="preserve"> , </w:t>
      </w:r>
      <m:oMath>
        <m:sSub>
          <m:sSubPr>
            <m:ctrlPr>
              <w:rPr>
                <w:rFonts w:ascii="Cambria Math" w:hAnsi="Cambria Math"/>
                <w:i/>
              </w:rPr>
            </m:ctrlPr>
          </m:sSubPr>
          <m:e>
            <m:r>
              <w:rPr>
                <w:rFonts w:ascii="Cambria Math" w:hAnsi="Cambria Math"/>
              </w:rPr>
              <m:t>SS</m:t>
            </m:r>
          </m:e>
          <m:sub>
            <m:r>
              <w:rPr>
                <w:rFonts w:ascii="Cambria Math" w:hAnsi="Cambria Math"/>
              </w:rPr>
              <m:t>err</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d>
              </m:e>
              <m:sup>
                <m:r>
                  <w:rPr>
                    <w:rFonts w:ascii="Cambria Math" w:hAnsi="Cambria Math"/>
                  </w:rPr>
                  <m:t>2</m:t>
                </m:r>
              </m:sup>
            </m:sSup>
          </m:e>
        </m:nary>
      </m:oMath>
      <w:r w:rsidR="007E5EEB">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7E5EEB">
        <w:t xml:space="preserve"> are the measured values of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rsidR="007E5EEB">
        <w:t xml:space="preserve"> or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7E5EEB">
        <w:t xml:space="preserve">, and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oMath>
      <w:r w:rsidR="007E5EEB">
        <w:t xml:space="preserve"> is the fitting function used in the kinetic model.</w:t>
      </w:r>
      <w:r w:rsidR="009E3BB0">
        <w:t xml:space="preserve"> The only parameters varied were the peak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rsidR="009E3BB0">
        <w:t xml:space="preserve"> or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9E3BB0">
        <w:t xml:space="preserve"> used in the fitting function, or the parameter </w:t>
      </w:r>
      <m:oMath>
        <m:r>
          <w:rPr>
            <w:rFonts w:ascii="Cambria Math" w:hAnsi="Cambria Math"/>
          </w:rPr>
          <m:t>A</m:t>
        </m:r>
      </m:oMath>
      <w:r w:rsidR="009E3BB0">
        <w:t xml:space="preserve"> in eq. 5.25.</w:t>
      </w:r>
      <w:r w:rsidR="009E5C4F">
        <w:t xml:space="preserve"> </w:t>
      </w:r>
    </w:p>
    <w:p w:rsidR="00D010A4" w:rsidRDefault="00D97531">
      <w:pPr>
        <w:pStyle w:val="text"/>
      </w:pPr>
      <w:r>
        <w:t>Figure 7.</w:t>
      </w:r>
      <w:r w:rsidR="0092240D">
        <w:t>2</w:t>
      </w:r>
      <w:r>
        <w:t xml:space="preserve">a gives the values of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for different computed profiles as a function </w:t>
      </w:r>
      <w:proofErr w:type="gramStart"/>
      <w:r>
        <w:t xml:space="preserve">of </w:t>
      </w:r>
      <w:proofErr w:type="gramEnd"/>
      <m:oMath>
        <m:sSub>
          <m:sSubPr>
            <m:ctrlPr>
              <w:rPr>
                <w:rFonts w:ascii="Cambria Math" w:hAnsi="Cambria Math"/>
                <w:i/>
              </w:rPr>
            </m:ctrlPr>
          </m:sSubPr>
          <m:e>
            <m:r>
              <w:rPr>
                <w:rFonts w:ascii="Cambria Math" w:hAnsi="Cambria Math"/>
              </w:rPr>
              <m:t>T</m:t>
            </m:r>
          </m:e>
          <m:sub>
            <m:r>
              <w:rPr>
                <w:rFonts w:ascii="Cambria Math" w:hAnsi="Cambria Math"/>
              </w:rPr>
              <m:t>e</m:t>
            </m:r>
          </m:sub>
        </m:sSub>
      </m:oMath>
      <w:r>
        <w:t xml:space="preserve">.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t xml:space="preserve"> </w:t>
      </w:r>
      <w:proofErr w:type="gramStart"/>
      <w:r w:rsidR="000C357C">
        <w:t>is</w:t>
      </w:r>
      <w:proofErr w:type="gramEnd"/>
      <w:r w:rsidR="000C357C">
        <w:t xml:space="preserve"> </w:t>
      </w:r>
      <w:r>
        <w:t>also varie</w:t>
      </w:r>
      <w:r w:rsidR="000C357C">
        <w:t>d for each profile</w:t>
      </w:r>
      <w:r>
        <w:t xml:space="preserve">, but not independently of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t xml:space="preserve">. The best fit appears to occur when the fitting </w:t>
      </w:r>
      <w:proofErr w:type="gramStart"/>
      <w:r>
        <w:t xml:space="preserve">parameter </w:t>
      </w:r>
      <w:proofErr w:type="gramEnd"/>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 8eV</m:t>
        </m:r>
      </m:oMath>
      <w:r>
        <w:t>.</w:t>
      </w:r>
      <w:r w:rsidR="002E70B0">
        <w:t xml:space="preserve"> However, the fitting for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rsidR="002E70B0">
        <w:t xml:space="preserve"> is much worse </w:t>
      </w:r>
      <w:proofErr w:type="gramStart"/>
      <w:r w:rsidR="002E70B0">
        <w:t xml:space="preserve">than </w:t>
      </w:r>
      <w:proofErr w:type="gramEnd"/>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2E70B0">
        <w:t xml:space="preserve">, which may indicate that the fitting function used is not </w:t>
      </w:r>
      <w:r w:rsidR="009825E7">
        <w:t xml:space="preserve">quite </w:t>
      </w:r>
      <w:r w:rsidR="002E70B0">
        <w:t>adequate.</w:t>
      </w:r>
    </w:p>
    <w:p w:rsidR="0092240D" w:rsidRDefault="0092240D">
      <w:pPr>
        <w:pStyle w:val="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6"/>
        <w:gridCol w:w="4350"/>
      </w:tblGrid>
      <w:tr w:rsidR="009E3BB0" w:rsidTr="00D97531">
        <w:tc>
          <w:tcPr>
            <w:tcW w:w="4428" w:type="dxa"/>
          </w:tcPr>
          <w:p w:rsidR="009E3BB0" w:rsidRDefault="009E3BB0" w:rsidP="009E3BB0">
            <w:r>
              <w:rPr>
                <w:noProof/>
              </w:rPr>
              <w:drawing>
                <wp:inline distT="0" distB="0" distL="0" distR="0" wp14:anchorId="017B6DF7" wp14:editId="77365F1D">
                  <wp:extent cx="2717075" cy="22860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png"/>
                          <pic:cNvPicPr/>
                        </pic:nvPicPr>
                        <pic:blipFill>
                          <a:blip r:embed="rId10">
                            <a:extLst>
                              <a:ext uri="{28A0092B-C50C-407E-A947-70E740481C1C}">
                                <a14:useLocalDpi xmlns:a14="http://schemas.microsoft.com/office/drawing/2010/main" val="0"/>
                              </a:ext>
                            </a:extLst>
                          </a:blip>
                          <a:stretch>
                            <a:fillRect/>
                          </a:stretch>
                        </pic:blipFill>
                        <pic:spPr>
                          <a:xfrm>
                            <a:off x="0" y="0"/>
                            <a:ext cx="2717075" cy="2286000"/>
                          </a:xfrm>
                          <a:prstGeom prst="rect">
                            <a:avLst/>
                          </a:prstGeom>
                        </pic:spPr>
                      </pic:pic>
                    </a:graphicData>
                  </a:graphic>
                </wp:inline>
              </w:drawing>
            </w:r>
          </w:p>
        </w:tc>
        <w:tc>
          <w:tcPr>
            <w:tcW w:w="4428" w:type="dxa"/>
          </w:tcPr>
          <w:p w:rsidR="009E3BB0" w:rsidRDefault="009E3BB0" w:rsidP="009E3BB0">
            <w:pPr>
              <w:pStyle w:val="text"/>
              <w:ind w:firstLine="0"/>
            </w:pPr>
            <w:r>
              <w:rPr>
                <w:noProof/>
              </w:rPr>
              <w:drawing>
                <wp:inline distT="0" distB="0" distL="0" distR="0" wp14:anchorId="7BEBD930" wp14:editId="21F80332">
                  <wp:extent cx="2551798" cy="2283550"/>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png"/>
                          <pic:cNvPicPr/>
                        </pic:nvPicPr>
                        <pic:blipFill>
                          <a:blip r:embed="rId11">
                            <a:extLst>
                              <a:ext uri="{28A0092B-C50C-407E-A947-70E740481C1C}">
                                <a14:useLocalDpi xmlns:a14="http://schemas.microsoft.com/office/drawing/2010/main" val="0"/>
                              </a:ext>
                            </a:extLst>
                          </a:blip>
                          <a:stretch>
                            <a:fillRect/>
                          </a:stretch>
                        </pic:blipFill>
                        <pic:spPr>
                          <a:xfrm>
                            <a:off x="0" y="0"/>
                            <a:ext cx="2551798" cy="2283550"/>
                          </a:xfrm>
                          <a:prstGeom prst="rect">
                            <a:avLst/>
                          </a:prstGeom>
                        </pic:spPr>
                      </pic:pic>
                    </a:graphicData>
                  </a:graphic>
                </wp:inline>
              </w:drawing>
            </w:r>
          </w:p>
        </w:tc>
      </w:tr>
      <w:tr w:rsidR="00D97531" w:rsidTr="00D97531">
        <w:tc>
          <w:tcPr>
            <w:tcW w:w="4428" w:type="dxa"/>
          </w:tcPr>
          <w:p w:rsidR="00D97531" w:rsidRDefault="00D97531" w:rsidP="00D97531">
            <w:pPr>
              <w:rPr>
                <w:noProof/>
              </w:rPr>
            </w:pPr>
            <w:r>
              <w:rPr>
                <w:noProof/>
              </w:rPr>
              <w:t>(a)</w:t>
            </w:r>
          </w:p>
        </w:tc>
        <w:tc>
          <w:tcPr>
            <w:tcW w:w="4428" w:type="dxa"/>
          </w:tcPr>
          <w:p w:rsidR="00D97531" w:rsidRDefault="00D97531" w:rsidP="00D97531">
            <w:pPr>
              <w:rPr>
                <w:noProof/>
              </w:rPr>
            </w:pPr>
            <w:r>
              <w:rPr>
                <w:noProof/>
              </w:rPr>
              <w:t>(b)</w:t>
            </w:r>
          </w:p>
        </w:tc>
      </w:tr>
    </w:tbl>
    <w:p w:rsidR="00D010A4" w:rsidRDefault="00D010A4" w:rsidP="001663F7">
      <w:pPr>
        <w:pStyle w:val="Heading8"/>
      </w:pPr>
      <w:r w:rsidRPr="009E3BB0">
        <w:t>Figure 7.</w:t>
      </w:r>
      <w:r w:rsidR="0092240D">
        <w:t>2</w:t>
      </w:r>
      <w:r w:rsidRPr="009E3BB0">
        <w:t xml:space="preserve"> </w:t>
      </w:r>
      <w:r w:rsidR="00944A99">
        <w:t xml:space="preserve">(a)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44A99">
        <w:t xml:space="preserve"> between fit used in kinetic model</w:t>
      </w:r>
      <w:r w:rsidR="00C84B73">
        <w:t>,</w:t>
      </w:r>
      <w:r w:rsidR="00944A99">
        <w:t xml:space="preserve"> and resulting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rsidR="00944A99">
        <w:t xml:space="preserve"> and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944A99">
        <w:t xml:space="preserve"> profile. (b) Ar I profiles computed using kinetic model.</w:t>
      </w:r>
    </w:p>
    <w:p w:rsidR="0062563F" w:rsidRDefault="00B5286E" w:rsidP="00E66FF1">
      <w:pPr>
        <w:pStyle w:val="text"/>
      </w:pPr>
      <w:r>
        <w:lastRenderedPageBreak/>
        <w:t>Figure 7.</w:t>
      </w:r>
      <w:r w:rsidR="0092240D">
        <w:t>2</w:t>
      </w:r>
      <w:r w:rsidR="00D97531">
        <w:t>b</w:t>
      </w:r>
      <w:r>
        <w:t xml:space="preserve"> shows </w:t>
      </w:r>
      <w:r w:rsidR="000C357C">
        <w:t>the</w:t>
      </w:r>
      <w:r>
        <w:t xml:space="preserve"> profiles for </w:t>
      </w:r>
      <w:proofErr w:type="spellStart"/>
      <w:r>
        <w:t>Ar</w:t>
      </w:r>
      <w:proofErr w:type="spellEnd"/>
      <w:r>
        <w:t xml:space="preserve"> I at </w:t>
      </w:r>
      <w:r w:rsidR="001663F7">
        <w:t>the fitting</w:t>
      </w:r>
      <w:r>
        <w:t xml:space="preserve"> values of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1663F7">
        <w:t>.</w:t>
      </w:r>
      <w:r w:rsidR="00D07E86">
        <w:t xml:space="preserve"> </w:t>
      </w:r>
      <w:r w:rsidR="00074A50">
        <w:t>For</w:t>
      </w:r>
      <w:r w:rsidR="00D07E86">
        <w:t xml:space="preserve"> the best profile is for </w:t>
      </w:r>
      <w:proofErr w:type="gramStart"/>
      <w:r w:rsidR="00D07E86">
        <w:t xml:space="preserve">fitting </w:t>
      </w:r>
      <w:proofErr w:type="gramEnd"/>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 8eV</m:t>
        </m:r>
      </m:oMath>
      <w:r w:rsidR="00D07E86">
        <w:t xml:space="preserve">, </w:t>
      </w:r>
      <w:r w:rsidR="00BF0827">
        <w:t xml:space="preserve">the </w:t>
      </w:r>
      <w:r w:rsidR="00074A50">
        <w:t xml:space="preserve">calculated neutral </w:t>
      </w:r>
      <w:r w:rsidR="00BF0827">
        <w:t xml:space="preserve">profile shows a z-average depression of the </w:t>
      </w:r>
      <w:proofErr w:type="spellStart"/>
      <w:r w:rsidR="00BF0827">
        <w:t>Ar</w:t>
      </w:r>
      <w:proofErr w:type="spellEnd"/>
      <w:r w:rsidR="00BF0827">
        <w:t xml:space="preserve"> I density in the center of the Helimak of about 10</w:t>
      </w:r>
      <w:r w:rsidR="00E008D3">
        <w:t>-15</w:t>
      </w:r>
      <w:r w:rsidR="00BF0827">
        <w:t>%.</w:t>
      </w:r>
      <w:r w:rsidR="00074A50">
        <w:t xml:space="preserve"> This is in addition to the ~8% total depletion</w:t>
      </w:r>
      <w:r w:rsidR="00841C53">
        <w:t xml:space="preserve"> compared </w:t>
      </w:r>
      <w:proofErr w:type="gramStart"/>
      <w:r w:rsidR="00841C53">
        <w:t xml:space="preserve">to </w:t>
      </w:r>
      <w:proofErr w:type="gramEnd"/>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841C53">
        <w:t>.</w:t>
      </w:r>
    </w:p>
    <w:p w:rsidR="0062563F" w:rsidRDefault="00B865FD" w:rsidP="00E66FF1">
      <w:pPr>
        <w:pStyle w:val="text"/>
      </w:pPr>
      <w:r>
        <w:t xml:space="preserve">The resulting best fit spectroscopic profiles for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t xml:space="preserve"> are shown in figure 7.3</w:t>
      </w:r>
      <w:r>
        <w:t xml:space="preserve"> </w:t>
      </w:r>
      <w:proofErr w:type="gramStart"/>
      <w:r w:rsidR="00A80066">
        <w:t>As</w:t>
      </w:r>
      <w:proofErr w:type="gramEnd"/>
      <w:r w:rsidR="00A80066">
        <w:t xml:space="preserve"> can be seen, the fitting function</w:t>
      </w:r>
      <w:r w:rsidR="00CC7F98">
        <w:t xml:space="preserve"> </w:t>
      </w:r>
      <w:r>
        <w:t xml:space="preserve">for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t xml:space="preserve"> </w:t>
      </w:r>
      <w:r w:rsidR="00CC7F98">
        <w:t>also</w:t>
      </w:r>
      <w:r w:rsidR="00A80066">
        <w:t xml:space="preserve"> does not quite match the trend in the density, which appears to peak at a slightly larger radius. </w:t>
      </w:r>
      <w:r w:rsidR="000211F3">
        <w:t>T</w:t>
      </w:r>
      <w:r w:rsidR="00A80066">
        <w:t>he spectroscopic data does not extend far enough to make a good guess for a different</w:t>
      </w:r>
      <w:r w:rsidR="000211F3">
        <w:t xml:space="preserve"> fitting function, but it may also be an artifact of </w:t>
      </w:r>
      <w:r w:rsidR="00E54FE0">
        <w:t>some</w:t>
      </w:r>
      <w:r w:rsidR="000211F3">
        <w:t xml:space="preserve"> failing of the </w:t>
      </w:r>
      <w:proofErr w:type="spellStart"/>
      <w:r w:rsidR="00FA4C22">
        <w:t>Ar</w:t>
      </w:r>
      <w:proofErr w:type="spellEnd"/>
      <w:r w:rsidR="00FA4C22">
        <w:t xml:space="preserve"> I </w:t>
      </w:r>
      <w:r w:rsidR="000211F3">
        <w:t>kinetic model</w:t>
      </w:r>
      <w:r w:rsidR="003D7CFA">
        <w:t xml:space="preserve"> profile</w:t>
      </w:r>
      <w:r w:rsidR="000211F3">
        <w:t>.</w:t>
      </w:r>
    </w:p>
    <w:p w:rsidR="00083A8E" w:rsidRDefault="00083A8E">
      <w:pPr>
        <w:pStyle w:val="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083A8E" w:rsidTr="00B5286E">
        <w:tc>
          <w:tcPr>
            <w:tcW w:w="4428" w:type="dxa"/>
          </w:tcPr>
          <w:p w:rsidR="00083A8E" w:rsidRDefault="00083A8E">
            <w:pPr>
              <w:pStyle w:val="text"/>
              <w:ind w:firstLine="0"/>
            </w:pPr>
            <w:r>
              <w:rPr>
                <w:noProof/>
              </w:rPr>
              <w:drawing>
                <wp:inline distT="0" distB="0" distL="0" distR="0" wp14:anchorId="09611AD7" wp14:editId="6D4F5FC0">
                  <wp:extent cx="2598925" cy="216350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png"/>
                          <pic:cNvPicPr/>
                        </pic:nvPicPr>
                        <pic:blipFill>
                          <a:blip r:embed="rId12">
                            <a:extLst>
                              <a:ext uri="{28A0092B-C50C-407E-A947-70E740481C1C}">
                                <a14:useLocalDpi xmlns:a14="http://schemas.microsoft.com/office/drawing/2010/main" val="0"/>
                              </a:ext>
                            </a:extLst>
                          </a:blip>
                          <a:stretch>
                            <a:fillRect/>
                          </a:stretch>
                        </pic:blipFill>
                        <pic:spPr>
                          <a:xfrm>
                            <a:off x="0" y="0"/>
                            <a:ext cx="2598925" cy="2163503"/>
                          </a:xfrm>
                          <a:prstGeom prst="rect">
                            <a:avLst/>
                          </a:prstGeom>
                        </pic:spPr>
                      </pic:pic>
                    </a:graphicData>
                  </a:graphic>
                </wp:inline>
              </w:drawing>
            </w:r>
          </w:p>
        </w:tc>
        <w:tc>
          <w:tcPr>
            <w:tcW w:w="4428" w:type="dxa"/>
          </w:tcPr>
          <w:p w:rsidR="00083A8E" w:rsidRDefault="00083A8E">
            <w:pPr>
              <w:pStyle w:val="text"/>
              <w:ind w:firstLine="0"/>
            </w:pPr>
            <w:r>
              <w:rPr>
                <w:noProof/>
              </w:rPr>
              <w:drawing>
                <wp:inline distT="0" distB="0" distL="0" distR="0" wp14:anchorId="19194B0E" wp14:editId="7A6106C3">
                  <wp:extent cx="2450239" cy="2088134"/>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png"/>
                          <pic:cNvPicPr/>
                        </pic:nvPicPr>
                        <pic:blipFill>
                          <a:blip r:embed="rId13">
                            <a:extLst>
                              <a:ext uri="{28A0092B-C50C-407E-A947-70E740481C1C}">
                                <a14:useLocalDpi xmlns:a14="http://schemas.microsoft.com/office/drawing/2010/main" val="0"/>
                              </a:ext>
                            </a:extLst>
                          </a:blip>
                          <a:stretch>
                            <a:fillRect/>
                          </a:stretch>
                        </pic:blipFill>
                        <pic:spPr>
                          <a:xfrm>
                            <a:off x="0" y="0"/>
                            <a:ext cx="2450239" cy="2088134"/>
                          </a:xfrm>
                          <a:prstGeom prst="rect">
                            <a:avLst/>
                          </a:prstGeom>
                        </pic:spPr>
                      </pic:pic>
                    </a:graphicData>
                  </a:graphic>
                </wp:inline>
              </w:drawing>
            </w:r>
          </w:p>
        </w:tc>
      </w:tr>
    </w:tbl>
    <w:p w:rsidR="00083A8E" w:rsidRDefault="00B5286E" w:rsidP="00B5286E">
      <w:pPr>
        <w:pStyle w:val="Heading8"/>
      </w:pPr>
      <w:r>
        <w:t>Figure 7.</w:t>
      </w:r>
      <w:r w:rsidR="0092240D">
        <w:t>3</w:t>
      </w:r>
      <w:r>
        <w:t xml:space="preserve"> </w:t>
      </w:r>
      <w:proofErr w:type="gramStart"/>
      <w:r w:rsidR="00C84B73">
        <w:t>Best</w:t>
      </w:r>
      <w:proofErr w:type="gramEnd"/>
      <w:r w:rsidR="00C84B73">
        <w:t xml:space="preserve"> fit to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t xml:space="preserve"> using the </w:t>
      </w:r>
      <w:r w:rsidR="0062563F">
        <w:t xml:space="preserve">spectroscopic measurements and </w:t>
      </w:r>
      <w:r>
        <w:t>neutral profiles in figure 7.</w:t>
      </w:r>
      <w:r w:rsidR="00DE47EF">
        <w:t>2</w:t>
      </w:r>
      <w:r>
        <w:t xml:space="preserve">. </w:t>
      </w:r>
      <w:r w:rsidR="00C84B73">
        <w:t xml:space="preserve">Gives </w:t>
      </w:r>
      <w:r>
        <w:t xml:space="preserve">peak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t xml:space="preserve"> of a</w:t>
      </w:r>
      <w:r w:rsidR="00C84B73">
        <w:t xml:space="preserve">bout 10eV, and </w:t>
      </w:r>
      <m:oMath>
        <m:r>
          <w:rPr>
            <w:rFonts w:ascii="Cambria Math" w:hAnsi="Cambria Math"/>
          </w:rPr>
          <m:t xml:space="preserve">6E16 </m:t>
        </m:r>
        <m:sSup>
          <m:sSupPr>
            <m:ctrlPr>
              <w:rPr>
                <w:rFonts w:ascii="Cambria Math" w:hAnsi="Cambria Math"/>
                <w:i/>
              </w:rPr>
            </m:ctrlPr>
          </m:sSupPr>
          <m:e>
            <m:r>
              <w:rPr>
                <w:rFonts w:ascii="Cambria Math" w:hAnsi="Cambria Math"/>
              </w:rPr>
              <m:t>m</m:t>
            </m:r>
          </m:e>
          <m:sup>
            <m:r>
              <w:rPr>
                <w:rFonts w:ascii="Cambria Math" w:hAnsi="Cambria Math"/>
              </w:rPr>
              <m:t>-3</m:t>
            </m:r>
          </m:sup>
        </m:sSup>
      </m:oMath>
      <w:r w:rsidR="00C84B73">
        <w:t xml:space="preserve"> </w:t>
      </w:r>
      <w:proofErr w:type="gramStart"/>
      <w:r w:rsidR="00C84B73">
        <w:t xml:space="preserve">for </w:t>
      </w:r>
      <w:proofErr w:type="gramEnd"/>
      <m:oMath>
        <m:sSub>
          <m:sSubPr>
            <m:ctrlPr>
              <w:rPr>
                <w:rFonts w:ascii="Cambria Math" w:hAnsi="Cambria Math"/>
                <w:i/>
              </w:rPr>
            </m:ctrlPr>
          </m:sSubPr>
          <m:e>
            <m:r>
              <w:rPr>
                <w:rFonts w:ascii="Cambria Math" w:hAnsi="Cambria Math"/>
              </w:rPr>
              <m:t>n</m:t>
            </m:r>
          </m:e>
          <m:sub>
            <m:r>
              <w:rPr>
                <w:rFonts w:ascii="Cambria Math" w:hAnsi="Cambria Math"/>
              </w:rPr>
              <m:t>e</m:t>
            </m:r>
          </m:sub>
        </m:sSub>
      </m:oMath>
      <w:r w:rsidR="00C84B73">
        <w:t>.</w:t>
      </w:r>
    </w:p>
    <w:p w:rsidR="00B865FD" w:rsidRDefault="007F7E66" w:rsidP="00B865FD">
      <w:pPr>
        <w:pStyle w:val="text"/>
      </w:pPr>
      <w:r>
        <w:t>In figure 7.4, the profile determined by the spectroscopic method is compared to that obtained by probes from a shot of the same parameters</w:t>
      </w:r>
      <w:r w:rsidR="00A041A1">
        <w:t>.</w:t>
      </w:r>
      <w:r w:rsidR="00421456">
        <w:t xml:space="preserve"> </w:t>
      </w:r>
      <w:r w:rsidR="00A041A1">
        <w:t>P</w:t>
      </w:r>
      <w:r w:rsidR="00421456">
        <w:t xml:space="preserve">robe data </w:t>
      </w:r>
      <w:r w:rsidR="00A041A1">
        <w:t xml:space="preserve">was </w:t>
      </w:r>
      <w:bookmarkStart w:id="0" w:name="_GoBack"/>
      <w:bookmarkEnd w:id="0"/>
      <w:r w:rsidR="00421456">
        <w:t>provided by K. Gentle</w:t>
      </w:r>
      <w:r>
        <w:t xml:space="preserve">. Error bars for the </w:t>
      </w:r>
      <w:proofErr w:type="spellStart"/>
      <w:r>
        <w:t>spectroscopically</w:t>
      </w:r>
      <w:proofErr w:type="spellEnd"/>
      <w:r>
        <w:t xml:space="preserve"> determined values come from the possible systematic error of calibration and atomic data only, and does not include error introduced by poor fitting from the kinetic model. </w:t>
      </w:r>
      <w:r w:rsidR="00B865FD" w:rsidRPr="00B865FD">
        <w:t>The value</w:t>
      </w:r>
      <w:r w:rsidR="00A94DDF">
        <w:t>s</w:t>
      </w:r>
      <w:r w:rsidR="00B865FD" w:rsidRPr="00B865FD">
        <w:t xml:space="preserve"> </w:t>
      </w:r>
      <w:proofErr w:type="gramStart"/>
      <w:r w:rsidR="00B865FD" w:rsidRPr="00B865FD">
        <w:t xml:space="preserve">of </w:t>
      </w:r>
      <w:proofErr w:type="gramEnd"/>
      <m:oMath>
        <m:sSub>
          <m:sSubPr>
            <m:ctrlPr>
              <w:rPr>
                <w:rFonts w:ascii="Cambria Math" w:hAnsi="Cambria Math"/>
              </w:rPr>
            </m:ctrlPr>
          </m:sSubPr>
          <m:e>
            <m:r>
              <w:rPr>
                <w:rFonts w:ascii="Cambria Math" w:hAnsi="Cambria Math"/>
              </w:rPr>
              <m:t>T</m:t>
            </m:r>
          </m:e>
          <m:sub>
            <m:r>
              <w:rPr>
                <w:rFonts w:ascii="Cambria Math" w:hAnsi="Cambria Math"/>
              </w:rPr>
              <m:t>e</m:t>
            </m:r>
          </m:sub>
        </m:sSub>
      </m:oMath>
      <w:r w:rsidR="00A94DDF">
        <w:t>, peaking around</w:t>
      </w:r>
      <w:r w:rsidR="00B865FD" w:rsidRPr="00B865FD">
        <w:t xml:space="preserve"> </w:t>
      </w:r>
      <w:r w:rsidR="00B865FD" w:rsidRPr="00B865FD">
        <w:lastRenderedPageBreak/>
        <w:t xml:space="preserve">10eV, agree roughly with probe </w:t>
      </w:r>
      <w:r w:rsidR="00A94DDF">
        <w:t>measurements</w:t>
      </w:r>
      <w:r w:rsidR="00B865FD" w:rsidRPr="00B865FD">
        <w:t xml:space="preserve">. The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B865FD" w:rsidRPr="00B865FD">
        <w:t xml:space="preserve"> profile is more striking since the value</w:t>
      </w:r>
      <w:r w:rsidR="00AA75AA">
        <w:t>s</w:t>
      </w:r>
      <w:r w:rsidR="00B865FD" w:rsidRPr="00B865FD">
        <w:t xml:space="preserve"> </w:t>
      </w:r>
      <w:r w:rsidR="005654C1">
        <w:t xml:space="preserve">do not agree, and </w:t>
      </w:r>
      <w:r w:rsidR="00AA75AA">
        <w:t>are</w:t>
      </w:r>
      <w:r w:rsidR="00B865FD" w:rsidRPr="00B865FD">
        <w:t xml:space="preserve"> higher in magnitude than the probe </w:t>
      </w:r>
      <w:r w:rsidR="00AA75AA">
        <w:t xml:space="preserve">measurements. </w:t>
      </w:r>
      <w:r w:rsidR="00B865FD" w:rsidRPr="00B865FD">
        <w:t xml:space="preserve">The average of the ratio of the two measurements </w:t>
      </w:r>
      <w:proofErr w:type="gramStart"/>
      <w:r w:rsidR="00B865FD" w:rsidRPr="00B865FD">
        <w:t xml:space="preserve">is </w:t>
      </w:r>
      <w:proofErr w:type="gramEnd"/>
      <m:oMath>
        <m:d>
          <m:dPr>
            <m:begChr m:val="〈"/>
            <m:endChr m:val="〉"/>
            <m:ctrlPr>
              <w:rPr>
                <w:rFonts w:ascii="Cambria Math" w:hAnsi="Cambria Math"/>
              </w:rPr>
            </m:ctrlPr>
          </m:dPr>
          <m:e>
            <m:f>
              <m:fPr>
                <m:type m:val="lin"/>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e</m:t>
                    </m:r>
                    <m:r>
                      <m:rPr>
                        <m:sty m:val="p"/>
                      </m:rPr>
                      <w:rPr>
                        <w:rFonts w:ascii="Cambria Math" w:hAnsi="Cambria Math"/>
                      </w:rPr>
                      <m:t>,</m:t>
                    </m:r>
                    <m:r>
                      <w:rPr>
                        <w:rFonts w:ascii="Cambria Math" w:hAnsi="Cambria Math"/>
                      </w:rPr>
                      <m:t>spec</m:t>
                    </m:r>
                    <m:r>
                      <m:rPr>
                        <m:sty m:val="p"/>
                      </m:rPr>
                      <w:rPr>
                        <w:rFonts w:ascii="Cambria Math" w:hAnsi="Cambria Math"/>
                      </w:rPr>
                      <m:t>.</m:t>
                    </m:r>
                  </m:sub>
                </m:sSub>
              </m:num>
              <m:den>
                <m:sSub>
                  <m:sSubPr>
                    <m:ctrlPr>
                      <w:rPr>
                        <w:rFonts w:ascii="Cambria Math" w:hAnsi="Cambria Math"/>
                      </w:rPr>
                    </m:ctrlPr>
                  </m:sSubPr>
                  <m:e>
                    <m:r>
                      <w:rPr>
                        <w:rFonts w:ascii="Cambria Math" w:hAnsi="Cambria Math"/>
                      </w:rPr>
                      <m:t>n</m:t>
                    </m:r>
                  </m:e>
                  <m:sub>
                    <m:r>
                      <w:rPr>
                        <w:rFonts w:ascii="Cambria Math" w:hAnsi="Cambria Math"/>
                      </w:rPr>
                      <m:t>e</m:t>
                    </m:r>
                    <m:r>
                      <m:rPr>
                        <m:sty m:val="p"/>
                      </m:rPr>
                      <w:rPr>
                        <w:rFonts w:ascii="Cambria Math" w:hAnsi="Cambria Math"/>
                      </w:rPr>
                      <m:t>,</m:t>
                    </m:r>
                    <m:r>
                      <w:rPr>
                        <w:rFonts w:ascii="Cambria Math" w:hAnsi="Cambria Math"/>
                      </w:rPr>
                      <m:t>probe</m:t>
                    </m:r>
                  </m:sub>
                </m:sSub>
              </m:den>
            </m:f>
          </m:e>
        </m:d>
        <m:r>
          <m:rPr>
            <m:sty m:val="p"/>
          </m:rPr>
          <w:rPr>
            <w:rFonts w:ascii="Cambria Math" w:hAnsi="Cambria Math"/>
          </w:rPr>
          <m:t>=2.2±0.</m:t>
        </m:r>
        <m:r>
          <m:rPr>
            <m:sty m:val="p"/>
          </m:rPr>
          <w:rPr>
            <w:rFonts w:ascii="Cambria Math" w:hAnsi="Cambria Math"/>
          </w:rPr>
          <m:t>8</m:t>
        </m:r>
      </m:oMath>
      <w:r w:rsidR="006C6727">
        <w:t xml:space="preserve">, </w:t>
      </w:r>
      <w:r w:rsidR="00EF41A8">
        <w:t>with</w:t>
      </w:r>
      <w:r w:rsidR="006C6727">
        <w:t xml:space="preserve"> the</w:t>
      </w:r>
      <w:r w:rsidR="00B865FD" w:rsidRPr="00B865FD">
        <w:t xml:space="preserve"> error estimated as</w:t>
      </w:r>
      <w:r w:rsidR="00B865FD">
        <w:t xml:space="preserv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e</m:t>
                    </m:r>
                    <m:r>
                      <m:rPr>
                        <m:sty m:val="p"/>
                      </m:rPr>
                      <w:rPr>
                        <w:rFonts w:ascii="Cambria Math" w:hAnsi="Cambria Math"/>
                      </w:rPr>
                      <m:t>,</m:t>
                    </m:r>
                    <m:r>
                      <w:rPr>
                        <w:rFonts w:ascii="Cambria Math" w:hAnsi="Cambria Math"/>
                      </w:rPr>
                      <m:t>spec</m:t>
                    </m:r>
                    <m:r>
                      <m:rPr>
                        <m:sty m:val="p"/>
                      </m:rPr>
                      <w:rPr>
                        <w:rFonts w:ascii="Cambria Math" w:hAnsi="Cambria Math"/>
                      </w:rPr>
                      <m:t>.</m:t>
                    </m:r>
                  </m:sub>
                </m:sSub>
              </m:num>
              <m:den>
                <m:sSub>
                  <m:sSubPr>
                    <m:ctrlPr>
                      <w:rPr>
                        <w:rFonts w:ascii="Cambria Math" w:hAnsi="Cambria Math"/>
                      </w:rPr>
                    </m:ctrlPr>
                  </m:sSubPr>
                  <m:e>
                    <m:r>
                      <w:rPr>
                        <w:rFonts w:ascii="Cambria Math" w:hAnsi="Cambria Math"/>
                      </w:rPr>
                      <m:t>n</m:t>
                    </m:r>
                  </m:e>
                  <m:sub>
                    <m:r>
                      <w:rPr>
                        <w:rFonts w:ascii="Cambria Math" w:hAnsi="Cambria Math"/>
                      </w:rPr>
                      <m:t>e</m:t>
                    </m:r>
                    <m:r>
                      <m:rPr>
                        <m:sty m:val="p"/>
                      </m:rPr>
                      <w:rPr>
                        <w:rFonts w:ascii="Cambria Math" w:hAnsi="Cambria Math"/>
                      </w:rPr>
                      <m:t>,</m:t>
                    </m:r>
                    <m:r>
                      <w:rPr>
                        <w:rFonts w:ascii="Cambria Math" w:hAnsi="Cambria Math"/>
                      </w:rPr>
                      <m:t>probe</m:t>
                    </m:r>
                  </m:sub>
                </m:sSub>
              </m:den>
            </m:f>
          </m:e>
        </m:nary>
      </m:oMath>
      <w:r w:rsidR="00B865FD">
        <w:t>.</w:t>
      </w:r>
    </w:p>
    <w:p w:rsidR="007F7E66" w:rsidRPr="00B865FD" w:rsidRDefault="007F7E66" w:rsidP="00B865FD">
      <w:pPr>
        <w:pStyle w:val="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7F7E66" w:rsidTr="00132183">
        <w:tc>
          <w:tcPr>
            <w:tcW w:w="4428" w:type="dxa"/>
          </w:tcPr>
          <w:p w:rsidR="007F7E66" w:rsidRDefault="007F7E66" w:rsidP="00132183">
            <w:pPr>
              <w:pStyle w:val="text"/>
              <w:ind w:firstLine="0"/>
            </w:pPr>
            <w:r>
              <w:rPr>
                <w:noProof/>
              </w:rPr>
              <w:drawing>
                <wp:inline distT="0" distB="0" distL="0" distR="0" wp14:anchorId="3784B0A7" wp14:editId="7879C68A">
                  <wp:extent cx="2437585" cy="2163503"/>
                  <wp:effectExtent l="0" t="0" r="127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png"/>
                          <pic:cNvPicPr/>
                        </pic:nvPicPr>
                        <pic:blipFill>
                          <a:blip r:embed="rId14">
                            <a:extLst>
                              <a:ext uri="{28A0092B-C50C-407E-A947-70E740481C1C}">
                                <a14:useLocalDpi xmlns:a14="http://schemas.microsoft.com/office/drawing/2010/main" val="0"/>
                              </a:ext>
                            </a:extLst>
                          </a:blip>
                          <a:stretch>
                            <a:fillRect/>
                          </a:stretch>
                        </pic:blipFill>
                        <pic:spPr>
                          <a:xfrm>
                            <a:off x="0" y="0"/>
                            <a:ext cx="2437585" cy="2163503"/>
                          </a:xfrm>
                          <a:prstGeom prst="rect">
                            <a:avLst/>
                          </a:prstGeom>
                        </pic:spPr>
                      </pic:pic>
                    </a:graphicData>
                  </a:graphic>
                </wp:inline>
              </w:drawing>
            </w:r>
          </w:p>
        </w:tc>
        <w:tc>
          <w:tcPr>
            <w:tcW w:w="4428" w:type="dxa"/>
          </w:tcPr>
          <w:p w:rsidR="007F7E66" w:rsidRDefault="007F7E66" w:rsidP="00132183">
            <w:pPr>
              <w:pStyle w:val="text"/>
              <w:ind w:firstLine="0"/>
            </w:pPr>
            <w:r>
              <w:rPr>
                <w:noProof/>
              </w:rPr>
              <w:drawing>
                <wp:inline distT="0" distB="0" distL="0" distR="0" wp14:anchorId="72C28E19" wp14:editId="2CD23990">
                  <wp:extent cx="2450239" cy="2019869"/>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png"/>
                          <pic:cNvPicPr/>
                        </pic:nvPicPr>
                        <pic:blipFill>
                          <a:blip r:embed="rId15">
                            <a:extLst>
                              <a:ext uri="{28A0092B-C50C-407E-A947-70E740481C1C}">
                                <a14:useLocalDpi xmlns:a14="http://schemas.microsoft.com/office/drawing/2010/main" val="0"/>
                              </a:ext>
                            </a:extLst>
                          </a:blip>
                          <a:stretch>
                            <a:fillRect/>
                          </a:stretch>
                        </pic:blipFill>
                        <pic:spPr>
                          <a:xfrm>
                            <a:off x="0" y="0"/>
                            <a:ext cx="2450239" cy="2019869"/>
                          </a:xfrm>
                          <a:prstGeom prst="rect">
                            <a:avLst/>
                          </a:prstGeom>
                        </pic:spPr>
                      </pic:pic>
                    </a:graphicData>
                  </a:graphic>
                </wp:inline>
              </w:drawing>
            </w:r>
          </w:p>
        </w:tc>
      </w:tr>
    </w:tbl>
    <w:p w:rsidR="007F7E66" w:rsidRDefault="007F7E66" w:rsidP="007F7E66">
      <w:pPr>
        <w:pStyle w:val="Heading8"/>
      </w:pPr>
      <w:r>
        <w:t>Figure 7.</w:t>
      </w:r>
      <w:r>
        <w:t>4</w:t>
      </w:r>
      <w:r>
        <w:t xml:space="preserve"> </w:t>
      </w:r>
      <w:proofErr w:type="gramStart"/>
      <w:r>
        <w:t>Best</w:t>
      </w:r>
      <w:proofErr w:type="gramEnd"/>
      <w:r>
        <w:t xml:space="preserve"> fit to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1F7D44">
        <w:t>, with error bars,</w:t>
      </w:r>
      <w:r>
        <w:t xml:space="preserve"> using the spectroscopic measurements</w:t>
      </w:r>
      <w:r w:rsidR="006F5EC4">
        <w:t>,</w:t>
      </w:r>
      <w:r>
        <w:t xml:space="preserve"> </w:t>
      </w:r>
      <w:r>
        <w:t xml:space="preserve">compared to </w:t>
      </w:r>
      <w:r w:rsidR="006F5EC4">
        <w:t xml:space="preserve">probe measurements provided by </w:t>
      </w:r>
      <w:proofErr w:type="spellStart"/>
      <w:r w:rsidR="006F5EC4">
        <w:t>Dr</w:t>
      </w:r>
      <w:proofErr w:type="spellEnd"/>
      <w:r w:rsidR="006F5EC4">
        <w:t xml:space="preserve">, K. Gentle from </w:t>
      </w:r>
      <w:r w:rsidR="005703D9">
        <w:t xml:space="preserve">a </w:t>
      </w:r>
      <w:r w:rsidR="006F5EC4">
        <w:t>shot with same control parameters.</w:t>
      </w:r>
    </w:p>
    <w:p w:rsidR="00B865FD" w:rsidRDefault="00B865FD" w:rsidP="005F2CF1">
      <w:pPr>
        <w:pStyle w:val="Heading3"/>
      </w:pPr>
    </w:p>
    <w:p w:rsidR="00D010A4" w:rsidRDefault="005F2CF1" w:rsidP="005F2CF1">
      <w:pPr>
        <w:pStyle w:val="Heading3"/>
      </w:pPr>
      <w:r>
        <w:t xml:space="preserve">7.2 </w:t>
      </w:r>
      <w:r w:rsidR="006B563E">
        <w:t>Electron Density Limit</w:t>
      </w:r>
    </w:p>
    <w:p w:rsidR="005F2CF1" w:rsidRDefault="005F2CF1" w:rsidP="005F2CF1">
      <w:pPr>
        <w:pStyle w:val="text"/>
        <w:ind w:firstLine="0"/>
      </w:pPr>
      <w:r>
        <w:tab/>
        <w:t xml:space="preserve">Since the </w:t>
      </w:r>
      <w:r w:rsidR="00D72D01">
        <w:t>electron</w:t>
      </w:r>
      <w:r>
        <w:t xml:space="preserve"> density found by the spectroscopic method appears to be much higher</w:t>
      </w:r>
      <w:r w:rsidR="00D72D01">
        <w:t xml:space="preserve"> than from probe measurements</w:t>
      </w:r>
      <w:r>
        <w:t xml:space="preserve">, there should be some sanity check to make sure </w:t>
      </w:r>
      <w:r w:rsidR="008D2119">
        <w:t>a higher</w:t>
      </w:r>
      <w:r>
        <w:t xml:space="preserve"> value is reasonable.</w:t>
      </w:r>
      <w:r w:rsidR="008D2119">
        <w:t xml:space="preserve"> There are several absolute limits placed on the electron density. One is the cutoff frequency of the plasma, which would reflect RF power from the plasma and prevent it from heating. For an RF frequency of 2.45GHz, the </w:t>
      </w:r>
      <w:proofErr w:type="gramStart"/>
      <w:r w:rsidR="00264328">
        <w:t xml:space="preserve">critical </w:t>
      </w:r>
      <w:proofErr w:type="gramEnd"/>
      <m:oMath>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p>
              <m:sSupPr>
                <m:ctrlPr>
                  <w:rPr>
                    <w:rFonts w:ascii="Cambria Math" w:hAnsi="Cambria Math"/>
                    <w:i/>
                  </w:rPr>
                </m:ctrlPr>
              </m:sSupPr>
              <m:e>
                <m:r>
                  <w:rPr>
                    <w:rFonts w:ascii="Cambria Math" w:hAnsi="Cambria Math"/>
                  </w:rPr>
                  <m:t>e</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RF</m:t>
                    </m:r>
                  </m:sub>
                </m:sSub>
              </m:e>
            </m:d>
          </m:e>
          <m:sup>
            <m:r>
              <w:rPr>
                <w:rFonts w:ascii="Cambria Math" w:hAnsi="Cambria Math"/>
              </w:rPr>
              <m:t>2</m:t>
            </m:r>
          </m:sup>
        </m:sSup>
        <m:r>
          <w:rPr>
            <w:rFonts w:ascii="Cambria Math" w:hAnsi="Cambria Math"/>
          </w:rPr>
          <m:t xml:space="preserve">=7.5E16 </m:t>
        </m:r>
        <m:sSup>
          <m:sSupPr>
            <m:ctrlPr>
              <w:rPr>
                <w:rFonts w:ascii="Cambria Math" w:hAnsi="Cambria Math"/>
                <w:i/>
              </w:rPr>
            </m:ctrlPr>
          </m:sSupPr>
          <m:e>
            <m:r>
              <w:rPr>
                <w:rFonts w:ascii="Cambria Math" w:hAnsi="Cambria Math"/>
              </w:rPr>
              <m:t>m</m:t>
            </m:r>
          </m:e>
          <m:sup>
            <m:r>
              <w:rPr>
                <w:rFonts w:ascii="Cambria Math" w:hAnsi="Cambria Math"/>
              </w:rPr>
              <m:t>-3</m:t>
            </m:r>
          </m:sup>
        </m:sSup>
      </m:oMath>
      <w:r w:rsidR="008A6F09">
        <w:t>, which is still above the measured value.</w:t>
      </w:r>
    </w:p>
    <w:p w:rsidR="008A6F09" w:rsidRDefault="008A6F09" w:rsidP="005F2CF1">
      <w:pPr>
        <w:pStyle w:val="text"/>
        <w:ind w:firstLine="0"/>
      </w:pPr>
      <w:r>
        <w:tab/>
      </w:r>
      <w:r w:rsidR="006D59A2">
        <w:t xml:space="preserve">The </w:t>
      </w:r>
      <w:r w:rsidR="00597CFA">
        <w:t xml:space="preserve">other </w:t>
      </w:r>
      <w:r w:rsidR="006D59A2">
        <w:t>limit on the electron density</w:t>
      </w:r>
      <w:r>
        <w:t xml:space="preserve"> is the total input RF power, which for this series of shots is 6kW.</w:t>
      </w:r>
      <w:r w:rsidR="006D59A2">
        <w:t xml:space="preserve"> </w:t>
      </w:r>
      <w:r w:rsidR="00597CFA">
        <w:t xml:space="preserve">The major power loss mechanisms are the ionization of neutrals, </w:t>
      </w:r>
      <w:r w:rsidR="00597CFA">
        <w:lastRenderedPageBreak/>
        <w:t>line emission radiation, and the thermal energy through lost particles exiting the plasma.</w:t>
      </w:r>
      <w:r w:rsidR="00FA3E7D">
        <w:t xml:space="preserve"> Luckily, a byproduct of the kinetic model of chapter 5 is that it computes the total ionizations per second within the Helimak, which gives the total ionization power by multiplying by the ionization energy.</w:t>
      </w:r>
      <w:r w:rsidR="00EC29B2">
        <w:t xml:space="preserve"> Thermal losses are estimated by again using the total ionization rate to define an effective confinement time of the ions.</w:t>
      </w:r>
      <w:r w:rsidR="00FA3E7D">
        <w:t xml:space="preserve"> </w:t>
      </w:r>
      <w:r w:rsidR="00EC29B2">
        <w:t>Total l</w:t>
      </w:r>
      <w:r w:rsidR="00FA3E7D">
        <w:t>ine emission radiation power is calculated using data from Fournier et al</w:t>
      </w:r>
      <w:proofErr w:type="gramStart"/>
      <w:r w:rsidR="00FA3E7D">
        <w:t>.</w:t>
      </w:r>
      <w:r w:rsidR="00FA3E7D" w:rsidRPr="00FA3E7D">
        <w:rPr>
          <w:vertAlign w:val="superscript"/>
        </w:rPr>
        <w:t>[</w:t>
      </w:r>
      <w:proofErr w:type="gramEnd"/>
      <w:r w:rsidR="00FA3E7D" w:rsidRPr="00FA3E7D">
        <w:rPr>
          <w:vertAlign w:val="superscript"/>
        </w:rPr>
        <w:t>14]</w:t>
      </w:r>
      <w:r w:rsidR="00FA3E7D">
        <w:t>.</w:t>
      </w:r>
      <w:r w:rsidR="00212766">
        <w:t xml:space="preserve"> </w:t>
      </w:r>
    </w:p>
    <w:p w:rsidR="00B73800" w:rsidRDefault="00B73800" w:rsidP="005F2CF1">
      <w:pPr>
        <w:pStyle w:val="text"/>
        <w:ind w:firstLine="0"/>
      </w:pPr>
      <w:r>
        <w:tab/>
        <w:t xml:space="preserve">The average ionization rate computed from the kinetic model at the 8.3eV level </w:t>
      </w:r>
      <w:proofErr w:type="gramStart"/>
      <w:r>
        <w:t xml:space="preserve">was </w:t>
      </w:r>
      <w:proofErr w:type="gramEnd"/>
      <m:oMath>
        <m:sSub>
          <m:sSubPr>
            <m:ctrlPr>
              <w:rPr>
                <w:rFonts w:ascii="Cambria Math" w:hAnsi="Cambria Math"/>
                <w:i/>
              </w:rPr>
            </m:ctrlPr>
          </m:sSubPr>
          <m:e>
            <m:r>
              <w:rPr>
                <w:rFonts w:ascii="Cambria Math" w:hAnsi="Cambria Math"/>
              </w:rPr>
              <m:t>R</m:t>
            </m:r>
          </m:e>
          <m:sub>
            <m:r>
              <w:rPr>
                <w:rFonts w:ascii="Cambria Math" w:hAnsi="Cambria Math"/>
              </w:rPr>
              <m:t>ion</m:t>
            </m:r>
          </m:sub>
        </m:sSub>
        <m:r>
          <w:rPr>
            <w:rFonts w:ascii="Cambria Math" w:hAnsi="Cambria Math"/>
          </w:rPr>
          <m:t>=129</m:t>
        </m:r>
        <m:sSup>
          <m:sSupPr>
            <m:ctrlPr>
              <w:rPr>
                <w:rFonts w:ascii="Cambria Math" w:hAnsi="Cambria Math"/>
                <w:i/>
              </w:rPr>
            </m:ctrlPr>
          </m:sSupPr>
          <m:e>
            <m:r>
              <w:rPr>
                <w:rFonts w:ascii="Cambria Math" w:hAnsi="Cambria Math"/>
              </w:rPr>
              <m:t xml:space="preserve"> s</m:t>
            </m:r>
          </m:e>
          <m:sup>
            <m:r>
              <w:rPr>
                <w:rFonts w:ascii="Cambria Math" w:hAnsi="Cambria Math"/>
              </w:rPr>
              <m:t>-1</m:t>
            </m:r>
          </m:sup>
        </m:sSup>
      </m:oMath>
      <w:r>
        <w:t xml:space="preserve">. Multiplying by the neutral density and volume of the plasma gives the total ionizations per second. </w:t>
      </w:r>
      <w:proofErr w:type="gramStart"/>
      <w:r>
        <w:t xml:space="preserve">With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ArI</m:t>
                </m:r>
              </m:sub>
            </m:sSub>
          </m:e>
        </m:d>
        <m:r>
          <w:rPr>
            <w:rFonts w:ascii="Cambria Math" w:hAnsi="Cambria Math"/>
          </w:rPr>
          <m:t xml:space="preserve">=0.91×3.5E17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=3.18E17</m:t>
        </m:r>
        <m:sSup>
          <m:sSupPr>
            <m:ctrlPr>
              <w:rPr>
                <w:rFonts w:ascii="Cambria Math" w:hAnsi="Cambria Math"/>
                <w:i/>
              </w:rPr>
            </m:ctrlPr>
          </m:sSupPr>
          <m:e>
            <m:r>
              <w:rPr>
                <w:rFonts w:ascii="Cambria Math" w:hAnsi="Cambria Math"/>
              </w:rPr>
              <m:t xml:space="preserve"> m</m:t>
            </m:r>
          </m:e>
          <m:sup>
            <m:r>
              <w:rPr>
                <w:rFonts w:ascii="Cambria Math" w:hAnsi="Cambria Math"/>
              </w:rPr>
              <m:t>-3</m:t>
            </m:r>
          </m:sup>
        </m:sSup>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plasma</m:t>
            </m:r>
          </m:sub>
        </m:sSub>
        <m:r>
          <w:rPr>
            <w:rFonts w:ascii="Cambria Math" w:hAnsi="Cambria Math"/>
          </w:rPr>
          <m:t>=12</m:t>
        </m:r>
        <m:sSup>
          <m:sSupPr>
            <m:ctrlPr>
              <w:rPr>
                <w:rFonts w:ascii="Cambria Math" w:hAnsi="Cambria Math"/>
                <w:i/>
              </w:rPr>
            </m:ctrlPr>
          </m:sSupPr>
          <m:e>
            <m:r>
              <w:rPr>
                <w:rFonts w:ascii="Cambria Math" w:hAnsi="Cambria Math"/>
              </w:rPr>
              <m:t xml:space="preserve"> m</m:t>
            </m:r>
          </m:e>
          <m:sup>
            <m:r>
              <w:rPr>
                <w:rFonts w:ascii="Cambria Math" w:hAnsi="Cambria Math"/>
              </w:rPr>
              <m:t>3</m:t>
            </m:r>
          </m:sup>
        </m:sSup>
      </m:oMath>
      <w:r>
        <w:t xml:space="preserve">, this gives </w:t>
      </w:r>
      <m:oMath>
        <m:sSub>
          <m:sSubPr>
            <m:ctrlPr>
              <w:rPr>
                <w:rFonts w:ascii="Cambria Math" w:hAnsi="Cambria Math"/>
                <w:i/>
              </w:rPr>
            </m:ctrlPr>
          </m:sSubPr>
          <m:e>
            <m:r>
              <w:rPr>
                <w:rFonts w:ascii="Cambria Math" w:hAnsi="Cambria Math"/>
              </w:rPr>
              <m:t>R</m:t>
            </m:r>
          </m:e>
          <m:sub>
            <m:r>
              <w:rPr>
                <w:rFonts w:ascii="Cambria Math" w:hAnsi="Cambria Math"/>
              </w:rPr>
              <m:t>ion</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ArI</m:t>
                </m:r>
              </m:sub>
            </m:sSub>
          </m:e>
        </m:d>
        <m:sSub>
          <m:sSubPr>
            <m:ctrlPr>
              <w:rPr>
                <w:rFonts w:ascii="Cambria Math" w:hAnsi="Cambria Math"/>
                <w:i/>
              </w:rPr>
            </m:ctrlPr>
          </m:sSubPr>
          <m:e>
            <m:r>
              <w:rPr>
                <w:rFonts w:ascii="Cambria Math" w:hAnsi="Cambria Math"/>
              </w:rPr>
              <m:t>V</m:t>
            </m:r>
          </m:e>
          <m:sub>
            <m:r>
              <w:rPr>
                <w:rFonts w:ascii="Cambria Math" w:hAnsi="Cambria Math"/>
              </w:rPr>
              <m:t>plasma</m:t>
            </m:r>
          </m:sub>
        </m:sSub>
        <m:r>
          <w:rPr>
            <w:rFonts w:ascii="Cambria Math" w:hAnsi="Cambria Math"/>
          </w:rPr>
          <m:t>=4.9E20</m:t>
        </m:r>
        <m:sSup>
          <m:sSupPr>
            <m:ctrlPr>
              <w:rPr>
                <w:rFonts w:ascii="Cambria Math" w:hAnsi="Cambria Math"/>
                <w:i/>
              </w:rPr>
            </m:ctrlPr>
          </m:sSupPr>
          <m:e>
            <m:r>
              <w:rPr>
                <w:rFonts w:ascii="Cambria Math" w:hAnsi="Cambria Math"/>
              </w:rPr>
              <m:t xml:space="preserve"> s</m:t>
            </m:r>
          </m:e>
          <m:sup>
            <m:r>
              <w:rPr>
                <w:rFonts w:ascii="Cambria Math" w:hAnsi="Cambria Math"/>
              </w:rPr>
              <m:t>-1</m:t>
            </m:r>
          </m:sup>
        </m:sSup>
      </m:oMath>
      <w:r>
        <w:t xml:space="preserve">. With </w:t>
      </w:r>
      <w:proofErr w:type="gramStart"/>
      <w:r>
        <w:t>an ArI</w:t>
      </w:r>
      <w:proofErr w:type="gramEnd"/>
      <w:r>
        <w:t xml:space="preserve"> ionization e</w:t>
      </w:r>
      <w:proofErr w:type="spellStart"/>
      <w:r>
        <w:t>nergy</w:t>
      </w:r>
      <w:proofErr w:type="spellEnd"/>
      <w:r>
        <w:t xml:space="preserve"> of 15.8eV, this would give a total ionization power of 1.24kW.</w:t>
      </w:r>
    </w:p>
    <w:p w:rsidR="00895DF4" w:rsidRDefault="00895DF4" w:rsidP="005F2CF1">
      <w:pPr>
        <w:pStyle w:val="text"/>
        <w:ind w:firstLine="0"/>
      </w:pPr>
      <w:r>
        <w:tab/>
        <w:t>The thermal power loss can be defined by summing the total rate of ion loss at each radius times the average thermal energy per electron</w:t>
      </w:r>
      <w:r w:rsidR="00A21865">
        <w:t>, since</w:t>
      </w:r>
      <w:r w:rsidR="00270344">
        <w:t xml:space="preserve"> the</w:t>
      </w:r>
      <w:r w:rsidR="00A21865">
        <w:t xml:space="preserve"> ions are assumed to be cold</w:t>
      </w:r>
      <w:r>
        <w:t xml:space="preserve">. Using the fitting functions and the solution to the neutral profile, at each radius this gives a power loss </w:t>
      </w:r>
      <w:proofErr w:type="gramStart"/>
      <w:r>
        <w:t xml:space="preserve">of </w:t>
      </w:r>
      <w:proofErr w:type="gramEnd"/>
      <m:oMath>
        <m:r>
          <w:rPr>
            <w:rFonts w:ascii="Cambria Math" w:hAnsi="Cambria Math"/>
          </w:rPr>
          <m:t>dP=</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2πrh</m:t>
        </m:r>
        <m:sSub>
          <m:sSubPr>
            <m:ctrlPr>
              <w:rPr>
                <w:rFonts w:ascii="Cambria Math" w:hAnsi="Cambria Math"/>
                <w:i/>
              </w:rPr>
            </m:ctrlPr>
          </m:sSubPr>
          <m:e>
            <m:r>
              <w:rPr>
                <w:rFonts w:ascii="Cambria Math" w:hAnsi="Cambria Math"/>
              </w:rPr>
              <m:t xml:space="preserve"> R</m:t>
            </m:r>
          </m:e>
          <m:sub>
            <m:r>
              <w:rPr>
                <w:rFonts w:ascii="Cambria Math" w:hAnsi="Cambria Math"/>
              </w:rPr>
              <m:t>ion</m:t>
            </m:r>
          </m:sub>
        </m:sSub>
        <m:sSub>
          <m:sSubPr>
            <m:ctrlPr>
              <w:rPr>
                <w:rFonts w:ascii="Cambria Math" w:hAnsi="Cambria Math"/>
                <w:i/>
              </w:rPr>
            </m:ctrlPr>
          </m:sSubPr>
          <m:e>
            <m:r>
              <w:rPr>
                <w:rFonts w:ascii="Cambria Math" w:hAnsi="Cambria Math"/>
              </w:rPr>
              <m:t>n</m:t>
            </m:r>
          </m:e>
          <m:sub>
            <m:r>
              <w:rPr>
                <w:rFonts w:ascii="Cambria Math" w:hAnsi="Cambria Math"/>
              </w:rPr>
              <m:t>ArI</m:t>
            </m:r>
          </m:sub>
        </m:sSub>
        <m:r>
          <w:rPr>
            <w:rFonts w:ascii="Cambria Math" w:hAnsi="Cambria Math"/>
          </w:rPr>
          <m:t>dr</m:t>
        </m:r>
      </m:oMath>
      <w:r>
        <w:t xml:space="preserve">. </w:t>
      </w:r>
      <w:r w:rsidR="005E28B8">
        <w:t xml:space="preserve">Summing over all radii gives total thermal power </w:t>
      </w:r>
      <w:proofErr w:type="gramStart"/>
      <w:r w:rsidR="005E28B8">
        <w:t xml:space="preserve">of </w:t>
      </w:r>
      <w:proofErr w:type="gramEnd"/>
      <m:oMath>
        <m:r>
          <w:rPr>
            <w:rFonts w:ascii="Cambria Math" w:hAnsi="Cambria Math"/>
          </w:rPr>
          <m:t>~840W</m:t>
        </m:r>
      </m:oMath>
      <w:r w:rsidR="005E28B8">
        <w:t>.</w:t>
      </w:r>
    </w:p>
    <w:p w:rsidR="007F4146" w:rsidRDefault="006A36FB" w:rsidP="005F2CF1">
      <w:pPr>
        <w:pStyle w:val="text"/>
        <w:ind w:firstLine="0"/>
      </w:pPr>
      <w:r>
        <w:tab/>
      </w:r>
      <w:r w:rsidR="00321867">
        <w:t>Finally, the line radiation power density was taken from ref. [14], which gives the radiative cooling per neutral density, per electron density as a function of temperature.</w:t>
      </w:r>
      <w:r w:rsidR="00624C69">
        <w:t xml:space="preserve"> </w:t>
      </w:r>
      <w:r w:rsidR="007F4146">
        <w:t>It is given by fitting function</w:t>
      </w:r>
      <w:r w:rsidR="00CC7F98">
        <w:t xml:space="preserve"> eq. 7.1, and the </w:t>
      </w:r>
      <w:r w:rsidR="00726BEA">
        <w:t xml:space="preserve">fitting coefficients were used for the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726BEA">
        <w:t xml:space="preserve"> range of 2-20eV and are replicated in ta</w:t>
      </w:r>
      <w:proofErr w:type="spellStart"/>
      <w:r w:rsidR="00726BEA">
        <w:t>ble</w:t>
      </w:r>
      <w:proofErr w:type="spellEnd"/>
      <w:r w:rsidR="00726BEA">
        <w:t xml:space="preserve"> 7.1. Summing over all radii gives a total radiative power of 2.</w:t>
      </w:r>
      <w:r w:rsidR="00E7405B">
        <w:t>5</w:t>
      </w:r>
      <w:r w:rsidR="00726BEA">
        <w:t>kW.</w:t>
      </w:r>
    </w:p>
    <w:p w:rsidR="007F4146" w:rsidRDefault="007F4146" w:rsidP="00715120"/>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8"/>
        <w:gridCol w:w="6179"/>
        <w:gridCol w:w="1369"/>
      </w:tblGrid>
      <w:tr w:rsidR="007F4146" w:rsidTr="001C2474">
        <w:tc>
          <w:tcPr>
            <w:tcW w:w="750" w:type="pct"/>
          </w:tcPr>
          <w:p w:rsidR="007F4146" w:rsidRDefault="007F4146"/>
        </w:tc>
        <w:tc>
          <w:tcPr>
            <w:tcW w:w="3500" w:type="pct"/>
          </w:tcPr>
          <w:p w:rsidR="007F4146" w:rsidRDefault="007F4146" w:rsidP="007F4146">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5</m:t>
                    </m:r>
                  </m:sup>
                  <m:e>
                    <m:sSub>
                      <m:sSubPr>
                        <m:ctrlPr>
                          <w:rPr>
                            <w:rFonts w:ascii="Cambria Math" w:hAnsi="Cambria Math"/>
                            <w:i/>
                          </w:rPr>
                        </m:ctrlPr>
                      </m:sSubPr>
                      <m:e>
                        <m:r>
                          <w:rPr>
                            <w:rFonts w:ascii="Cambria Math" w:hAnsi="Cambria Math"/>
                          </w:rPr>
                          <m:t>M</m:t>
                        </m:r>
                      </m:e>
                      <m:sub>
                        <m:r>
                          <w:rPr>
                            <w:rFonts w:ascii="Cambria Math" w:hAnsi="Cambria Math"/>
                          </w:rPr>
                          <m:t>i</m:t>
                        </m:r>
                      </m:sub>
                    </m:sSub>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i</m:t>
                        </m:r>
                      </m:sup>
                    </m:sSubSup>
                  </m:e>
                </m:nary>
              </m:oMath>
            </m:oMathPara>
          </w:p>
        </w:tc>
        <w:tc>
          <w:tcPr>
            <w:tcW w:w="750" w:type="pct"/>
            <w:vAlign w:val="center"/>
          </w:tcPr>
          <w:p w:rsidR="007F4146" w:rsidRPr="007F4146" w:rsidRDefault="007F4146" w:rsidP="007F4146">
            <w:pPr>
              <w:pStyle w:val="ListParagraph"/>
              <w:numPr>
                <w:ilvl w:val="0"/>
                <w:numId w:val="3"/>
              </w:numPr>
              <w:spacing w:after="0" w:line="240" w:lineRule="auto"/>
              <w:rPr>
                <w:vanish/>
              </w:rPr>
            </w:pPr>
          </w:p>
          <w:p w:rsidR="007F4146" w:rsidRPr="007F4146" w:rsidRDefault="007F4146" w:rsidP="007F4146">
            <w:pPr>
              <w:pStyle w:val="ListParagraph"/>
              <w:numPr>
                <w:ilvl w:val="0"/>
                <w:numId w:val="3"/>
              </w:numPr>
              <w:spacing w:after="0" w:line="240" w:lineRule="auto"/>
              <w:rPr>
                <w:vanish/>
              </w:rPr>
            </w:pPr>
          </w:p>
          <w:p w:rsidR="007F4146" w:rsidRPr="007F4146" w:rsidRDefault="007F4146" w:rsidP="007F4146">
            <w:pPr>
              <w:pStyle w:val="ListParagraph"/>
              <w:numPr>
                <w:ilvl w:val="0"/>
                <w:numId w:val="3"/>
              </w:numPr>
              <w:spacing w:after="0" w:line="240" w:lineRule="auto"/>
              <w:rPr>
                <w:vanish/>
              </w:rPr>
            </w:pPr>
          </w:p>
          <w:p w:rsidR="007F4146" w:rsidRPr="007F4146" w:rsidRDefault="007F4146" w:rsidP="007F4146">
            <w:pPr>
              <w:pStyle w:val="ListParagraph"/>
              <w:numPr>
                <w:ilvl w:val="0"/>
                <w:numId w:val="3"/>
              </w:numPr>
              <w:spacing w:after="0" w:line="240" w:lineRule="auto"/>
              <w:rPr>
                <w:vanish/>
              </w:rPr>
            </w:pPr>
          </w:p>
          <w:p w:rsidR="007F4146" w:rsidRPr="007F4146" w:rsidRDefault="007F4146" w:rsidP="007F4146">
            <w:pPr>
              <w:pStyle w:val="ListParagraph"/>
              <w:numPr>
                <w:ilvl w:val="0"/>
                <w:numId w:val="3"/>
              </w:numPr>
              <w:spacing w:after="0" w:line="240" w:lineRule="auto"/>
              <w:rPr>
                <w:vanish/>
              </w:rPr>
            </w:pPr>
          </w:p>
          <w:p w:rsidR="007F4146" w:rsidRPr="007F4146" w:rsidRDefault="007F4146" w:rsidP="007F4146">
            <w:pPr>
              <w:pStyle w:val="ListParagraph"/>
              <w:numPr>
                <w:ilvl w:val="0"/>
                <w:numId w:val="3"/>
              </w:numPr>
              <w:spacing w:after="0" w:line="240" w:lineRule="auto"/>
              <w:rPr>
                <w:vanish/>
              </w:rPr>
            </w:pPr>
          </w:p>
          <w:p w:rsidR="007F4146" w:rsidRPr="007F4146" w:rsidRDefault="007F4146" w:rsidP="007F4146">
            <w:pPr>
              <w:pStyle w:val="ListParagraph"/>
              <w:numPr>
                <w:ilvl w:val="0"/>
                <w:numId w:val="3"/>
              </w:numPr>
              <w:spacing w:after="0" w:line="240" w:lineRule="auto"/>
              <w:rPr>
                <w:vanish/>
              </w:rPr>
            </w:pPr>
          </w:p>
          <w:p w:rsidR="007F4146" w:rsidRDefault="007F4146" w:rsidP="007F4146">
            <w:pPr>
              <w:pStyle w:val="ListParagraph"/>
              <w:numPr>
                <w:ilvl w:val="1"/>
                <w:numId w:val="3"/>
              </w:numPr>
              <w:spacing w:after="0" w:line="240" w:lineRule="auto"/>
            </w:pPr>
          </w:p>
        </w:tc>
      </w:tr>
    </w:tbl>
    <w:p w:rsidR="007F4146" w:rsidRDefault="001C2474" w:rsidP="00726BEA">
      <w:r>
        <w:tab/>
      </w:r>
      <w:r>
        <w:tab/>
      </w:r>
      <w:r>
        <w:tab/>
      </w:r>
      <w:r>
        <w:tab/>
      </w:r>
      <m:oMath>
        <m:r>
          <w:rPr>
            <w:rFonts w:ascii="Cambria Math" w:hAnsi="Cambria Math"/>
          </w:rPr>
          <m:t>L</m:t>
        </m:r>
      </m:oMath>
      <w:r>
        <w:t xml:space="preserve"> </w:t>
      </w:r>
      <w:proofErr w:type="gramStart"/>
      <w:r>
        <w:t>in</w:t>
      </w:r>
      <w:proofErr w:type="gramEnd"/>
      <w:r>
        <w:t xml:space="preserve"> [</w:t>
      </w:r>
      <m:oMath>
        <m:r>
          <w:rPr>
            <w:rFonts w:ascii="Cambria Math" w:hAnsi="Cambria Math"/>
          </w:rPr>
          <m:t xml:space="preserve">erg </m:t>
        </m:r>
        <m:sSup>
          <m:sSupPr>
            <m:ctrlPr>
              <w:rPr>
                <w:rFonts w:ascii="Cambria Math" w:hAnsi="Cambria Math"/>
                <w:i/>
              </w:rPr>
            </m:ctrlPr>
          </m:sSupPr>
          <m:e>
            <m:r>
              <w:rPr>
                <w:rFonts w:ascii="Cambria Math" w:hAnsi="Cambria Math"/>
              </w:rPr>
              <m:t>cm</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-1</m:t>
            </m:r>
          </m:sup>
        </m:sSup>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t xml:space="preserve"> in [</w:t>
      </w:r>
      <m:oMath>
        <m:r>
          <w:rPr>
            <w:rFonts w:ascii="Cambria Math" w:hAnsi="Cambria Math"/>
          </w:rPr>
          <m:t>keV</m:t>
        </m:r>
      </m:oMath>
      <w:r>
        <w:t>]</w:t>
      </w:r>
    </w:p>
    <w:p w:rsidR="001C2474" w:rsidRDefault="001C2474" w:rsidP="00726BEA"/>
    <w:tbl>
      <w:tblPr>
        <w:tblStyle w:val="MediumShading1-Accent1"/>
        <w:tblW w:w="0" w:type="auto"/>
        <w:tblInd w:w="2880" w:type="dxa"/>
        <w:tblLook w:val="04A0" w:firstRow="1" w:lastRow="0" w:firstColumn="1" w:lastColumn="0" w:noHBand="0" w:noVBand="1"/>
      </w:tblPr>
      <w:tblGrid>
        <w:gridCol w:w="810"/>
        <w:gridCol w:w="2250"/>
      </w:tblGrid>
      <w:tr w:rsidR="00837F2B" w:rsidTr="00837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837F2B" w:rsidRPr="00840886" w:rsidRDefault="00837F2B" w:rsidP="007F4146">
            <w:pPr>
              <w:pStyle w:val="text"/>
              <w:ind w:firstLine="0"/>
            </w:pPr>
          </w:p>
        </w:tc>
        <w:tc>
          <w:tcPr>
            <w:tcW w:w="2250" w:type="dxa"/>
          </w:tcPr>
          <w:p w:rsidR="00837F2B" w:rsidRPr="00837F2B" w:rsidRDefault="00837F2B" w:rsidP="00837F2B">
            <w:pPr>
              <w:pStyle w:val="text"/>
              <w:ind w:firstLine="0"/>
              <w:jc w:val="center"/>
              <w:cnfStyle w:val="100000000000" w:firstRow="1" w:lastRow="0" w:firstColumn="0" w:lastColumn="0" w:oddVBand="0" w:evenVBand="0" w:oddHBand="0" w:evenHBand="0" w:firstRowFirstColumn="0" w:firstRowLastColumn="0" w:lastRowFirstColumn="0" w:lastRowLastColumn="0"/>
            </w:pPr>
            <w:r>
              <w:t>Fitting Parameter</w:t>
            </w:r>
          </w:p>
        </w:tc>
      </w:tr>
      <w:tr w:rsidR="007F4146" w:rsidTr="00837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7F4146" w:rsidRDefault="00F72AD3" w:rsidP="007F4146">
            <w:pPr>
              <w:pStyle w:val="text"/>
              <w:ind w:firstLine="0"/>
            </w:pPr>
            <m:oMathPara>
              <m:oMath>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0</m:t>
                    </m:r>
                  </m:sub>
                </m:sSub>
              </m:oMath>
            </m:oMathPara>
          </w:p>
        </w:tc>
        <w:tc>
          <w:tcPr>
            <w:tcW w:w="2250" w:type="dxa"/>
          </w:tcPr>
          <w:p w:rsidR="007F4146" w:rsidRDefault="00837F2B" w:rsidP="00837F2B">
            <w:pPr>
              <w:pStyle w:val="text"/>
              <w:ind w:firstLine="0"/>
              <w:jc w:val="center"/>
              <w:cnfStyle w:val="000000100000" w:firstRow="0" w:lastRow="0" w:firstColumn="0" w:lastColumn="0" w:oddVBand="0" w:evenVBand="0" w:oddHBand="1" w:evenHBand="0" w:firstRowFirstColumn="0" w:firstRowLastColumn="0" w:lastRowFirstColumn="0" w:lastRowLastColumn="0"/>
            </w:pPr>
            <w:r w:rsidRPr="00837F2B">
              <w:t>-3.7573E-20</w:t>
            </w:r>
          </w:p>
        </w:tc>
      </w:tr>
      <w:tr w:rsidR="007F4146" w:rsidTr="00837F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7F4146" w:rsidRDefault="00F72AD3" w:rsidP="007F4146">
            <w:pPr>
              <w:pStyle w:val="text"/>
              <w:ind w:firstLine="0"/>
            </w:pPr>
            <m:oMathPara>
              <m:oMath>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1</m:t>
                    </m:r>
                  </m:sub>
                </m:sSub>
              </m:oMath>
            </m:oMathPara>
          </w:p>
        </w:tc>
        <w:tc>
          <w:tcPr>
            <w:tcW w:w="2250" w:type="dxa"/>
          </w:tcPr>
          <w:p w:rsidR="007F4146" w:rsidRDefault="00837F2B" w:rsidP="00837F2B">
            <w:pPr>
              <w:pStyle w:val="text"/>
              <w:ind w:firstLine="0"/>
              <w:jc w:val="center"/>
              <w:cnfStyle w:val="000000010000" w:firstRow="0" w:lastRow="0" w:firstColumn="0" w:lastColumn="0" w:oddVBand="0" w:evenVBand="0" w:oddHBand="0" w:evenHBand="1" w:firstRowFirstColumn="0" w:firstRowLastColumn="0" w:lastRowFirstColumn="0" w:lastRowLastColumn="0"/>
            </w:pPr>
            <w:r w:rsidRPr="00837F2B">
              <w:t>2.8398E-17</w:t>
            </w:r>
          </w:p>
        </w:tc>
      </w:tr>
      <w:tr w:rsidR="007F4146" w:rsidTr="00837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7F4146" w:rsidRDefault="00F72AD3" w:rsidP="007F4146">
            <w:pPr>
              <w:pStyle w:val="text"/>
              <w:ind w:firstLine="0"/>
            </w:pPr>
            <m:oMathPara>
              <m:oMath>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2</m:t>
                    </m:r>
                  </m:sub>
                </m:sSub>
              </m:oMath>
            </m:oMathPara>
          </w:p>
        </w:tc>
        <w:tc>
          <w:tcPr>
            <w:tcW w:w="2250" w:type="dxa"/>
          </w:tcPr>
          <w:p w:rsidR="007F4146" w:rsidRDefault="00837F2B" w:rsidP="00837F2B">
            <w:pPr>
              <w:pStyle w:val="text"/>
              <w:ind w:firstLine="0"/>
              <w:jc w:val="center"/>
              <w:cnfStyle w:val="000000100000" w:firstRow="0" w:lastRow="0" w:firstColumn="0" w:lastColumn="0" w:oddVBand="0" w:evenVBand="0" w:oddHBand="1" w:evenHBand="0" w:firstRowFirstColumn="0" w:firstRowLastColumn="0" w:lastRowFirstColumn="0" w:lastRowLastColumn="0"/>
            </w:pPr>
            <w:r w:rsidRPr="00837F2B">
              <w:t>-7.4088E-15</w:t>
            </w:r>
          </w:p>
        </w:tc>
      </w:tr>
      <w:tr w:rsidR="007F4146" w:rsidTr="00837F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7F4146" w:rsidRDefault="00F72AD3" w:rsidP="007F4146">
            <w:pPr>
              <w:pStyle w:val="text"/>
              <w:ind w:firstLine="0"/>
            </w:pPr>
            <m:oMathPara>
              <m:oMath>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3</m:t>
                    </m:r>
                  </m:sub>
                </m:sSub>
              </m:oMath>
            </m:oMathPara>
          </w:p>
        </w:tc>
        <w:tc>
          <w:tcPr>
            <w:tcW w:w="2250" w:type="dxa"/>
          </w:tcPr>
          <w:p w:rsidR="007F4146" w:rsidRDefault="00837F2B" w:rsidP="00837F2B">
            <w:pPr>
              <w:pStyle w:val="text"/>
              <w:ind w:firstLine="0"/>
              <w:jc w:val="center"/>
              <w:cnfStyle w:val="000000010000" w:firstRow="0" w:lastRow="0" w:firstColumn="0" w:lastColumn="0" w:oddVBand="0" w:evenVBand="0" w:oddHBand="0" w:evenHBand="1" w:firstRowFirstColumn="0" w:firstRowLastColumn="0" w:lastRowFirstColumn="0" w:lastRowLastColumn="0"/>
            </w:pPr>
            <w:r w:rsidRPr="00837F2B">
              <w:t>2.2873E-12</w:t>
            </w:r>
          </w:p>
        </w:tc>
      </w:tr>
      <w:tr w:rsidR="007F4146" w:rsidTr="00837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7F4146" w:rsidRDefault="00F72AD3" w:rsidP="007F4146">
            <w:pPr>
              <w:pStyle w:val="text"/>
              <w:ind w:firstLine="0"/>
            </w:pPr>
            <m:oMathPara>
              <m:oMath>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4</m:t>
                    </m:r>
                  </m:sub>
                </m:sSub>
              </m:oMath>
            </m:oMathPara>
          </w:p>
        </w:tc>
        <w:tc>
          <w:tcPr>
            <w:tcW w:w="2250" w:type="dxa"/>
          </w:tcPr>
          <w:p w:rsidR="007F4146" w:rsidRDefault="00837F2B" w:rsidP="00837F2B">
            <w:pPr>
              <w:pStyle w:val="text"/>
              <w:ind w:firstLine="0"/>
              <w:jc w:val="center"/>
              <w:cnfStyle w:val="000000100000" w:firstRow="0" w:lastRow="0" w:firstColumn="0" w:lastColumn="0" w:oddVBand="0" w:evenVBand="0" w:oddHBand="1" w:evenHBand="0" w:firstRowFirstColumn="0" w:firstRowLastColumn="0" w:lastRowFirstColumn="0" w:lastRowLastColumn="0"/>
            </w:pPr>
            <w:r w:rsidRPr="00837F2B">
              <w:t>-1.3614E-10</w:t>
            </w:r>
          </w:p>
        </w:tc>
      </w:tr>
      <w:tr w:rsidR="007F4146" w:rsidTr="00837F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7F4146" w:rsidRDefault="00F72AD3" w:rsidP="007F4146">
            <w:pPr>
              <w:pStyle w:val="text"/>
              <w:ind w:firstLine="0"/>
            </w:pPr>
            <m:oMathPara>
              <m:oMath>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5</m:t>
                    </m:r>
                  </m:sub>
                </m:sSub>
              </m:oMath>
            </m:oMathPara>
          </w:p>
        </w:tc>
        <w:tc>
          <w:tcPr>
            <w:tcW w:w="2250" w:type="dxa"/>
          </w:tcPr>
          <w:p w:rsidR="007F4146" w:rsidRDefault="00837F2B" w:rsidP="00837F2B">
            <w:pPr>
              <w:pStyle w:val="text"/>
              <w:ind w:firstLine="0"/>
              <w:jc w:val="center"/>
              <w:cnfStyle w:val="000000010000" w:firstRow="0" w:lastRow="0" w:firstColumn="0" w:lastColumn="0" w:oddVBand="0" w:evenVBand="0" w:oddHBand="0" w:evenHBand="1" w:firstRowFirstColumn="0" w:firstRowLastColumn="0" w:lastRowFirstColumn="0" w:lastRowLastColumn="0"/>
            </w:pPr>
            <w:r w:rsidRPr="00837F2B">
              <w:t>2.4647E-9</w:t>
            </w:r>
          </w:p>
        </w:tc>
      </w:tr>
    </w:tbl>
    <w:p w:rsidR="007F4146" w:rsidRDefault="00837F2B" w:rsidP="00837F2B">
      <w:pPr>
        <w:pStyle w:val="Heading7"/>
        <w:rPr>
          <w:vertAlign w:val="superscript"/>
        </w:rPr>
      </w:pPr>
      <w:r>
        <w:t xml:space="preserve">Table 7.1 Radiative cooling rate </w:t>
      </w:r>
      <w:r w:rsidR="00B370F2">
        <w:t xml:space="preserve">of </w:t>
      </w:r>
      <w:proofErr w:type="spellStart"/>
      <w:r w:rsidR="00B370F2">
        <w:t>Ar</w:t>
      </w:r>
      <w:proofErr w:type="spellEnd"/>
      <w:r w:rsidR="00B370F2">
        <w:t xml:space="preserve"> I </w:t>
      </w:r>
      <w:r>
        <w:t xml:space="preserve">fitting parameters for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t xml:space="preserve"> in the range of 2-20eV from Fournier et al</w:t>
      </w:r>
      <w:proofErr w:type="gramStart"/>
      <w:r>
        <w:t>.</w:t>
      </w:r>
      <w:r w:rsidRPr="00FA3E7D">
        <w:rPr>
          <w:vertAlign w:val="superscript"/>
        </w:rPr>
        <w:t>[</w:t>
      </w:r>
      <w:proofErr w:type="gramEnd"/>
      <w:r w:rsidRPr="00FA3E7D">
        <w:rPr>
          <w:vertAlign w:val="superscript"/>
        </w:rPr>
        <w:t>14]</w:t>
      </w:r>
    </w:p>
    <w:p w:rsidR="00726BEA" w:rsidRDefault="00EF0A35" w:rsidP="00726BEA">
      <w:pPr>
        <w:pStyle w:val="text"/>
      </w:pPr>
      <w:r>
        <w:t>Summing</w:t>
      </w:r>
      <w:r w:rsidR="00726BEA">
        <w:t xml:space="preserve"> the power loss from ionization, radiative cooling, and thermal </w:t>
      </w:r>
      <w:r w:rsidR="00783B39">
        <w:t xml:space="preserve">losses </w:t>
      </w:r>
      <w:r w:rsidR="00726BEA">
        <w:t>gives a total power loss of about 4.</w:t>
      </w:r>
      <w:r w:rsidR="00E7405B">
        <w:t>6</w:t>
      </w:r>
      <w:r w:rsidR="00726BEA">
        <w:t>kW, which is ~7</w:t>
      </w:r>
      <w:r w:rsidR="00E7405B">
        <w:t>6</w:t>
      </w:r>
      <w:r w:rsidR="00726BEA">
        <w:t>% of the total input power.</w:t>
      </w:r>
      <w:r w:rsidR="00CC7F98">
        <w:t xml:space="preserve"> This means that it appears possible for the electron density to be this high from a power balance perspective. If they above calculations were scaled down by 2.2x to match the </w:t>
      </w:r>
      <w:proofErr w:type="gramStart"/>
      <w:r w:rsidR="00CC7F98">
        <w:t xml:space="preserve">probe </w:t>
      </w:r>
      <w:proofErr w:type="gramEnd"/>
      <m:oMath>
        <m:sSub>
          <m:sSubPr>
            <m:ctrlPr>
              <w:rPr>
                <w:rFonts w:ascii="Cambria Math" w:hAnsi="Cambria Math"/>
                <w:i/>
              </w:rPr>
            </m:ctrlPr>
          </m:sSubPr>
          <m:e>
            <m:r>
              <w:rPr>
                <w:rFonts w:ascii="Cambria Math" w:hAnsi="Cambria Math"/>
              </w:rPr>
              <m:t>n</m:t>
            </m:r>
          </m:e>
          <m:sub>
            <m:r>
              <w:rPr>
                <w:rFonts w:ascii="Cambria Math" w:hAnsi="Cambria Math"/>
              </w:rPr>
              <m:t>e</m:t>
            </m:r>
          </m:sub>
        </m:sSub>
      </m:oMath>
      <w:r w:rsidR="00CC7F98">
        <w:t>, then it would o</w:t>
      </w:r>
      <w:proofErr w:type="spellStart"/>
      <w:r w:rsidR="00CC7F98">
        <w:t>nly</w:t>
      </w:r>
      <w:proofErr w:type="spellEnd"/>
      <w:r w:rsidR="00CC7F98">
        <w:t xml:space="preserve"> account for ~35% of the input power. While the ECRH would not be expected to couple 100% of the RF power, this seems like a low end for </w:t>
      </w:r>
      <w:r w:rsidR="006C6F4B">
        <w:t xml:space="preserve">an </w:t>
      </w:r>
      <w:r w:rsidR="00CC7F98">
        <w:t>expected heating efficiency.</w:t>
      </w:r>
    </w:p>
    <w:p w:rsidR="00726BEA" w:rsidRPr="00726BEA" w:rsidRDefault="00726BEA" w:rsidP="00726BEA">
      <w:pPr>
        <w:pStyle w:val="text"/>
        <w:ind w:firstLine="0"/>
      </w:pPr>
    </w:p>
    <w:p w:rsidR="007954EA" w:rsidRDefault="007954EA" w:rsidP="007954EA">
      <w:pPr>
        <w:pStyle w:val="Heading3"/>
      </w:pPr>
      <w:r>
        <w:t xml:space="preserve">7.3 </w:t>
      </w:r>
      <w:r w:rsidR="001F7DED">
        <w:t>Possible</w:t>
      </w:r>
      <w:r w:rsidR="00E9559A">
        <w:t xml:space="preserve"> </w:t>
      </w:r>
      <w:r>
        <w:t>High-Low pass filtering method</w:t>
      </w:r>
    </w:p>
    <w:p w:rsidR="00E9559A" w:rsidRDefault="007954EA" w:rsidP="007954EA">
      <w:pPr>
        <w:pStyle w:val="text"/>
        <w:ind w:firstLine="0"/>
      </w:pPr>
      <w:r>
        <w:tab/>
        <w:t xml:space="preserve">The procedure in chapter 3 requires two rather long integration times </w:t>
      </w:r>
      <w:r w:rsidR="00E9559A">
        <w:t xml:space="preserve">per measurement </w:t>
      </w:r>
      <w:r>
        <w:t xml:space="preserve">to capture both the stronger and weaker lines due to the saturation of the spectrometer’s detector and noise level. It also requires processing of each line of the spectrum individually. However, all of the </w:t>
      </w:r>
      <w:proofErr w:type="spellStart"/>
      <w:r>
        <w:t>Ar</w:t>
      </w:r>
      <w:proofErr w:type="spellEnd"/>
      <w:r>
        <w:t xml:space="preserve"> I lines used lie in the range of 690-970nm, and all of the </w:t>
      </w:r>
      <w:proofErr w:type="spellStart"/>
      <w:r>
        <w:t>Ar</w:t>
      </w:r>
      <w:proofErr w:type="spellEnd"/>
      <w:r>
        <w:t xml:space="preserve"> II lines used lie in the range of 430-490nm, which leaves a ~200nm gap between the two sets of lines.</w:t>
      </w:r>
    </w:p>
    <w:p w:rsidR="00E55289" w:rsidRDefault="007954EA" w:rsidP="000E391A">
      <w:pPr>
        <w:pStyle w:val="text"/>
      </w:pPr>
      <w:r>
        <w:lastRenderedPageBreak/>
        <w:t xml:space="preserve">Since all of the </w:t>
      </w:r>
      <w:proofErr w:type="spellStart"/>
      <w:r>
        <w:t>Ar</w:t>
      </w:r>
      <w:proofErr w:type="spellEnd"/>
      <w:r>
        <w:t xml:space="preserve"> I lines end up grouped together anyway, it should be possible to simply sum over all lines in that range and find a </w:t>
      </w:r>
      <w:r w:rsidR="003A15E0">
        <w:t>relation</w:t>
      </w:r>
      <w:r>
        <w:t xml:space="preserve"> between the total emission in that range, and the compound excited state density of each ion.</w:t>
      </w:r>
    </w:p>
    <w:p w:rsidR="00E55289" w:rsidRDefault="00E55289" w:rsidP="00E55289">
      <w:pPr>
        <w:pStyle w:val="text"/>
      </w:pPr>
      <w:r>
        <w:t xml:space="preserve">This would allow the use of a simple filter lens to split the light from the plasma into the two wavelength ranges, which could then be detected by a photodiode, or even a </w:t>
      </w:r>
      <w:proofErr w:type="spellStart"/>
      <w:proofErr w:type="gramStart"/>
      <w:r>
        <w:t>ccd</w:t>
      </w:r>
      <w:proofErr w:type="spellEnd"/>
      <w:proofErr w:type="gramEnd"/>
      <w:r>
        <w:t xml:space="preserve"> camera, at a much higher sampling rate. The filter method could be calibrated against the spectroscopic method, and</w:t>
      </w:r>
      <w:r w:rsidR="00144BF4">
        <w:t>, with some assumptions about the neutral density,</w:t>
      </w:r>
      <w:r>
        <w:t xml:space="preserve"> then be used as a redundant measurement for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T</m:t>
            </m:r>
          </m:e>
          <m:sub>
            <m:r>
              <w:rPr>
                <w:rFonts w:ascii="Cambria Math" w:hAnsi="Cambria Math"/>
              </w:rPr>
              <m:t>e</m:t>
            </m:r>
          </m:sub>
        </m:sSub>
      </m:oMath>
      <w:r>
        <w:t>.</w:t>
      </w:r>
    </w:p>
    <w:p w:rsidR="000E391A" w:rsidRDefault="003A15E0" w:rsidP="000E391A">
      <w:pPr>
        <w:pStyle w:val="text"/>
      </w:pPr>
      <w:r>
        <w:t>As an example calculation, an Edmun</w:t>
      </w:r>
      <w:r w:rsidR="00E67430">
        <w:t>d</w:t>
      </w:r>
      <w:r>
        <w:t xml:space="preserve"> Optics Dichroic </w:t>
      </w:r>
      <w:proofErr w:type="spellStart"/>
      <w:r>
        <w:t>Longpass</w:t>
      </w:r>
      <w:proofErr w:type="spellEnd"/>
      <w:r>
        <w:t xml:space="preserve"> Filter </w:t>
      </w:r>
      <w:r w:rsidRPr="003A15E0">
        <w:t>NT69-867</w:t>
      </w:r>
      <w:r>
        <w:t xml:space="preserve"> could be used with a reflection range of </w:t>
      </w:r>
      <w:r w:rsidRPr="003A15E0">
        <w:t>415-515</w:t>
      </w:r>
      <w:r>
        <w:t>nm</w:t>
      </w:r>
      <w:r w:rsidR="0025385E">
        <w:t xml:space="preserve"> (low pass)</w:t>
      </w:r>
      <w:r>
        <w:t xml:space="preserve">, and transmission range of </w:t>
      </w:r>
      <w:r w:rsidRPr="003A15E0">
        <w:t>575-1600</w:t>
      </w:r>
      <w:r>
        <w:t>nm</w:t>
      </w:r>
      <w:r w:rsidR="0025385E">
        <w:t xml:space="preserve"> (high pass)</w:t>
      </w:r>
      <w:r>
        <w:t xml:space="preserve">. Using the spectroscopic profile data, the correlation between the low/high pass </w:t>
      </w:r>
      <w:r w:rsidR="00273045">
        <w:t>integrals</w:t>
      </w:r>
      <w:r>
        <w:t xml:space="preserve"> over those </w:t>
      </w:r>
      <w:r w:rsidR="00E67430">
        <w:t xml:space="preserve">wavelength </w:t>
      </w:r>
      <w:r>
        <w:t>ranges and the calculated compound states are show in figure 7.4.</w:t>
      </w:r>
    </w:p>
    <w:p w:rsidR="00D90EC3" w:rsidRDefault="00D90EC3" w:rsidP="000E391A">
      <w:pPr>
        <w:pStyle w:val="text"/>
      </w:pPr>
      <w:r>
        <w:t>In this simple example, the calibration factor would be</w:t>
      </w:r>
      <w:r w:rsidR="00912C65">
        <w:t xml:space="preserve"> </w:t>
      </w:r>
      <m:oMath>
        <m:sSub>
          <m:sSubPr>
            <m:ctrlPr>
              <w:rPr>
                <w:rFonts w:ascii="Cambria Math" w:hAnsi="Cambria Math"/>
                <w:i/>
              </w:rPr>
            </m:ctrlPr>
          </m:sSubPr>
          <m:e>
            <m:r>
              <w:rPr>
                <w:rFonts w:ascii="Cambria Math" w:hAnsi="Cambria Math"/>
              </w:rPr>
              <m:t>K</m:t>
            </m:r>
          </m:e>
          <m:sub>
            <m:r>
              <w:rPr>
                <w:rFonts w:ascii="Cambria Math" w:hAnsi="Cambria Math"/>
              </w:rPr>
              <m:t>ArII</m:t>
            </m:r>
          </m:sub>
        </m:sSub>
        <m:r>
          <w:rPr>
            <w:rFonts w:ascii="Cambria Math" w:hAnsi="Cambria Math"/>
          </w:rPr>
          <m:t>=</m:t>
        </m:r>
        <m:d>
          <m:dPr>
            <m:ctrlPr>
              <w:rPr>
                <w:rFonts w:ascii="Cambria Math" w:hAnsi="Cambria Math"/>
                <w:i/>
              </w:rPr>
            </m:ctrlPr>
          </m:dPr>
          <m:e>
            <m:r>
              <w:rPr>
                <w:rFonts w:ascii="Cambria Math" w:hAnsi="Cambria Math"/>
              </w:rPr>
              <m:t>1.41±0.04</m:t>
            </m:r>
          </m:e>
        </m:d>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11</m:t>
            </m:r>
          </m:sup>
        </m:sSup>
        <m:box>
          <m:boxPr>
            <m:ctrlPr>
              <w:rPr>
                <w:rFonts w:ascii="Cambria Math" w:hAnsi="Cambria Math"/>
                <w:i/>
              </w:rPr>
            </m:ctrlPr>
          </m:boxPr>
          <m:e>
            <m:argPr>
              <m:argSz m:val="-1"/>
            </m:argPr>
            <m:f>
              <m:fPr>
                <m:ctrlPr>
                  <w:rPr>
                    <w:rFonts w:ascii="Cambria Math" w:hAnsi="Cambria Math"/>
                    <w:i/>
                  </w:rPr>
                </m:ctrlPr>
              </m:fPr>
              <m:num>
                <m:r>
                  <w:rPr>
                    <w:rFonts w:ascii="Cambria Math" w:hAnsi="Cambria Math"/>
                  </w:rPr>
                  <m:t>sR</m:t>
                </m:r>
              </m:num>
              <m:den>
                <m:r>
                  <w:rPr>
                    <w:rFonts w:ascii="Cambria Math" w:hAnsi="Cambria Math"/>
                  </w:rPr>
                  <m:t>W m</m:t>
                </m:r>
              </m:den>
            </m:f>
          </m:e>
        </m:box>
        <m:r>
          <w:rPr>
            <w:rFonts w:ascii="Cambria Math" w:hAnsi="Cambria Math"/>
          </w:rPr>
          <m:t xml:space="preserve"> </m:t>
        </m:r>
      </m:oMath>
      <w:r w:rsidR="00912C65">
        <w:t xml:space="preserve">for the low pass integral </w:t>
      </w:r>
      <w:proofErr w:type="gramStart"/>
      <w:r w:rsidR="00912C65">
        <w:t xml:space="preserve">to </w:t>
      </w:r>
      <w:proofErr w:type="gramEnd"/>
      <m:oMath>
        <m:sSubSup>
          <m:sSubSupPr>
            <m:ctrlPr>
              <w:rPr>
                <w:rFonts w:ascii="Cambria Math" w:hAnsi="Cambria Math"/>
                <w:i/>
              </w:rPr>
            </m:ctrlPr>
          </m:sSubSupPr>
          <m:e>
            <m:r>
              <w:rPr>
                <w:rFonts w:ascii="Cambria Math" w:hAnsi="Cambria Math"/>
              </w:rPr>
              <m:t>n</m:t>
            </m:r>
          </m:e>
          <m:sub>
            <m:r>
              <w:rPr>
                <w:rFonts w:ascii="Cambria Math" w:hAnsi="Cambria Math"/>
              </w:rPr>
              <m:t>ArII</m:t>
            </m:r>
          </m:sub>
          <m:sup>
            <m:r>
              <w:rPr>
                <w:rFonts w:ascii="Cambria Math" w:hAnsi="Cambria Math"/>
              </w:rPr>
              <m:t>*</m:t>
            </m:r>
          </m:sup>
        </m:sSubSup>
      </m:oMath>
      <w:r w:rsidR="00912C65">
        <w:t xml:space="preserve">, and </w:t>
      </w:r>
      <w:r>
        <w:t xml:space="preserve"> </w:t>
      </w:r>
      <m:oMath>
        <m:sSub>
          <m:sSubPr>
            <m:ctrlPr>
              <w:rPr>
                <w:rFonts w:ascii="Cambria Math" w:hAnsi="Cambria Math"/>
                <w:i/>
              </w:rPr>
            </m:ctrlPr>
          </m:sSubPr>
          <m:e>
            <m:r>
              <w:rPr>
                <w:rFonts w:ascii="Cambria Math" w:hAnsi="Cambria Math"/>
              </w:rPr>
              <m:t>K</m:t>
            </m:r>
          </m:e>
          <m:sub>
            <m:r>
              <w:rPr>
                <w:rFonts w:ascii="Cambria Math" w:hAnsi="Cambria Math"/>
              </w:rPr>
              <m:t>ArI</m:t>
            </m:r>
          </m:sub>
        </m:sSub>
        <m:r>
          <w:rPr>
            <w:rFonts w:ascii="Cambria Math" w:hAnsi="Cambria Math"/>
          </w:rPr>
          <m:t>=</m:t>
        </m:r>
        <m:d>
          <m:dPr>
            <m:ctrlPr>
              <w:rPr>
                <w:rFonts w:ascii="Cambria Math" w:hAnsi="Cambria Math"/>
                <w:i/>
              </w:rPr>
            </m:ctrlPr>
          </m:dPr>
          <m:e>
            <m:r>
              <w:rPr>
                <w:rFonts w:ascii="Cambria Math" w:hAnsi="Cambria Math"/>
              </w:rPr>
              <m:t>1.189±0.007</m:t>
            </m:r>
          </m:e>
        </m:d>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 xml:space="preserve"> </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sR</m:t>
                </m:r>
              </m:num>
              <m:den>
                <m:r>
                  <w:rPr>
                    <w:rFonts w:ascii="Cambria Math" w:hAnsi="Cambria Math"/>
                  </w:rPr>
                  <m:t>W m</m:t>
                </m:r>
              </m:den>
            </m:f>
          </m:e>
        </m:box>
      </m:oMath>
      <w:r w:rsidR="00912C65">
        <w:t xml:space="preserve"> for the high pass to </w:t>
      </w:r>
      <m:oMath>
        <m:sSubSup>
          <m:sSubSupPr>
            <m:ctrlPr>
              <w:rPr>
                <w:rFonts w:ascii="Cambria Math" w:hAnsi="Cambria Math"/>
                <w:i/>
              </w:rPr>
            </m:ctrlPr>
          </m:sSubSupPr>
          <m:e>
            <m:r>
              <w:rPr>
                <w:rFonts w:ascii="Cambria Math" w:hAnsi="Cambria Math"/>
              </w:rPr>
              <m:t>n</m:t>
            </m:r>
          </m:e>
          <m:sub>
            <m:r>
              <w:rPr>
                <w:rFonts w:ascii="Cambria Math" w:hAnsi="Cambria Math"/>
              </w:rPr>
              <m:t>ArI</m:t>
            </m:r>
          </m:sub>
          <m:sup>
            <m:r>
              <w:rPr>
                <w:rFonts w:ascii="Cambria Math" w:hAnsi="Cambria Math"/>
              </w:rPr>
              <m:t>*</m:t>
            </m:r>
          </m:sup>
        </m:sSubSup>
      </m:oMath>
      <w:r w:rsidR="00912C65">
        <w:t>.</w:t>
      </w:r>
      <w:r w:rsidR="009678BA">
        <w:t xml:space="preserve"> </w:t>
      </w:r>
      <w:r w:rsidR="007E6BB4">
        <w:t xml:space="preserve">Again, errors are given </w:t>
      </w:r>
      <w:proofErr w:type="gramStart"/>
      <w:r w:rsidR="007E6BB4">
        <w:t xml:space="preserve">by </w:t>
      </w:r>
      <w:proofErr w:type="gramEnd"/>
      <m:oMath>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w:r w:rsidR="007E6BB4">
        <w:t xml:space="preserve">. </w:t>
      </w:r>
      <w:r w:rsidR="009678BA">
        <w:t>T</w:t>
      </w:r>
      <w:r w:rsidR="007E6BB4">
        <w:t>he</w:t>
      </w:r>
      <w:r w:rsidR="009678BA">
        <w:t xml:space="preserve"> values of the compound excited state </w:t>
      </w:r>
      <w:r w:rsidR="00D52BF6">
        <w:t xml:space="preserve">density </w:t>
      </w:r>
      <w:r w:rsidR="009678BA">
        <w:t xml:space="preserve">could be found </w:t>
      </w:r>
      <w:proofErr w:type="gramStart"/>
      <w:r w:rsidR="009678BA">
        <w:t xml:space="preserve">by </w:t>
      </w:r>
      <w:proofErr w:type="gramEnd"/>
      <m:oMath>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=L×K</m:t>
        </m:r>
      </m:oMath>
      <w:r w:rsidR="009678BA">
        <w:t>.</w:t>
      </w:r>
      <w:r w:rsidR="00294577">
        <w:t xml:space="preserve"> </w:t>
      </w:r>
      <w:r w:rsidR="006560DF">
        <w:t xml:space="preserve">This </w:t>
      </w:r>
      <w:r w:rsidR="00315C9C">
        <w:t xml:space="preserve">calculation would </w:t>
      </w:r>
      <w:r w:rsidR="006560DF">
        <w:t xml:space="preserve">only </w:t>
      </w:r>
      <w:proofErr w:type="gramStart"/>
      <w:r w:rsidR="006560DF">
        <w:t>demonstrates</w:t>
      </w:r>
      <w:proofErr w:type="gramEnd"/>
      <w:r w:rsidR="006560DF">
        <w:t xml:space="preserve"> the feasibility</w:t>
      </w:r>
      <w:r w:rsidR="00F30C88">
        <w:t xml:space="preserve"> of this method</w:t>
      </w:r>
      <w:r w:rsidR="006560DF">
        <w:t xml:space="preserve">. </w:t>
      </w:r>
      <w:r w:rsidR="00294577">
        <w:t>In practice the new optical system would be calibrated using some known source.</w:t>
      </w:r>
    </w:p>
    <w:p w:rsidR="003A15E0" w:rsidRDefault="003A15E0" w:rsidP="000E391A">
      <w:pPr>
        <w:pStyle w:val="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3A15E0" w:rsidTr="007A0B76">
        <w:tc>
          <w:tcPr>
            <w:tcW w:w="4428" w:type="dxa"/>
          </w:tcPr>
          <w:p w:rsidR="003A15E0" w:rsidRDefault="003A15E0" w:rsidP="003A15E0">
            <w:pPr>
              <w:pStyle w:val="text"/>
              <w:ind w:firstLine="0"/>
            </w:pPr>
            <w:r>
              <w:rPr>
                <w:noProof/>
              </w:rPr>
              <w:lastRenderedPageBreak/>
              <w:drawing>
                <wp:inline distT="0" distB="0" distL="0" distR="0" wp14:anchorId="65114591" wp14:editId="62A6C0A3">
                  <wp:extent cx="2556866" cy="216350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png"/>
                          <pic:cNvPicPr/>
                        </pic:nvPicPr>
                        <pic:blipFill>
                          <a:blip r:embed="rId16">
                            <a:extLst>
                              <a:ext uri="{28A0092B-C50C-407E-A947-70E740481C1C}">
                                <a14:useLocalDpi xmlns:a14="http://schemas.microsoft.com/office/drawing/2010/main" val="0"/>
                              </a:ext>
                            </a:extLst>
                          </a:blip>
                          <a:stretch>
                            <a:fillRect/>
                          </a:stretch>
                        </pic:blipFill>
                        <pic:spPr>
                          <a:xfrm>
                            <a:off x="0" y="0"/>
                            <a:ext cx="2556866" cy="2163503"/>
                          </a:xfrm>
                          <a:prstGeom prst="rect">
                            <a:avLst/>
                          </a:prstGeom>
                        </pic:spPr>
                      </pic:pic>
                    </a:graphicData>
                  </a:graphic>
                </wp:inline>
              </w:drawing>
            </w:r>
          </w:p>
        </w:tc>
        <w:tc>
          <w:tcPr>
            <w:tcW w:w="4428" w:type="dxa"/>
          </w:tcPr>
          <w:p w:rsidR="003A15E0" w:rsidRDefault="003A15E0" w:rsidP="003A15E0">
            <w:pPr>
              <w:pStyle w:val="text"/>
              <w:ind w:firstLine="0"/>
            </w:pPr>
            <w:r>
              <w:rPr>
                <w:noProof/>
              </w:rPr>
              <w:drawing>
                <wp:inline distT="0" distB="0" distL="0" distR="0" wp14:anchorId="32391BCF" wp14:editId="53ECB1EF">
                  <wp:extent cx="2346136" cy="2163503"/>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png"/>
                          <pic:cNvPicPr/>
                        </pic:nvPicPr>
                        <pic:blipFill>
                          <a:blip r:embed="rId17">
                            <a:extLst>
                              <a:ext uri="{28A0092B-C50C-407E-A947-70E740481C1C}">
                                <a14:useLocalDpi xmlns:a14="http://schemas.microsoft.com/office/drawing/2010/main" val="0"/>
                              </a:ext>
                            </a:extLst>
                          </a:blip>
                          <a:stretch>
                            <a:fillRect/>
                          </a:stretch>
                        </pic:blipFill>
                        <pic:spPr>
                          <a:xfrm>
                            <a:off x="0" y="0"/>
                            <a:ext cx="2346136" cy="2163503"/>
                          </a:xfrm>
                          <a:prstGeom prst="rect">
                            <a:avLst/>
                          </a:prstGeom>
                        </pic:spPr>
                      </pic:pic>
                    </a:graphicData>
                  </a:graphic>
                </wp:inline>
              </w:drawing>
            </w:r>
          </w:p>
        </w:tc>
      </w:tr>
    </w:tbl>
    <w:p w:rsidR="003A15E0" w:rsidRDefault="003A15E0" w:rsidP="00E55289">
      <w:pPr>
        <w:pStyle w:val="Heading8"/>
      </w:pPr>
      <w:r>
        <w:t>Figure 7.4 Correlations between</w:t>
      </w:r>
      <w:r w:rsidR="00E67430">
        <w:t xml:space="preserve"> </w:t>
      </w:r>
      <w:r w:rsidR="007A0B76">
        <w:t>a high/low pass filter, and intensive calculation of excited state densities.</w:t>
      </w:r>
    </w:p>
    <w:p w:rsidR="007954EA" w:rsidRDefault="00814304" w:rsidP="00814304">
      <w:pPr>
        <w:pStyle w:val="text"/>
      </w:pPr>
      <w:r>
        <w:t>Using a fast CCD camera</w:t>
      </w:r>
      <w:r w:rsidR="00144BF4">
        <w:t xml:space="preserve"> with the splitting optics</w:t>
      </w:r>
      <w:r>
        <w:t xml:space="preserve">, such a system might also be capable of imaging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t xml:space="preserve"> of the entire plasma at once, capturing any </w:t>
      </w:r>
      <w:r w:rsidR="007D6A8E">
        <w:t xml:space="preserve">time-dependent </w:t>
      </w:r>
      <w:r>
        <w:t>spatial irregularities.</w:t>
      </w:r>
    </w:p>
    <w:p w:rsidR="00D010A4" w:rsidRDefault="00D010A4" w:rsidP="00D010A4">
      <w:pPr>
        <w:pStyle w:val="Heading3"/>
      </w:pPr>
      <w:r>
        <w:t>7.</w:t>
      </w:r>
      <w:r w:rsidR="007954EA">
        <w:t>4</w:t>
      </w:r>
      <w:r>
        <w:t xml:space="preserve"> </w:t>
      </w:r>
      <w:r w:rsidR="00A2140F">
        <w:t>Conclusion</w:t>
      </w:r>
    </w:p>
    <w:p w:rsidR="00D010A4" w:rsidRDefault="00D010A4" w:rsidP="00D010A4">
      <w:pPr>
        <w:pStyle w:val="text"/>
      </w:pPr>
      <w:r>
        <w:t>Using spectroscopic measurements of neutral Argon has proven to be very tricky due to its high ionization cross section</w:t>
      </w:r>
      <w:r w:rsidR="00EE26E5">
        <w:t>,</w:t>
      </w:r>
      <w:r>
        <w:t xml:space="preserve"> and resulti</w:t>
      </w:r>
      <w:r w:rsidR="007C757D">
        <w:t xml:space="preserve">ng depletion within the plasma. </w:t>
      </w:r>
      <w:r>
        <w:t xml:space="preserve">The fitting functions used in chapter 5 </w:t>
      </w:r>
      <w:r w:rsidR="007C757D">
        <w:t xml:space="preserve">may be </w:t>
      </w:r>
      <w:r>
        <w:t xml:space="preserve">insufficient since the resulting profile for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t xml:space="preserve"> appears to have a different shape. The neutral profiles are also sensitive to the source</w:t>
      </w:r>
      <w:r w:rsidR="00A22FC3">
        <w:t xml:space="preserve"> (recombination)</w:t>
      </w:r>
      <w:r>
        <w:t xml:space="preserve"> profile used, which is not really known. The breaking of the axial and vertical symmetries due to the termination of the plasma on the bias plates may </w:t>
      </w:r>
      <w:r w:rsidR="00A22FC3">
        <w:t>also require a more sophisticated kinetic model</w:t>
      </w:r>
      <w:r>
        <w:t>.</w:t>
      </w:r>
    </w:p>
    <w:p w:rsidR="00D010A4" w:rsidRDefault="002E0C5C" w:rsidP="00D010A4">
      <w:pPr>
        <w:pStyle w:val="text"/>
      </w:pPr>
      <w:r>
        <w:t xml:space="preserve">Even though the shape of the electron density may be incorrect, </w:t>
      </w:r>
      <w:r w:rsidR="004B1925">
        <w:t xml:space="preserve">it does seem to indicate a </w:t>
      </w:r>
      <w:r>
        <w:t xml:space="preserve">peak electron </w:t>
      </w:r>
      <w:r w:rsidR="00A22FC3">
        <w:t>density</w:t>
      </w:r>
      <w:r w:rsidR="004B1925">
        <w:t xml:space="preserve"> </w:t>
      </w:r>
      <w:proofErr w:type="gramStart"/>
      <w:r w:rsidR="004B1925">
        <w:t>2.2x</w:t>
      </w:r>
      <w:proofErr w:type="gramEnd"/>
      <w:r w:rsidR="004B1925">
        <w:t xml:space="preserve"> higher</w:t>
      </w:r>
      <w:r w:rsidR="00A22FC3">
        <w:t xml:space="preserve"> than probe measurements, which </w:t>
      </w:r>
      <w:r w:rsidR="0069216A">
        <w:t xml:space="preserve">still </w:t>
      </w:r>
      <w:r w:rsidR="007C757D">
        <w:t>seems possible from a power balance perspective.</w:t>
      </w:r>
      <w:r w:rsidR="00940165">
        <w:t xml:space="preserve"> This </w:t>
      </w:r>
      <w:r w:rsidR="0069216A">
        <w:t xml:space="preserve">difference </w:t>
      </w:r>
      <w:r w:rsidR="00940165">
        <w:t xml:space="preserve">may be responsible for the large discrepancy </w:t>
      </w:r>
      <w:r w:rsidR="0069216A">
        <w:t xml:space="preserve">previously </w:t>
      </w:r>
      <w:r w:rsidR="00940165">
        <w:t>observed which lead to this work</w:t>
      </w:r>
      <w:r w:rsidR="003C7B3C">
        <w:t xml:space="preserve">, since a smaller increase in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rsidR="003C7B3C">
        <w:t xml:space="preserve"> would require a larger decrease in </w:t>
      </w:r>
      <m:oMath>
        <m:sSub>
          <m:sSubPr>
            <m:ctrlPr>
              <w:rPr>
                <w:rFonts w:ascii="Cambria Math" w:hAnsi="Cambria Math"/>
                <w:i/>
              </w:rPr>
            </m:ctrlPr>
          </m:sSubPr>
          <m:e>
            <m:r>
              <w:rPr>
                <w:rFonts w:ascii="Cambria Math" w:hAnsi="Cambria Math"/>
              </w:rPr>
              <m:t>n</m:t>
            </m:r>
          </m:e>
          <m:sub>
            <m:r>
              <w:rPr>
                <w:rFonts w:ascii="Cambria Math" w:hAnsi="Cambria Math"/>
              </w:rPr>
              <m:t>ArI</m:t>
            </m:r>
          </m:sub>
        </m:sSub>
      </m:oMath>
      <w:r w:rsidR="003C7B3C">
        <w:t xml:space="preserve"> given the same spectroscopic measurement</w:t>
      </w:r>
      <w:r w:rsidR="001372D1">
        <w:t>, resulting in an exaggerated observed neutral depletion.</w:t>
      </w:r>
    </w:p>
    <w:p w:rsidR="00940165" w:rsidRPr="00D010A4" w:rsidRDefault="00493250" w:rsidP="00D010A4">
      <w:pPr>
        <w:pStyle w:val="text"/>
      </w:pPr>
      <w:r>
        <w:t xml:space="preserve">There may also be future possible extensions of this work that could obtain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t xml:space="preserve"> profile </w:t>
      </w:r>
      <w:r w:rsidR="00207800">
        <w:t>on a per-</w:t>
      </w:r>
      <w:r>
        <w:t xml:space="preserve">shot, or many times per shot, basis. This would </w:t>
      </w:r>
      <w:r w:rsidR="00207800">
        <w:t xml:space="preserve">be a larger </w:t>
      </w:r>
      <w:r>
        <w:t>improvement since the current method requires many identical shots to build up a profile, with several integrations per shot.</w:t>
      </w:r>
    </w:p>
    <w:sectPr w:rsidR="00940165" w:rsidRPr="00D010A4" w:rsidSect="00BE089B">
      <w:footerReference w:type="even" r:id="rId18"/>
      <w:footerReference w:type="default" r:id="rId19"/>
      <w:footerReference w:type="first" r:id="rId20"/>
      <w:pgSz w:w="12240" w:h="15840"/>
      <w:pgMar w:top="1800" w:right="1800" w:bottom="1800" w:left="1800" w:header="0" w:footer="172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AD3" w:rsidRDefault="00F72AD3">
      <w:r>
        <w:separator/>
      </w:r>
    </w:p>
  </w:endnote>
  <w:endnote w:type="continuationSeparator" w:id="0">
    <w:p w:rsidR="00F72AD3" w:rsidRDefault="00F72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474" w:rsidRDefault="001C24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C2474" w:rsidRDefault="001C24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474" w:rsidRDefault="001C2474">
    <w:pPr>
      <w:pStyle w:val="Footer"/>
      <w:framePr w:w="633" w:h="233"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A041A1">
      <w:rPr>
        <w:rStyle w:val="PageNumber"/>
        <w:noProof/>
      </w:rPr>
      <w:t>9</w:t>
    </w:r>
    <w:r>
      <w:rPr>
        <w:rStyle w:val="PageNumber"/>
      </w:rPr>
      <w:fldChar w:fldCharType="end"/>
    </w:r>
  </w:p>
  <w:p w:rsidR="001C2474" w:rsidRDefault="001C247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474" w:rsidRDefault="001C2474">
    <w:pPr>
      <w:widowControl w:val="0"/>
    </w:pP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AD3" w:rsidRDefault="00F72AD3">
      <w:r>
        <w:separator/>
      </w:r>
    </w:p>
  </w:footnote>
  <w:footnote w:type="continuationSeparator" w:id="0">
    <w:p w:rsidR="00F72AD3" w:rsidRDefault="00F72A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64C9440"/>
    <w:lvl w:ilvl="0">
      <w:numFmt w:val="decimal"/>
      <w:lvlText w:val="*"/>
      <w:lvlJc w:val="left"/>
    </w:lvl>
  </w:abstractNum>
  <w:abstractNum w:abstractNumId="1">
    <w:nsid w:val="1B717E3E"/>
    <w:multiLevelType w:val="multilevel"/>
    <w:tmpl w:val="78B425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69CE63C8"/>
    <w:multiLevelType w:val="singleLevel"/>
    <w:tmpl w:val="73260532"/>
    <w:lvl w:ilvl="0">
      <w:start w:val="1"/>
      <w:numFmt w:val="decimal"/>
      <w:lvlText w:val="%1."/>
      <w:legacy w:legacy="1" w:legacySpace="0" w:legacyIndent="720"/>
      <w:lvlJc w:val="left"/>
      <w:pPr>
        <w:ind w:left="720" w:hanging="720"/>
      </w:pPr>
    </w:lvl>
  </w:abstractNum>
  <w:num w:numId="1">
    <w:abstractNumId w:val="0"/>
    <w:lvlOverride w:ilvl="0">
      <w:lvl w:ilvl="0">
        <w:start w:val="1"/>
        <w:numFmt w:val="bullet"/>
        <w:lvlText w:val=""/>
        <w:legacy w:legacy="1" w:legacySpace="0" w:legacyIndent="720"/>
        <w:lvlJc w:val="left"/>
        <w:pPr>
          <w:ind w:left="720" w:hanging="720"/>
        </w:pPr>
        <w:rPr>
          <w:rFonts w:ascii="Symbol" w:hAnsi="Symbol"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6B9"/>
    <w:rsid w:val="000211F3"/>
    <w:rsid w:val="00074A50"/>
    <w:rsid w:val="00083A8E"/>
    <w:rsid w:val="000C357C"/>
    <w:rsid w:val="000E391A"/>
    <w:rsid w:val="001372D1"/>
    <w:rsid w:val="00137E05"/>
    <w:rsid w:val="00144BF4"/>
    <w:rsid w:val="00157398"/>
    <w:rsid w:val="001663F7"/>
    <w:rsid w:val="001C2474"/>
    <w:rsid w:val="001F2287"/>
    <w:rsid w:val="001F7D44"/>
    <w:rsid w:val="001F7DED"/>
    <w:rsid w:val="00207800"/>
    <w:rsid w:val="00212766"/>
    <w:rsid w:val="00227A8E"/>
    <w:rsid w:val="0025385E"/>
    <w:rsid w:val="00257150"/>
    <w:rsid w:val="00264328"/>
    <w:rsid w:val="00270344"/>
    <w:rsid w:val="00273045"/>
    <w:rsid w:val="00294577"/>
    <w:rsid w:val="002D6545"/>
    <w:rsid w:val="002E0C5C"/>
    <w:rsid w:val="002E70B0"/>
    <w:rsid w:val="002F27DF"/>
    <w:rsid w:val="00310103"/>
    <w:rsid w:val="00315C9C"/>
    <w:rsid w:val="00321867"/>
    <w:rsid w:val="00357AA4"/>
    <w:rsid w:val="0038413F"/>
    <w:rsid w:val="003A15E0"/>
    <w:rsid w:val="003C7B3C"/>
    <w:rsid w:val="003D37E9"/>
    <w:rsid w:val="003D7CFA"/>
    <w:rsid w:val="00403298"/>
    <w:rsid w:val="00421456"/>
    <w:rsid w:val="0045186A"/>
    <w:rsid w:val="00481BB9"/>
    <w:rsid w:val="00493250"/>
    <w:rsid w:val="004B1925"/>
    <w:rsid w:val="004C16B9"/>
    <w:rsid w:val="00542476"/>
    <w:rsid w:val="005654C1"/>
    <w:rsid w:val="005703D9"/>
    <w:rsid w:val="00597CFA"/>
    <w:rsid w:val="005B332A"/>
    <w:rsid w:val="005E28B8"/>
    <w:rsid w:val="005F2CF1"/>
    <w:rsid w:val="00624C69"/>
    <w:rsid w:val="0062563F"/>
    <w:rsid w:val="0064485B"/>
    <w:rsid w:val="006560DF"/>
    <w:rsid w:val="0069216A"/>
    <w:rsid w:val="006A36FB"/>
    <w:rsid w:val="006B563E"/>
    <w:rsid w:val="006B60EE"/>
    <w:rsid w:val="006C6727"/>
    <w:rsid w:val="006C6F4B"/>
    <w:rsid w:val="006D59A2"/>
    <w:rsid w:val="006F06A9"/>
    <w:rsid w:val="006F5EC4"/>
    <w:rsid w:val="00715120"/>
    <w:rsid w:val="00726BEA"/>
    <w:rsid w:val="0077410F"/>
    <w:rsid w:val="00783B39"/>
    <w:rsid w:val="007954EA"/>
    <w:rsid w:val="007A0B76"/>
    <w:rsid w:val="007B1453"/>
    <w:rsid w:val="007C1EE5"/>
    <w:rsid w:val="007C757D"/>
    <w:rsid w:val="007D2282"/>
    <w:rsid w:val="007D6A8E"/>
    <w:rsid w:val="007D78B2"/>
    <w:rsid w:val="007E5EEB"/>
    <w:rsid w:val="007E6BB4"/>
    <w:rsid w:val="007F4146"/>
    <w:rsid w:val="007F7A3E"/>
    <w:rsid w:val="007F7E66"/>
    <w:rsid w:val="00814304"/>
    <w:rsid w:val="00837F2B"/>
    <w:rsid w:val="00841C53"/>
    <w:rsid w:val="00895DF4"/>
    <w:rsid w:val="008A291E"/>
    <w:rsid w:val="008A6F09"/>
    <w:rsid w:val="008B1108"/>
    <w:rsid w:val="008D2119"/>
    <w:rsid w:val="00912C65"/>
    <w:rsid w:val="0092240D"/>
    <w:rsid w:val="00937C88"/>
    <w:rsid w:val="00940165"/>
    <w:rsid w:val="00941E89"/>
    <w:rsid w:val="00944A99"/>
    <w:rsid w:val="009678BA"/>
    <w:rsid w:val="009819E4"/>
    <w:rsid w:val="009825E7"/>
    <w:rsid w:val="009D7DC9"/>
    <w:rsid w:val="009E1486"/>
    <w:rsid w:val="009E3BB0"/>
    <w:rsid w:val="009E5C4F"/>
    <w:rsid w:val="00A041A1"/>
    <w:rsid w:val="00A2140F"/>
    <w:rsid w:val="00A21865"/>
    <w:rsid w:val="00A22FC3"/>
    <w:rsid w:val="00A3015C"/>
    <w:rsid w:val="00A80066"/>
    <w:rsid w:val="00A94DDF"/>
    <w:rsid w:val="00AA75AA"/>
    <w:rsid w:val="00AD0A40"/>
    <w:rsid w:val="00AD4A3E"/>
    <w:rsid w:val="00AE53B6"/>
    <w:rsid w:val="00B01E99"/>
    <w:rsid w:val="00B370F2"/>
    <w:rsid w:val="00B417B7"/>
    <w:rsid w:val="00B5286E"/>
    <w:rsid w:val="00B73800"/>
    <w:rsid w:val="00B865FD"/>
    <w:rsid w:val="00BD6258"/>
    <w:rsid w:val="00BE089B"/>
    <w:rsid w:val="00BF0827"/>
    <w:rsid w:val="00BF76FD"/>
    <w:rsid w:val="00C84B73"/>
    <w:rsid w:val="00CB5B9E"/>
    <w:rsid w:val="00CC7F98"/>
    <w:rsid w:val="00CF1B7F"/>
    <w:rsid w:val="00D010A4"/>
    <w:rsid w:val="00D07E86"/>
    <w:rsid w:val="00D52BF6"/>
    <w:rsid w:val="00D72D01"/>
    <w:rsid w:val="00D90EC3"/>
    <w:rsid w:val="00D97531"/>
    <w:rsid w:val="00DD3F57"/>
    <w:rsid w:val="00DE47EF"/>
    <w:rsid w:val="00E008D3"/>
    <w:rsid w:val="00E0260A"/>
    <w:rsid w:val="00E54FE0"/>
    <w:rsid w:val="00E55289"/>
    <w:rsid w:val="00E66FF1"/>
    <w:rsid w:val="00E67430"/>
    <w:rsid w:val="00E7405B"/>
    <w:rsid w:val="00E9559A"/>
    <w:rsid w:val="00EC29B2"/>
    <w:rsid w:val="00EE26E5"/>
    <w:rsid w:val="00EF0A35"/>
    <w:rsid w:val="00EF41A8"/>
    <w:rsid w:val="00F02D0C"/>
    <w:rsid w:val="00F30C88"/>
    <w:rsid w:val="00F5427E"/>
    <w:rsid w:val="00F72AD3"/>
    <w:rsid w:val="00FA3E7D"/>
    <w:rsid w:val="00FA41B8"/>
    <w:rsid w:val="00FA4C22"/>
    <w:rsid w:val="00FC6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character" w:styleId="EndnoteReference">
    <w:name w:val="endnote reference"/>
    <w:semiHidden/>
    <w:rPr>
      <w:vertAlign w:val="superscript"/>
    </w:rPr>
  </w:style>
  <w:style w:type="paragraph" w:styleId="TOC8">
    <w:name w:val="toc 8"/>
    <w:basedOn w:val="TOC7"/>
    <w:semiHidden/>
  </w:style>
  <w:style w:type="paragraph" w:styleId="TOC7">
    <w:name w:val="toc 7"/>
    <w:basedOn w:val="TOC3"/>
    <w:semiHidden/>
    <w:pPr>
      <w:spacing w:before="0" w:line="480" w:lineRule="atLeast"/>
      <w:ind w:left="1260" w:hanging="1260"/>
    </w:pPr>
  </w:style>
  <w:style w:type="paragraph" w:styleId="TOC3">
    <w:name w:val="toc 3"/>
    <w:basedOn w:val="Normal"/>
    <w:semiHidden/>
    <w:pPr>
      <w:keepLines/>
      <w:tabs>
        <w:tab w:val="right" w:leader="dot" w:pos="7920"/>
      </w:tabs>
      <w:spacing w:before="120"/>
      <w:ind w:left="1080" w:right="360" w:hanging="540"/>
    </w:pPr>
  </w:style>
  <w:style w:type="paragraph" w:styleId="TOC5">
    <w:name w:val="toc 5"/>
    <w:basedOn w:val="TOC3"/>
    <w:semiHidden/>
    <w:pPr>
      <w:ind w:left="2160"/>
    </w:pPr>
  </w:style>
  <w:style w:type="paragraph" w:styleId="TOC4">
    <w:name w:val="toc 4"/>
    <w:basedOn w:val="TOC3"/>
    <w:semiHidden/>
    <w:pPr>
      <w:ind w:left="1620"/>
    </w:pPr>
  </w:style>
  <w:style w:type="paragraph" w:styleId="TOC2">
    <w:name w:val="toc 2"/>
    <w:basedOn w:val="TOC3"/>
    <w:semiHidden/>
    <w:pPr>
      <w:keepNext/>
      <w:spacing w:before="240"/>
      <w:ind w:left="540"/>
    </w:pPr>
  </w:style>
  <w:style w:type="paragraph" w:styleId="TOC1">
    <w:name w:val="toc 1"/>
    <w:basedOn w:val="TOC3"/>
    <w:semiHidden/>
    <w:pPr>
      <w:keepNext/>
      <w:tabs>
        <w:tab w:val="right" w:pos="7920"/>
      </w:tabs>
      <w:spacing w:before="240"/>
      <w:ind w:left="540"/>
    </w:pPr>
    <w:rPr>
      <w:b/>
      <w:smallCaps/>
    </w:rPr>
  </w:style>
  <w:style w:type="paragraph" w:styleId="Footer">
    <w:name w:val="footer"/>
    <w:basedOn w:val="Normal"/>
    <w:next w:val="Normal"/>
    <w:pPr>
      <w:tabs>
        <w:tab w:val="center" w:pos="43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semiHidden/>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uiPriority w:val="99"/>
    <w:semiHidden/>
    <w:unhideWhenUsed/>
    <w:rsid w:val="00AE53B6"/>
    <w:rPr>
      <w:rFonts w:ascii="Tahoma" w:hAnsi="Tahoma" w:cs="Tahoma"/>
      <w:sz w:val="16"/>
      <w:szCs w:val="16"/>
    </w:rPr>
  </w:style>
  <w:style w:type="character" w:customStyle="1" w:styleId="BalloonTextChar">
    <w:name w:val="Balloon Text Char"/>
    <w:basedOn w:val="DefaultParagraphFont"/>
    <w:link w:val="BalloonText"/>
    <w:uiPriority w:val="99"/>
    <w:semiHidden/>
    <w:rsid w:val="00AE53B6"/>
    <w:rPr>
      <w:rFonts w:ascii="Tahoma" w:hAnsi="Tahoma" w:cs="Tahoma"/>
      <w:sz w:val="16"/>
      <w:szCs w:val="16"/>
    </w:rPr>
  </w:style>
  <w:style w:type="table" w:styleId="TableGrid">
    <w:name w:val="Table Grid"/>
    <w:basedOn w:val="TableNormal"/>
    <w:uiPriority w:val="59"/>
    <w:rsid w:val="00DD3F5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C16B9"/>
    <w:rPr>
      <w:color w:val="808080"/>
    </w:rPr>
  </w:style>
  <w:style w:type="paragraph" w:styleId="ListParagraph">
    <w:name w:val="List Paragraph"/>
    <w:basedOn w:val="Normal"/>
    <w:uiPriority w:val="34"/>
    <w:qFormat/>
    <w:rsid w:val="007F4146"/>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table" w:styleId="LightShading-Accent5">
    <w:name w:val="Light Shading Accent 5"/>
    <w:basedOn w:val="TableNormal"/>
    <w:uiPriority w:val="60"/>
    <w:rsid w:val="00837F2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837F2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837F2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837F2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character" w:styleId="EndnoteReference">
    <w:name w:val="endnote reference"/>
    <w:semiHidden/>
    <w:rPr>
      <w:vertAlign w:val="superscript"/>
    </w:rPr>
  </w:style>
  <w:style w:type="paragraph" w:styleId="TOC8">
    <w:name w:val="toc 8"/>
    <w:basedOn w:val="TOC7"/>
    <w:semiHidden/>
  </w:style>
  <w:style w:type="paragraph" w:styleId="TOC7">
    <w:name w:val="toc 7"/>
    <w:basedOn w:val="TOC3"/>
    <w:semiHidden/>
    <w:pPr>
      <w:spacing w:before="0" w:line="480" w:lineRule="atLeast"/>
      <w:ind w:left="1260" w:hanging="1260"/>
    </w:pPr>
  </w:style>
  <w:style w:type="paragraph" w:styleId="TOC3">
    <w:name w:val="toc 3"/>
    <w:basedOn w:val="Normal"/>
    <w:semiHidden/>
    <w:pPr>
      <w:keepLines/>
      <w:tabs>
        <w:tab w:val="right" w:leader="dot" w:pos="7920"/>
      </w:tabs>
      <w:spacing w:before="120"/>
      <w:ind w:left="1080" w:right="360" w:hanging="540"/>
    </w:pPr>
  </w:style>
  <w:style w:type="paragraph" w:styleId="TOC5">
    <w:name w:val="toc 5"/>
    <w:basedOn w:val="TOC3"/>
    <w:semiHidden/>
    <w:pPr>
      <w:ind w:left="2160"/>
    </w:pPr>
  </w:style>
  <w:style w:type="paragraph" w:styleId="TOC4">
    <w:name w:val="toc 4"/>
    <w:basedOn w:val="TOC3"/>
    <w:semiHidden/>
    <w:pPr>
      <w:ind w:left="1620"/>
    </w:pPr>
  </w:style>
  <w:style w:type="paragraph" w:styleId="TOC2">
    <w:name w:val="toc 2"/>
    <w:basedOn w:val="TOC3"/>
    <w:semiHidden/>
    <w:pPr>
      <w:keepNext/>
      <w:spacing w:before="240"/>
      <w:ind w:left="540"/>
    </w:pPr>
  </w:style>
  <w:style w:type="paragraph" w:styleId="TOC1">
    <w:name w:val="toc 1"/>
    <w:basedOn w:val="TOC3"/>
    <w:semiHidden/>
    <w:pPr>
      <w:keepNext/>
      <w:tabs>
        <w:tab w:val="right" w:pos="7920"/>
      </w:tabs>
      <w:spacing w:before="240"/>
      <w:ind w:left="540"/>
    </w:pPr>
    <w:rPr>
      <w:b/>
      <w:smallCaps/>
    </w:rPr>
  </w:style>
  <w:style w:type="paragraph" w:styleId="Footer">
    <w:name w:val="footer"/>
    <w:basedOn w:val="Normal"/>
    <w:next w:val="Normal"/>
    <w:pPr>
      <w:tabs>
        <w:tab w:val="center" w:pos="43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semiHidden/>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uiPriority w:val="99"/>
    <w:semiHidden/>
    <w:unhideWhenUsed/>
    <w:rsid w:val="00AE53B6"/>
    <w:rPr>
      <w:rFonts w:ascii="Tahoma" w:hAnsi="Tahoma" w:cs="Tahoma"/>
      <w:sz w:val="16"/>
      <w:szCs w:val="16"/>
    </w:rPr>
  </w:style>
  <w:style w:type="character" w:customStyle="1" w:styleId="BalloonTextChar">
    <w:name w:val="Balloon Text Char"/>
    <w:basedOn w:val="DefaultParagraphFont"/>
    <w:link w:val="BalloonText"/>
    <w:uiPriority w:val="99"/>
    <w:semiHidden/>
    <w:rsid w:val="00AE53B6"/>
    <w:rPr>
      <w:rFonts w:ascii="Tahoma" w:hAnsi="Tahoma" w:cs="Tahoma"/>
      <w:sz w:val="16"/>
      <w:szCs w:val="16"/>
    </w:rPr>
  </w:style>
  <w:style w:type="table" w:styleId="TableGrid">
    <w:name w:val="Table Grid"/>
    <w:basedOn w:val="TableNormal"/>
    <w:uiPriority w:val="59"/>
    <w:rsid w:val="00DD3F5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C16B9"/>
    <w:rPr>
      <w:color w:val="808080"/>
    </w:rPr>
  </w:style>
  <w:style w:type="paragraph" w:styleId="ListParagraph">
    <w:name w:val="List Paragraph"/>
    <w:basedOn w:val="Normal"/>
    <w:uiPriority w:val="34"/>
    <w:qFormat/>
    <w:rsid w:val="007F4146"/>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table" w:styleId="LightShading-Accent5">
    <w:name w:val="Light Shading Accent 5"/>
    <w:basedOn w:val="TableNormal"/>
    <w:uiPriority w:val="60"/>
    <w:rsid w:val="00837F2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837F2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837F2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837F2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cdodd\Documents\Fusion\thesis\templates\2007%20and%202010\Thesi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Chapter Template.dotx</Template>
  <TotalTime>10495</TotalTime>
  <Pages>9</Pages>
  <Words>1725</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Chapter Template</vt:lpstr>
    </vt:vector>
  </TitlesOfParts>
  <Company>Microsoft</Company>
  <LinksUpToDate>false</LinksUpToDate>
  <CharactersWithSpaces>11536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Template</dc:title>
  <dc:subject>Master Thesis or Report</dc:subject>
  <dc:creator>kcdodd</dc:creator>
  <cp:keywords>chapter, thesis, report</cp:keywords>
  <cp:lastModifiedBy>kcdodd</cp:lastModifiedBy>
  <cp:revision>129</cp:revision>
  <cp:lastPrinted>2010-09-01T17:40:00Z</cp:lastPrinted>
  <dcterms:created xsi:type="dcterms:W3CDTF">2012-11-05T03:32:00Z</dcterms:created>
  <dcterms:modified xsi:type="dcterms:W3CDTF">2012-11-19T09:53:00Z</dcterms:modified>
</cp:coreProperties>
</file>