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 Trade Note (2026-01-23)</w:t>
      </w:r>
    </w:p>
    <w:p>
      <w:pPr>
        <w:pStyle w:val="Heading1"/>
      </w:pPr>
      <w:r>
        <w:t>Abstract</w:t>
      </w:r>
    </w:p>
    <w:p>
      <w:r>
        <w:t>As of January 23, 2026, KO is in a trend regime with SMA50 above SMA200, indicating bullish momentum. However, the RSI is overbought at 70.39, triggering a SELL recommendation per the strategy's exit criteria. Backtest metrics show moderate risk-adjusted returns with a Sharpe ratio of 0.74 and a hit rate of 71.79%.</w:t>
      </w:r>
    </w:p>
    <w:p>
      <w:pPr>
        <w:pStyle w:val="Heading1"/>
      </w:pPr>
      <w:r>
        <w:t>Recommendation</w:t>
      </w:r>
    </w:p>
    <w:p>
      <w:r>
        <w:t>Signal: Sell</w:t>
      </w:r>
    </w:p>
    <w:p>
      <w:r>
        <w:t>Rationale: Despite the trend regime (SMA50 &gt; SMA200) and ADX indicating moderate trend strength, the RSI exceeds 70, signaling overbought conditions. This aligns with the strategy's exit rule to sell when RSI surpasses 70, as it suggests potential exhaustion of upward momentum. The SELL recommendation avoids holding through potential reversals.</w:t>
      </w:r>
    </w:p>
    <w:p>
      <w:pPr>
        <w:pStyle w:val="Heading1"/>
      </w:pPr>
      <w:r>
        <w:t>Strategy</w:t>
      </w:r>
    </w:p>
    <w:p>
      <w:r>
        <w:t>The strategy operates on trend-following principles, entering trades when SMA50 &gt; SMA200, ADX is between 19 and 30, MACD Histogram &gt; -0.025, and RSI is within 35-69. Exits occur when SMA50 ≤ SMA200, ADX &lt; 19, MACD Histogram &lt; -0.025, or RSI &gt; 70. Currently, the market meets the trend regime criteria but triggers an exit due to RSI exceeding 70, indicating overbought conditions and potential reversal risk.</w:t>
      </w:r>
    </w:p>
    <w:p>
      <w:r>
        <w:t>Indicators used: - SMA measures medium- and long-term price trends. SMA50 (70.71) &gt; SMA200 (69.92) confirms bullish momentum.</w:t>
        <w:br/>
        <w:t>- RSI gauges momentum and overbought/oversold levels. Current RSI (70.39) signals overbought conditions, triggering an exit.</w:t>
        <w:br/>
        <w:t>- MACD Histogram indicates short-term momentum. At 0.34, it supports bullish sentiment but does not override the RSI exit signal.</w:t>
        <w:br/>
        <w:t>- ADX measures trend strength. At 22.18, it confirms moderate trend strength but does not contradict the SELL signal.</w:t>
      </w:r>
    </w:p>
    <w:p>
      <w:pPr>
        <w:pStyle w:val="Heading1"/>
      </w:pPr>
      <w:r>
        <w:t>Backtest Summary</w:t>
      </w:r>
    </w:p>
    <w:p>
      <w:r>
        <w:t>- CAGR: 4.37%</w:t>
        <w:br/>
        <w:t>- Sharpe Ratio: 0.74</w:t>
        <w:br/>
        <w:t>- Max Drawdown: -10.73%</w:t>
        <w:br/>
        <w:t>- Hit Rate: 71.79%</w:t>
      </w:r>
    </w:p>
    <w:p>
      <w:r>
        <w:t>The strategy delivered a total return of 53.50% over the backtest period, underperforming Buy &amp; Hold's 140.93% return. However, it achieved superior risk-adjusted returns (Sharpe 0.74 vs. 0.58) and significantly lower drawdowns (-10.73% vs. -36.99%). The evaluation period spans 10 years, ensuring robust analysis of market conditions. The agent downloaded over 10 years of raw data to ensure sufficient historical context before isolating the 10-year evaluation window.</w:t>
      </w:r>
    </w:p>
    <w:p>
      <w:pPr>
        <w:pStyle w:val="Heading1"/>
      </w:pPr>
      <w:r>
        <w:t>Limitations and Risks</w:t>
      </w:r>
    </w:p>
    <w:p>
      <w:r>
        <w:t>The strategy's reliance on Adjusted Close prices accounts for dividends and splits, ensuring realistic performance metrics. However, Adjusted Close may obscure real-time price action, introducing risks in live trading. The strategy's exit rules, particularly RSI &gt; 70, may lead to premature exits during strong trends. Additionally, backtest results reflect historical conditions and may not fully capture future market dynamics or regime shifts.</w:t>
      </w:r>
    </w:p>
    <w:p>
      <w:pPr>
        <w:pStyle w:val="Heading1"/>
      </w:pPr>
      <w:r>
        <w:t>Future Refinements</w:t>
      </w:r>
    </w:p>
    <w:p>
      <w:r>
        <w:t>Future improvements could include walk-forward validation to test robustness across evolving market conditions. Incorporating additional indicators, such as Bollinger Bands or volume metrics, may enhance signal reliability. Refining exit criteria, such as introducing trailing stops or dynamic RSI thresholds, could reduce premature exits while preserving risk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