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Questions: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The size of the trace file is: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2470 bytes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3851 bytes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3590 bytes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1240 bytes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First 2 packets in the trace file use the following protocol: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ARP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NTP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DNS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HTTP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Most of the packets have the source IP address: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192.168.50.50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192.168.0.1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207.234.209.181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69.44.57.60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The DNS query in the trace file, have the following record type: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AB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CNAME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The NTP version used in this conversation, was: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3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1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The trace file contains: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32 packets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100 packets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55 packets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87 packets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