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120"/>
        <w:jc w:val="center"/>
      </w:pPr>
      <w:r>
        <w:rPr>
          <w:rFonts w:ascii="Arial" w:cs="Arial" w:eastAsia="Arial" w:hAnsi="Arial"/>
          <w:b/>
          <w:bCs/>
          <w:color w:val="1B3A6B"/>
          <w:sz w:val="60"/>
          <w:szCs w:val="60"/>
        </w:rPr>
        <w:t xml:space="preserve">RGAA KNOWLEDGE HUB</w:t>
      </w:r>
    </w:p>
    <w:p>
      <w:pPr>
        <w:spacing w:before="0" w:after="80"/>
        <w:jc w:val="center"/>
      </w:pPr>
      <w:r>
        <w:rPr>
          <w:rFonts w:ascii="Arial" w:cs="Arial" w:eastAsia="Arial" w:hAnsi="Arial"/>
          <w:color w:val="2E6EBF"/>
          <w:sz w:val="32"/>
          <w:szCs w:val="32"/>
        </w:rPr>
        <w:t xml:space="preserve">Rapport de Conception Consolidé</w:t>
      </w:r>
    </w:p>
    <w:p>
      <w:pPr>
        <w:pBdr>
          <w:bottom w:val="single" w:color="2E6EBF" w:sz="6" w:space="12"/>
        </w:pBdr>
        <w:spacing w:before="0" w:after="0"/>
        <w:jc w:val="center"/>
      </w:pPr>
      <w:r>
        <w:rPr>
          <w:rFonts w:ascii="Arial" w:cs="Arial" w:eastAsia="Arial" w:hAnsi="Arial"/>
          <w:i/>
          <w:iCs/>
          <w:color w:val="666666"/>
          <w:sz w:val="22"/>
          <w:szCs w:val="22"/>
        </w:rPr>
        <w:t xml:space="preserve">Architecture · Schéma RAG · Sources officielles · Roadmap</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6826"/>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2.0 — Consolidé — Février 2026</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Statut</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5C3A"/>
                <w:sz w:val="20"/>
                <w:szCs w:val="20"/>
              </w:rPr>
              <w:t xml:space="preserve">✅  Prêt pour implémentation</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Domaine</w:t>
            </w:r>
          </w:p>
        </w:tc>
        <w:tc>
          <w:tcPr>
            <w:tcW w:type="dxa" w:w="6826"/>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Accessibilité numérique — RGAA 4.1.2 / WCAG 2.2 / WAI-ARIA 1.2</w:t>
            </w:r>
          </w:p>
        </w:tc>
      </w:tr>
    </w:tbl>
    <w:p>
      <w:pPr>
        <w:spacing w:before="0" w:after="200"/>
      </w:pPr>
      <w:r>
        <w:t xml:space="preserve"/>
      </w:r>
    </w:p>
    <w:p>
      <w:r>
        <w:br w:type="page"/>
      </w:r>
    </w:p>
    <w:p>
      <w:pPr>
        <w:pStyle w:val="Heading1"/>
        <w:pBdr>
          <w:bottom w:val="single" w:color="2E6EBF" w:sz="8" w:space="6"/>
        </w:pBdr>
        <w:spacing w:before="480" w:after="200"/>
      </w:pPr>
      <w:r>
        <w:rPr>
          <w:rFonts w:ascii="Arial" w:cs="Arial" w:eastAsia="Arial" w:hAnsi="Arial"/>
          <w:b/>
          <w:bCs/>
          <w:color w:val="1B3A6B"/>
          <w:sz w:val="38"/>
          <w:szCs w:val="38"/>
        </w:rPr>
        <w:t xml:space="preserve">1. Vision &amp; Architecture Globale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3A6B" w:sz="22"/>
              <w:bottom w:val="none" w:color="FFFFFF" w:sz="0"/>
              <w:right w:val="none" w:color="FFFFFF" w:sz="0"/>
            </w:tcBorders>
            <w:shd w:fill="D6E4F7" w:val="clear"/>
            <w:tcMar>
              <w:top w:type="dxa" w:w="120"/>
              <w:left w:type="dxa" w:w="220"/>
              <w:bottom w:type="dxa" w:w="120"/>
              <w:right w:type="dxa" w:w="220"/>
            </w:tcMar>
          </w:tcPr>
          <w:p>
            <w:pPr>
              <w:spacing w:before="0" w:after="50"/>
            </w:pPr>
            <w:r>
              <w:rPr>
                <w:rFonts w:ascii="Arial" w:cs="Arial" w:eastAsia="Arial" w:hAnsi="Arial"/>
                <w:b/>
                <w:bCs/>
                <w:color w:val="1B3A6B"/>
                <w:sz w:val="21"/>
                <w:szCs w:val="21"/>
              </w:rPr>
              <w:t xml:space="preserve">Principe directeur</w:t>
            </w:r>
          </w:p>
          <w:p>
            <w:pPr>
              <w:spacing w:before="0" w:after="0"/>
            </w:pPr>
            <w:r>
              <w:rPr>
                <w:rFonts w:ascii="Arial" w:cs="Arial" w:eastAsia="Arial" w:hAnsi="Arial"/>
                <w:color w:val="333333"/>
                <w:sz w:val="21"/>
                <w:szCs w:val="21"/>
              </w:rPr>
              <w:t xml:space="preserve">Un Hub IA expert en accessibilité — headless, universel, qui apprend de chaque interaction. Un seul protocole MCP, une seule Knowledge Base, des clients illimités.</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1.1 Architecture 3 couches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CLIENTS                           │</w:t>
            </w:r>
          </w:p>
          <w:p>
            <w:pPr>
              <w:spacing w:before="20" w:after="20"/>
            </w:pPr>
            <w:r>
              <w:rPr>
                <w:rFonts w:ascii="Courier New" w:cs="Courier New" w:eastAsia="Courier New" w:hAnsi="Courier New"/>
                <w:color w:val="C9D1D9"/>
                <w:sz w:val="18"/>
                <w:szCs w:val="18"/>
              </w:rPr>
              <w:t xml:space="preserve">│   Front React  ·  VS Code/Cursor  ·  Chrome  ·  LLMs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MCP Protocol  (contrat unique)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KNOWLEDGE HUB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  │</w:t>
            </w:r>
          </w:p>
          <w:p>
            <w:pPr>
              <w:spacing w:before="20" w:after="20"/>
            </w:pPr>
            <w:r>
              <w:rPr>
                <w:rFonts w:ascii="Courier New" w:cs="Courier New" w:eastAsia="Courier New" w:hAnsi="Courier New"/>
                <w:color w:val="C9D1D9"/>
                <w:sz w:val="18"/>
                <w:szCs w:val="18"/>
              </w:rPr>
              <w:t xml:space="preserve">│   │   RAG Engine    │    │      MCP Server          │  │</w:t>
            </w:r>
          </w:p>
          <w:p>
            <w:pPr>
              <w:spacing w:before="20" w:after="20"/>
            </w:pPr>
            <w:r>
              <w:rPr>
                <w:rFonts w:ascii="Courier New" w:cs="Courier New" w:eastAsia="Courier New" w:hAnsi="Courier New"/>
                <w:color w:val="C9D1D9"/>
                <w:sz w:val="18"/>
                <w:szCs w:val="18"/>
              </w:rPr>
              <w:t xml:space="preserve">│   │   ChromaDB      │    │      12 outils           │  │</w:t>
            </w:r>
          </w:p>
          <w:p>
            <w:pPr>
              <w:spacing w:before="20" w:after="20"/>
            </w:pPr>
            <w:r>
              <w:rPr>
                <w:rFonts w:ascii="Courier New" w:cs="Courier New" w:eastAsia="Courier New" w:hAnsi="Courier New"/>
                <w:color w:val="C9D1D9"/>
                <w:sz w:val="18"/>
                <w:szCs w:val="18"/>
              </w:rPr>
              <w:t xml:space="preserve">│   │   embed()       │    │      contrat universel   │  │</w:t>
            </w:r>
          </w:p>
          <w:p>
            <w:pPr>
              <w:spacing w:before="20" w:after="20"/>
            </w:pPr>
            <w:r>
              <w:rPr>
                <w:rFonts w:ascii="Courier New" w:cs="Courier New" w:eastAsia="Courier New" w:hAnsi="Courier New"/>
                <w:color w:val="C9D1D9"/>
                <w:sz w:val="18"/>
                <w:szCs w:val="18"/>
              </w:rPr>
              <w:t xml:space="preserve">│   └─────────────────┘    └──────────────────────────┘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w:t>
            </w:r>
          </w:p>
          <w:p>
            <w:pPr>
              <w:spacing w:before="20" w:after="20"/>
            </w:pPr>
            <w:r>
              <w:rPr>
                <w:rFonts w:ascii="Courier New" w:cs="Courier New" w:eastAsia="Courier New" w:hAnsi="Courier New"/>
                <w:color w:val="C9D1D9"/>
                <w:sz w:val="18"/>
                <w:szCs w:val="18"/>
              </w:rPr>
              <w:t xml:space="preserve">│   │                Knowledge Base                    │  │</w:t>
            </w:r>
          </w:p>
          <w:p>
            <w:pPr>
              <w:spacing w:before="20" w:after="20"/>
            </w:pPr>
            <w:r>
              <w:rPr>
                <w:rFonts w:ascii="Courier New" w:cs="Courier New" w:eastAsia="Courier New" w:hAnsi="Courier New"/>
                <w:color w:val="C9D1D9"/>
                <w:sz w:val="18"/>
                <w:szCs w:val="18"/>
              </w:rPr>
              <w:t xml:space="preserve">│   │  rgaa_referentiel  ·  rgaa_expertise  ·  rgaa_code│ │</w:t>
            </w:r>
          </w:p>
          <w:p>
            <w:pPr>
              <w:spacing w:before="20" w:after="20"/>
            </w:pPr>
            <w:r>
              <w:rPr>
                <w:rFonts w:ascii="Courier New" w:cs="Courier New" w:eastAsia="Courier New" w:hAnsi="Courier New"/>
                <w:color w:val="C9D1D9"/>
                <w:sz w:val="18"/>
                <w:szCs w:val="18"/>
              </w:rPr>
              <w:t xml:space="preserve">│   └─────────────────────────────────────────────────┘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INGESTION PIPELINE                        │</w:t>
            </w:r>
          </w:p>
          <w:p>
            <w:pPr>
              <w:spacing w:before="20" w:after="20"/>
            </w:pPr>
            <w:r>
              <w:rPr>
                <w:rFonts w:ascii="Courier New" w:cs="Courier New" w:eastAsia="Courier New" w:hAnsi="Courier New"/>
                <w:color w:val="C9D1D9"/>
                <w:sz w:val="18"/>
                <w:szCs w:val="18"/>
              </w:rPr>
              <w:t xml:space="preserve">│   DOCX → Parse → Validate → Embed → Index              │</w:t>
            </w:r>
          </w:p>
          <w:p>
            <w:pPr>
              <w:spacing w:before="20" w:after="20"/>
            </w:pPr>
            <w:r>
              <w:rPr>
                <w:rFonts w:ascii="Courier New" w:cs="Courier New" w:eastAsia="Courier New" w:hAnsi="Courier New"/>
                <w:color w:val="C9D1D9"/>
                <w:sz w:val="18"/>
                <w:szCs w:val="18"/>
              </w:rPr>
              <w:t xml:space="preserve">│   Sources Web → Scrape → Chunk → Embed → Index         │</w:t>
            </w:r>
          </w:p>
          <w:p>
            <w:pPr>
              <w:spacing w:before="20" w:after="20"/>
            </w:pPr>
            <w:r>
              <w:rPr>
                <w:rFonts w:ascii="Courier New" w:cs="Courier New" w:eastAsia="Courier New" w:hAnsi="Courier New"/>
                <w:color w:val="C9D1D9"/>
                <w:sz w:val="18"/>
                <w:szCs w:val="18"/>
              </w:rPr>
              <w:t xml:space="preserv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Couche</w:t>
            </w:r>
          </w:p>
        </w:tc>
        <w:tc>
          <w:tcPr>
            <w:tcW w:type="dxa" w:w="3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Rôle</w:t>
            </w:r>
          </w:p>
        </w:tc>
        <w:tc>
          <w:tcPr>
            <w:tcW w:type="dxa" w:w="36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Principe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Ingestion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Convertir sources brutes en vecteurs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Alimente le Hub — n'en fait pas partie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Knowledge Hub</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RAG + MCP + Knowledge Base</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Stable, déployé indépendamment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Consommateurs MCP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Évoluent sans toucher le Hub</w:t>
            </w:r>
          </w:p>
        </w:tc>
      </w:tr>
    </w:tbl>
    <w:p>
      <w:pPr>
        <w:spacing w:before="0" w:after="200"/>
      </w:pPr>
      <w:r>
        <w:t xml:space="preserve"/>
      </w:r>
    </w:p>
    <w:p>
      <w:pPr>
        <w:pStyle w:val="Heading1"/>
        <w:pBdr>
          <w:bottom w:val="single" w:color="2E6EBF" w:sz="8" w:space="6"/>
        </w:pBdr>
        <w:spacing w:before="480" w:after="200"/>
      </w:pPr>
      <w:r>
        <w:rPr>
          <w:rFonts w:ascii="Arial" w:cs="Arial" w:eastAsia="Arial" w:hAnsi="Arial"/>
          <w:b/>
          <w:bCs/>
          <w:color w:val="1B3A6B"/>
          <w:sz w:val="38"/>
          <w:szCs w:val="38"/>
        </w:rPr>
        <w:t xml:space="preserve">2. Stack Technologique Validée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Composant</w:t>
            </w:r>
          </w:p>
        </w:tc>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Technologie</w:t>
            </w:r>
          </w:p>
        </w:tc>
        <w:tc>
          <w:tcPr>
            <w:tcW w:type="dxa" w:w="42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relationnelle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 + Drizzle ORM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Conservé — aucune migration nécessaire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Base vectorielle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ChromaDB</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Léger, dédié RAG, sans toucher MySQL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 principal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 text-embedding-3-small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Meilleure qualité français technique RGAA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Embeddings fallback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Ollama — nomic-embed-text</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Confidentialité des données / mode 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Protocole universel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MCP (Model Context Protocol)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contrat, tous les clients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LLM</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Interface abstraite embed()</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Swappable sans impact architectural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Stack serveur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Express + tRPC + Zod + TypeScript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Conservée intégralement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Parser existant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mammoth.js</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Migré en Ingestion Pipeline autonome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Déduplication existante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SHA-256 + Levenshtein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Complétée par similarité vectorielle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C3A" w:sz="22"/>
              <w:bottom w:val="none" w:color="FFFFFF" w:sz="0"/>
              <w:right w:val="none" w:color="FFFFFF" w:sz="0"/>
            </w:tcBorders>
            <w:shd w:fill="E8F5E9" w:val="clear"/>
            <w:tcMar>
              <w:top w:type="dxa" w:w="120"/>
              <w:left w:type="dxa" w:w="220"/>
              <w:bottom w:type="dxa" w:w="120"/>
              <w:right w:type="dxa" w:w="220"/>
            </w:tcMar>
          </w:tcPr>
          <w:p>
            <w:pPr>
              <w:spacing w:before="0" w:after="50"/>
            </w:pPr>
            <w:r>
              <w:rPr>
                <w:rFonts w:ascii="Arial" w:cs="Arial" w:eastAsia="Arial" w:hAnsi="Arial"/>
                <w:b/>
                <w:bCs/>
                <w:color w:val="1A5C3A"/>
                <w:sz w:val="21"/>
                <w:szCs w:val="21"/>
              </w:rPr>
              <w:t xml:space="preserve">Décision fondamentale — Zéro réécriture</w:t>
            </w:r>
          </w:p>
          <w:p>
            <w:pPr>
              <w:spacing w:before="0" w:after="0"/>
            </w:pPr>
            <w:r>
              <w:rPr>
                <w:rFonts w:ascii="Arial" w:cs="Arial" w:eastAsia="Arial" w:hAnsi="Arial"/>
                <w:color w:val="333333"/>
                <w:sz w:val="21"/>
                <w:szCs w:val="21"/>
              </w:rPr>
              <w:t xml:space="preserve">Tout le code existant (repositories, parser, déduplication, MCP Server, schéma BDD, tRPC routers) est conservé et intégré dans la nouvelle architecture. Le Hub est une évolution structurée, pas une réécriture.</w:t>
            </w:r>
          </w:p>
        </w:tc>
      </w:tr>
    </w:tbl>
    <w:p>
      <w:pPr>
        <w:spacing w:before="0" w:after="200"/>
      </w:pPr>
      <w:r>
        <w:t xml:space="preserve"/>
      </w:r>
    </w:p>
    <w:p>
      <w:r>
        <w:br w:type="page"/>
      </w:r>
    </w:p>
    <w:p>
      <w:pPr>
        <w:pStyle w:val="Heading1"/>
        <w:pBdr>
          <w:bottom w:val="single" w:color="2E6EBF" w:sz="8" w:space="6"/>
        </w:pBdr>
        <w:spacing w:before="480" w:after="200"/>
      </w:pPr>
      <w:r>
        <w:rPr>
          <w:rFonts w:ascii="Arial" w:cs="Arial" w:eastAsia="Arial" w:hAnsi="Arial"/>
          <w:b/>
          <w:bCs/>
          <w:color w:val="1B3A6B"/>
          <w:sz w:val="38"/>
          <w:szCs w:val="38"/>
        </w:rPr>
        <w:t xml:space="preserve">3. Schéma RAG — Architecture Validée</w:t>
      </w:r>
    </w:p>
    <w:p>
      <w:pPr>
        <w:spacing w:before="0" w:after="100"/>
      </w:pPr>
      <w:r>
        <w:t xml:space="preserve"/>
      </w:r>
    </w:p>
    <w:p>
      <w:pPr>
        <w:spacing w:before="60" w:after="120"/>
      </w:pPr>
      <w:r>
        <w:rPr>
          <w:rFonts w:ascii="Arial" w:cs="Arial" w:eastAsia="Arial" w:hAnsi="Arial"/>
          <w:color w:val="333333"/>
          <w:sz w:val="22"/>
          <w:szCs w:val="22"/>
        </w:rPr>
        <w:t xml:space="preserve">Le RAG (Retrieval-Augmented Generation) est le mécanisme central qui transforme le Hub en expert plutôt qu'en moteur de recherche classique. Il enrichit chaque requête avec des documents pertinents extraits de la Knowledge Base avant de solliciter le LLM.</w:t>
      </w:r>
    </w:p>
    <w:p>
      <w:pPr>
        <w:spacing w:before="0" w:after="100"/>
      </w:pPr>
      <w:r>
        <w:t xml:space="preserve"/>
      </w:r>
    </w:p>
    <w:p>
      <w:pPr>
        <w:pStyle w:val="Heading2"/>
        <w:spacing w:before="300" w:after="140"/>
      </w:pPr>
      <w:r>
        <w:rPr>
          <w:rFonts w:ascii="Arial" w:cs="Arial" w:eastAsia="Arial" w:hAnsi="Arial"/>
          <w:b/>
          <w:bCs/>
          <w:color w:val="2E6EBF"/>
          <w:sz w:val="28"/>
          <w:szCs w:val="28"/>
        </w:rPr>
        <w:t xml:space="preserve">3.1 Flux de traitement RAG</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C9D1D9"/>
                <w:sz w:val="18"/>
                <w:szCs w:val="18"/>
              </w:rPr>
              <w:t xml:space="preserve">  Entrée (question / code / appel MCP outil)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embed(input) ──► vecteur 1536 dimensions (OpenAI)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Détection du type de requête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Contient HTML/balise/code              │</w:t>
            </w:r>
          </w:p>
          <w:p>
            <w:pPr>
              <w:spacing w:before="20" w:after="20"/>
            </w:pPr>
            <w:r>
              <w:rPr>
                <w:rFonts w:ascii="Courier New" w:cs="Courier New" w:eastAsia="Courier New" w:hAnsi="Courier New"/>
                <w:color w:val="C9D1D9"/>
                <w:sz w:val="18"/>
                <w:szCs w:val="18"/>
              </w:rPr>
              <w:t xml:space="preserve">    │    → priorité rgaa_code                 │</w:t>
            </w:r>
          </w:p>
          <w:p>
            <w:pPr>
              <w:spacing w:before="20" w:after="20"/>
            </w:pPr>
            <w:r>
              <w:rPr>
                <w:rFonts w:ascii="Courier New" w:cs="Courier New" w:eastAsia="Courier New" w:hAnsi="Courier New"/>
                <w:color w:val="C9D1D9"/>
                <w:sz w:val="18"/>
                <w:szCs w:val="18"/>
              </w:rPr>
              <w:t xml:space="preserve">    │  Question générale accessibilité        │</w:t>
            </w:r>
          </w:p>
          <w:p>
            <w:pPr>
              <w:spacing w:before="20" w:after="20"/>
            </w:pPr>
            <w:r>
              <w:rPr>
                <w:rFonts w:ascii="Courier New" w:cs="Courier New" w:eastAsia="Courier New" w:hAnsi="Courier New"/>
                <w:color w:val="C9D1D9"/>
                <w:sz w:val="18"/>
                <w:szCs w:val="18"/>
              </w:rPr>
              <w:t xml:space="preserve">    │    → rgaa_referentiel + rgaa_expertise  │</w:t>
            </w:r>
          </w:p>
          <w:p>
            <w:pPr>
              <w:spacing w:before="20" w:after="20"/>
            </w:pPr>
            <w:r>
              <w:rPr>
                <w:rFonts w:ascii="Courier New" w:cs="Courier New" w:eastAsia="Courier New" w:hAnsi="Courier New"/>
                <w:color w:val="C9D1D9"/>
                <w:sz w:val="18"/>
                <w:szCs w:val="18"/>
              </w:rPr>
              <w:t xml:space="preserve">    │  Recherche pattern UI (composant)       │</w:t>
            </w:r>
          </w:p>
          <w:p>
            <w:pPr>
              <w:spacing w:before="20" w:after="20"/>
            </w:pPr>
            <w:r>
              <w:rPr>
                <w:rFonts w:ascii="Courier New" w:cs="Courier New" w:eastAsia="Courier New" w:hAnsi="Courier New"/>
                <w:color w:val="C9D1D9"/>
                <w:sz w:val="18"/>
                <w:szCs w:val="18"/>
              </w:rPr>
              <w:t xml:space="preserve">    │    → rgaa_expertise + rgaa_code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Recherche parallèle ChromaDB</w:t>
            </w:r>
          </w:p>
          <w:p>
            <w:pPr>
              <w:spacing w:before="20" w:after="20"/>
            </w:pPr>
            <w:r>
              <w:rPr>
                <w:rFonts w:ascii="Courier New" w:cs="Courier New" w:eastAsia="Courier New" w:hAnsi="Courier New"/>
                <w:color w:val="C9D1D9"/>
                <w:sz w:val="18"/>
                <w:szCs w:val="18"/>
              </w:rPr>
              <w:t xml:space="preserve">    (top K résultats par collection concernée)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Scoring multi-facteurs</w:t>
            </w:r>
          </w:p>
          <w:p>
            <w:pPr>
              <w:spacing w:before="20" w:after="20"/>
            </w:pPr>
            <w:r>
              <w:rPr>
                <w:rFonts w:ascii="Courier New" w:cs="Courier New" w:eastAsia="Courier New" w:hAnsi="Courier New"/>
                <w:color w:val="C9D1D9"/>
                <w:sz w:val="18"/>
                <w:szCs w:val="18"/>
              </w:rPr>
              <w:t xml:space="preserve">    score = cosine_similarity</w:t>
            </w:r>
          </w:p>
          <w:p>
            <w:pPr>
              <w:spacing w:before="20" w:after="20"/>
            </w:pPr>
            <w:r>
              <w:rPr>
                <w:rFonts w:ascii="Courier New" w:cs="Courier New" w:eastAsia="Courier New" w:hAnsi="Courier New"/>
                <w:color w:val="C9D1D9"/>
                <w:sz w:val="18"/>
                <w:szCs w:val="18"/>
              </w:rPr>
              <w:t xml:space="preserve">           × (1 + log(occurrence_count + 1))</w:t>
            </w:r>
          </w:p>
          <w:p>
            <w:pPr>
              <w:spacing w:before="20" w:after="20"/>
            </w:pPr>
            <w:r>
              <w:rPr>
                <w:rFonts w:ascii="Courier New" w:cs="Courier New" w:eastAsia="Courier New" w:hAnsi="Courier New"/>
                <w:color w:val="C9D1D9"/>
                <w:sz w:val="18"/>
                <w:szCs w:val="18"/>
              </w:rPr>
              <w:t xml:space="preserve">           × (confidence_level / 100)</w:t>
            </w:r>
          </w:p>
          <w:p>
            <w:pPr>
              <w:spacing w:before="20" w:after="20"/>
            </w:pPr>
            <w:r>
              <w:rPr>
                <w:rFonts w:ascii="Courier New" w:cs="Courier New" w:eastAsia="Courier New" w:hAnsi="Courier New"/>
                <w:color w:val="C9D1D9"/>
                <w:sz w:val="18"/>
                <w:szCs w:val="18"/>
              </w:rPr>
              <w:t xml:space="preserve">           × temporal_decay(audit_date)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Sélection top 6 documents → contexte enrichi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Prompt LLM (OpenAI / Ollama) avec contexte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Réponse experte retournée via MCP</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3.2 Les 3 Collections ChromaDB</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Collection</w:t>
            </w:r>
          </w:p>
        </w:tc>
        <w:tc>
          <w:tcPr>
            <w:tcW w:type="dxa" w:w="2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Nature</w:t>
            </w:r>
          </w:p>
        </w:tc>
        <w:tc>
          <w:tcPr>
            <w:tcW w:type="dxa" w:w="44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Contenu indexé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rgaa_referentiel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Immuable — vérité officielle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Critères RGAA 4.1.2, WCAG 2.2, glossaire, tests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rgaa_expertise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Vivante — enrichie en continu</w:t>
            </w:r>
          </w:p>
        </w:tc>
        <w:tc>
          <w:tcPr>
            <w:tcW w:type="dxa" w:w="4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Findings validés auditeurs, patterns AcceDe, WAI-ARIA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rgaa_code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Technique — snippets spécialisés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HTML/ARIA corrects et incorrects par critère</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3.3 Structure des documents vectorisés</w:t>
      </w:r>
    </w:p>
    <w:p>
      <w:pPr>
        <w:spacing w:before="0" w:after="100"/>
      </w:pPr>
      <w:r>
        <w:t xml:space="preserve"/>
      </w:r>
    </w:p>
    <w:p>
      <w:pPr>
        <w:pStyle w:val="Heading3"/>
        <w:spacing w:before="200" w:after="100"/>
      </w:pPr>
      <w:r>
        <w:rPr>
          <w:rFonts w:ascii="Arial" w:cs="Arial" w:eastAsia="Arial" w:hAnsi="Arial"/>
          <w:b/>
          <w:bCs/>
          <w:color w:val="1B3A6B"/>
          <w:sz w:val="24"/>
          <w:szCs w:val="24"/>
        </w:rPr>
        <w:t xml:space="preserve">rgaa_referentiel — Critère officiel</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id:      "criterion_11.9",</w:t>
            </w:r>
          </w:p>
          <w:p>
            <w:pPr>
              <w:spacing w:before="20" w:after="20"/>
            </w:pPr>
            <w:r>
              <w:rPr>
                <w:rFonts w:ascii="Courier New" w:cs="Courier New" w:eastAsia="Courier New" w:hAnsi="Courier New"/>
                <w:color w:val="C9D1D9"/>
                <w:sz w:val="18"/>
                <w:szCs w:val="18"/>
              </w:rPr>
              <w:t xml:space="preserve">  content: "[CRITÈRE 11.9] [THÉMATIQUE: Formulaires]</w:t>
            </w:r>
          </w:p>
          <w:p>
            <w:pPr>
              <w:spacing w:before="20" w:after="20"/>
            </w:pPr>
            <w:r>
              <w:rPr>
                <w:rFonts w:ascii="Courier New" w:cs="Courier New" w:eastAsia="Courier New" w:hAnsi="Courier New"/>
                <w:color w:val="C9D1D9"/>
                <w:sz w:val="18"/>
                <w:szCs w:val="18"/>
              </w:rPr>
              <w:t xml:space="preserve">            Chaque bouton a-t-il un intitulé ?</w:t>
            </w:r>
          </w:p>
          <w:p>
            <w:pPr>
              <w:spacing w:before="20" w:after="20"/>
            </w:pPr>
            <w:r>
              <w:rPr>
                <w:rFonts w:ascii="Courier New" w:cs="Courier New" w:eastAsia="Courier New" w:hAnsi="Courier New"/>
                <w:color w:val="C9D1D9"/>
                <w:sz w:val="18"/>
                <w:szCs w:val="18"/>
              </w:rPr>
              <w:t xml:space="preserve">            Tests: vérifier aria-label, aria-labelledby,</w:t>
            </w:r>
          </w:p>
          <w:p>
            <w:pPr>
              <w:spacing w:before="20" w:after="20"/>
            </w:pPr>
            <w:r>
              <w:rPr>
                <w:rFonts w:ascii="Courier New" w:cs="Courier New" w:eastAsia="Courier New" w:hAnsi="Courier New"/>
                <w:color w:val="C9D1D9"/>
                <w:sz w:val="18"/>
                <w:szCs w:val="18"/>
              </w:rPr>
              <w:t xml:space="preserve">            value ou texte visible du bouton interactif.",</w:t>
            </w:r>
          </w:p>
          <w:p>
            <w:pPr>
              <w:spacing w:before="20" w:after="20"/>
            </w:pPr>
            <w:r>
              <w:rPr>
                <w:rFonts w:ascii="Courier New" w:cs="Courier New" w:eastAsia="Courier New" w:hAnsi="Courier New"/>
                <w:color w:val="C9D1D9"/>
                <w:sz w:val="18"/>
                <w:szCs w:val="18"/>
              </w:rPr>
              <w:t xml:space="preserve">  metadata: {</w:t>
            </w:r>
          </w:p>
          <w:p>
            <w:pPr>
              <w:spacing w:before="20" w:after="20"/>
            </w:pPr>
            <w:r>
              <w:rPr>
                <w:rFonts w:ascii="Courier New" w:cs="Courier New" w:eastAsia="Courier New" w:hAnsi="Courier New"/>
                <w:color w:val="C9D1D9"/>
                <w:sz w:val="18"/>
                <w:szCs w:val="18"/>
              </w:rPr>
              <w:t xml:space="preserve">    type:             "criterion",</w:t>
            </w:r>
          </w:p>
          <w:p>
            <w:pPr>
              <w:spacing w:before="20" w:after="20"/>
            </w:pPr>
            <w:r>
              <w:rPr>
                <w:rFonts w:ascii="Courier New" w:cs="Courier New" w:eastAsia="Courier New" w:hAnsi="Courier New"/>
                <w:color w:val="C9D1D9"/>
                <w:sz w:val="18"/>
                <w:szCs w:val="18"/>
              </w:rPr>
              <w:t xml:space="preserve">    criterion_ref:    "11.9",</w:t>
            </w:r>
          </w:p>
          <w:p>
            <w:pPr>
              <w:spacing w:before="20" w:after="20"/>
            </w:pPr>
            <w:r>
              <w:rPr>
                <w:rFonts w:ascii="Courier New" w:cs="Courier New" w:eastAsia="Courier New" w:hAnsi="Courier New"/>
                <w:color w:val="C9D1D9"/>
                <w:sz w:val="18"/>
                <w:szCs w:val="18"/>
              </w:rPr>
              <w:t xml:space="preserve">    thematic_number:  11,</w:t>
            </w:r>
          </w:p>
          <w:p>
            <w:pPr>
              <w:spacing w:before="20" w:after="20"/>
            </w:pPr>
            <w:r>
              <w:rPr>
                <w:rFonts w:ascii="Courier New" w:cs="Courier New" w:eastAsia="Courier New" w:hAnsi="Courier New"/>
                <w:color w:val="C9D1D9"/>
                <w:sz w:val="18"/>
                <w:szCs w:val="18"/>
              </w:rPr>
              <w:t xml:space="preserve">    thematic_name:    "Formulaires",</w:t>
            </w:r>
          </w:p>
          <w:p>
            <w:pPr>
              <w:spacing w:before="20" w:after="20"/>
            </w:pPr>
            <w:r>
              <w:rPr>
                <w:rFonts w:ascii="Courier New" w:cs="Courier New" w:eastAsia="Courier New" w:hAnsi="Courier New"/>
                <w:color w:val="C9D1D9"/>
                <w:sz w:val="18"/>
                <w:szCs w:val="18"/>
              </w:rPr>
              <w:t xml:space="preserve">    wcag_ref:         "4.1.2",</w:t>
            </w:r>
          </w:p>
          <w:p>
            <w:pPr>
              <w:spacing w:before="20" w:after="20"/>
            </w:pPr>
            <w:r>
              <w:rPr>
                <w:rFonts w:ascii="Courier New" w:cs="Courier New" w:eastAsia="Courier New" w:hAnsi="Courier New"/>
                <w:color w:val="C9D1D9"/>
                <w:sz w:val="18"/>
                <w:szCs w:val="18"/>
              </w:rPr>
              <w:t xml:space="preserve">    source:           "rgaa_official",</w:t>
            </w:r>
          </w:p>
          <w:p>
            <w:pPr>
              <w:spacing w:before="20" w:after="20"/>
            </w:pPr>
            <w:r>
              <w:rPr>
                <w:rFonts w:ascii="Courier New" w:cs="Courier New" w:eastAsia="Courier New" w:hAnsi="Courier New"/>
                <w:color w:val="C9D1D9"/>
                <w:sz w:val="18"/>
                <w:szCs w:val="18"/>
              </w:rPr>
              <w:t xml:space="preserve">    confidence_level: 100,</w:t>
            </w:r>
          </w:p>
          <w:p>
            <w:pPr>
              <w:spacing w:before="20" w:after="20"/>
            </w:pPr>
            <w:r>
              <w:rPr>
                <w:rFonts w:ascii="Courier New" w:cs="Courier New" w:eastAsia="Courier New" w:hAnsi="Courier New"/>
                <w:color w:val="C9D1D9"/>
                <w:sz w:val="18"/>
                <w:szCs w:val="18"/>
              </w:rPr>
              <w:t xml:space="preserve">    language:         "fr",</w:t>
            </w:r>
          </w:p>
          <w:p>
            <w:pPr>
              <w:spacing w:before="20" w:after="20"/>
            </w:pPr>
            <w:r>
              <w:rPr>
                <w:rFonts w:ascii="Courier New" w:cs="Courier New" w:eastAsia="Courier New" w:hAnsi="Courier New"/>
                <w:color w:val="C9D1D9"/>
                <w:sz w:val="18"/>
                <w:szCs w:val="18"/>
              </w:rPr>
              <w:t xml:space="preserve">    version:          "4.1.2"</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0" w:after="100"/>
      </w:pPr>
      <w:r>
        <w:t xml:space="preserve"/>
      </w:r>
    </w:p>
    <w:p>
      <w:pPr>
        <w:pStyle w:val="Heading3"/>
        <w:spacing w:before="200" w:after="100"/>
      </w:pPr>
      <w:r>
        <w:rPr>
          <w:rFonts w:ascii="Arial" w:cs="Arial" w:eastAsia="Arial" w:hAnsi="Arial"/>
          <w:b/>
          <w:bCs/>
          <w:color w:val="1B3A6B"/>
          <w:sz w:val="24"/>
          <w:szCs w:val="24"/>
        </w:rPr>
        <w:t xml:space="preserve">rgaa_expertise — Finding validé par auditeur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id:      "exp_{uuid}",</w:t>
            </w:r>
          </w:p>
          <w:p>
            <w:pPr>
              <w:spacing w:before="20" w:after="20"/>
            </w:pPr>
            <w:r>
              <w:rPr>
                <w:rFonts w:ascii="Courier New" w:cs="Courier New" w:eastAsia="Courier New" w:hAnsi="Courier New"/>
                <w:color w:val="C9D1D9"/>
                <w:sz w:val="18"/>
                <w:szCs w:val="18"/>
              </w:rPr>
              <w:t xml:space="preserve">  content: "[CRITÈRE 11.9] [BLOQUANT] [Formulaires]</w:t>
            </w:r>
          </w:p>
          <w:p>
            <w:pPr>
              <w:spacing w:before="20" w:after="20"/>
            </w:pPr>
            <w:r>
              <w:rPr>
                <w:rFonts w:ascii="Courier New" w:cs="Courier New" w:eastAsia="Courier New" w:hAnsi="Courier New"/>
                <w:color w:val="C9D1D9"/>
                <w:sz w:val="18"/>
                <w:szCs w:val="18"/>
              </w:rPr>
              <w:t xml:space="preserve">            Les boutons du formulaire de contact sont</w:t>
            </w:r>
          </w:p>
          <w:p>
            <w:pPr>
              <w:spacing w:before="20" w:after="20"/>
            </w:pPr>
            <w:r>
              <w:rPr>
                <w:rFonts w:ascii="Courier New" w:cs="Courier New" w:eastAsia="Courier New" w:hAnsi="Courier New"/>
                <w:color w:val="C9D1D9"/>
                <w:sz w:val="18"/>
                <w:szCs w:val="18"/>
              </w:rPr>
              <w:t xml:space="preserve">            dépourvus de texte accessible pour les</w:t>
            </w:r>
          </w:p>
          <w:p>
            <w:pPr>
              <w:spacing w:before="20" w:after="20"/>
            </w:pPr>
            <w:r>
              <w:rPr>
                <w:rFonts w:ascii="Courier New" w:cs="Courier New" w:eastAsia="Courier New" w:hAnsi="Courier New"/>
                <w:color w:val="C9D1D9"/>
                <w:sz w:val="18"/>
                <w:szCs w:val="18"/>
              </w:rPr>
              <w:t xml:space="preserve">            technologies d'assistance.</w:t>
            </w:r>
          </w:p>
          <w:p>
            <w:pPr>
              <w:spacing w:before="20" w:after="20"/>
            </w:pPr>
            <w:r>
              <w:rPr>
                <w:rFonts w:ascii="Courier New" w:cs="Courier New" w:eastAsia="Courier New" w:hAnsi="Courier New"/>
                <w:color w:val="C9D1D9"/>
                <w:sz w:val="18"/>
                <w:szCs w:val="18"/>
              </w:rPr>
              <w:t xml:space="preserve">            SOLUTION: Ajouter aria-label ou texte</w:t>
            </w:r>
          </w:p>
          <w:p>
            <w:pPr>
              <w:spacing w:before="20" w:after="20"/>
            </w:pPr>
            <w:r>
              <w:rPr>
                <w:rFonts w:ascii="Courier New" w:cs="Courier New" w:eastAsia="Courier New" w:hAnsi="Courier New"/>
                <w:color w:val="C9D1D9"/>
                <w:sz w:val="18"/>
                <w:szCs w:val="18"/>
              </w:rPr>
              <w:t xml:space="preserve">            visible sur chaque bouton interactif.",</w:t>
            </w:r>
          </w:p>
          <w:p>
            <w:pPr>
              <w:spacing w:before="20" w:after="20"/>
            </w:pPr>
            <w:r>
              <w:rPr>
                <w:rFonts w:ascii="Courier New" w:cs="Courier New" w:eastAsia="Courier New" w:hAnsi="Courier New"/>
                <w:color w:val="C9D1D9"/>
                <w:sz w:val="18"/>
                <w:szCs w:val="18"/>
              </w:rPr>
              <w:t xml:space="preserve">  metadata: {</w:t>
            </w:r>
          </w:p>
          <w:p>
            <w:pPr>
              <w:spacing w:before="20" w:after="20"/>
            </w:pPr>
            <w:r>
              <w:rPr>
                <w:rFonts w:ascii="Courier New" w:cs="Courier New" w:eastAsia="Courier New" w:hAnsi="Courier New"/>
                <w:color w:val="C9D1D9"/>
                <w:sz w:val="18"/>
                <w:szCs w:val="18"/>
              </w:rPr>
              <w:t xml:space="preserve">    type:             "finding",</w:t>
            </w:r>
          </w:p>
          <w:p>
            <w:pPr>
              <w:spacing w:before="20" w:after="20"/>
            </w:pPr>
            <w:r>
              <w:rPr>
                <w:rFonts w:ascii="Courier New" w:cs="Courier New" w:eastAsia="Courier New" w:hAnsi="Courier New"/>
                <w:color w:val="C9D1D9"/>
                <w:sz w:val="18"/>
                <w:szCs w:val="18"/>
              </w:rPr>
              <w:t xml:space="preserve">    criterion_ref:    "11.9",</w:t>
            </w:r>
          </w:p>
          <w:p>
            <w:pPr>
              <w:spacing w:before="20" w:after="20"/>
            </w:pPr>
            <w:r>
              <w:rPr>
                <w:rFonts w:ascii="Courier New" w:cs="Courier New" w:eastAsia="Courier New" w:hAnsi="Courier New"/>
                <w:color w:val="C9D1D9"/>
                <w:sz w:val="18"/>
                <w:szCs w:val="18"/>
              </w:rPr>
              <w:t xml:space="preserve">    thematic_number:  11,</w:t>
            </w:r>
          </w:p>
          <w:p>
            <w:pPr>
              <w:spacing w:before="20" w:after="20"/>
            </w:pPr>
            <w:r>
              <w:rPr>
                <w:rFonts w:ascii="Courier New" w:cs="Courier New" w:eastAsia="Courier New" w:hAnsi="Courier New"/>
                <w:color w:val="C9D1D9"/>
                <w:sz w:val="18"/>
                <w:szCs w:val="18"/>
              </w:rPr>
              <w:t xml:space="preserve">    impact:           "Bloquant",</w:t>
            </w:r>
          </w:p>
          <w:p>
            <w:pPr>
              <w:spacing w:before="20" w:after="20"/>
            </w:pPr>
            <w:r>
              <w:rPr>
                <w:rFonts w:ascii="Courier New" w:cs="Courier New" w:eastAsia="Courier New" w:hAnsi="Courier New"/>
                <w:color w:val="C9D1D9"/>
                <w:sz w:val="18"/>
                <w:szCs w:val="18"/>
              </w:rPr>
              <w:t xml:space="preserve">    wcag_ref:         "4.1.2",</w:t>
            </w:r>
          </w:p>
          <w:p>
            <w:pPr>
              <w:spacing w:before="20" w:after="20"/>
            </w:pPr>
            <w:r>
              <w:rPr>
                <w:rFonts w:ascii="Courier New" w:cs="Courier New" w:eastAsia="Courier New" w:hAnsi="Courier New"/>
                <w:color w:val="C9D1D9"/>
                <w:sz w:val="18"/>
                <w:szCs w:val="18"/>
              </w:rPr>
              <w:t xml:space="preserve">    occurrence_count: 14,</w:t>
            </w:r>
          </w:p>
          <w:p>
            <w:pPr>
              <w:spacing w:before="20" w:after="20"/>
            </w:pPr>
            <w:r>
              <w:rPr>
                <w:rFonts w:ascii="Courier New" w:cs="Courier New" w:eastAsia="Courier New" w:hAnsi="Courier New"/>
                <w:color w:val="C9D1D9"/>
                <w:sz w:val="18"/>
                <w:szCs w:val="18"/>
              </w:rPr>
              <w:t xml:space="preserve">    confidence_level: 95,</w:t>
            </w:r>
          </w:p>
          <w:p>
            <w:pPr>
              <w:spacing w:before="20" w:after="20"/>
            </w:pPr>
            <w:r>
              <w:rPr>
                <w:rFonts w:ascii="Courier New" w:cs="Courier New" w:eastAsia="Courier New" w:hAnsi="Courier New"/>
                <w:color w:val="C9D1D9"/>
                <w:sz w:val="18"/>
                <w:szCs w:val="18"/>
              </w:rPr>
              <w:t xml:space="preserve">    approved_by:      "human",</w:t>
            </w:r>
          </w:p>
          <w:p>
            <w:pPr>
              <w:spacing w:before="20" w:after="20"/>
            </w:pPr>
            <w:r>
              <w:rPr>
                <w:rFonts w:ascii="Courier New" w:cs="Courier New" w:eastAsia="Courier New" w:hAnsi="Courier New"/>
                <w:color w:val="C9D1D9"/>
                <w:sz w:val="18"/>
                <w:szCs w:val="18"/>
              </w:rPr>
              <w:t xml:space="preserve">    audit_date:       "2025-11",</w:t>
            </w:r>
          </w:p>
          <w:p>
            <w:pPr>
              <w:spacing w:before="20" w:after="20"/>
            </w:pPr>
            <w:r>
              <w:rPr>
                <w:rFonts w:ascii="Courier New" w:cs="Courier New" w:eastAsia="Courier New" w:hAnsi="Courier New"/>
                <w:color w:val="C9D1D9"/>
                <w:sz w:val="18"/>
                <w:szCs w:val="18"/>
              </w:rPr>
              <w:t xml:space="preserve">    has_code_example: true,</w:t>
            </w:r>
          </w:p>
          <w:p>
            <w:pPr>
              <w:spacing w:before="20" w:after="20"/>
            </w:pPr>
            <w:r>
              <w:rPr>
                <w:rFonts w:ascii="Courier New" w:cs="Courier New" w:eastAsia="Courier New" w:hAnsi="Courier New"/>
                <w:color w:val="C9D1D9"/>
                <w:sz w:val="18"/>
                <w:szCs w:val="18"/>
              </w:rPr>
              <w:t xml:space="preserve">    source:           "audit_report",</w:t>
            </w:r>
          </w:p>
          <w:p>
            <w:pPr>
              <w:spacing w:before="20" w:after="20"/>
            </w:pPr>
            <w:r>
              <w:rPr>
                <w:rFonts w:ascii="Courier New" w:cs="Courier New" w:eastAsia="Courier New" w:hAnsi="Courier New"/>
                <w:color w:val="C9D1D9"/>
                <w:sz w:val="18"/>
                <w:szCs w:val="18"/>
              </w:rPr>
              <w:t xml:space="preserve">    language:         "fr"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0" w:after="100"/>
      </w:pPr>
      <w:r>
        <w:t xml:space="preserve"/>
      </w:r>
    </w:p>
    <w:p>
      <w:pPr>
        <w:pStyle w:val="Heading3"/>
        <w:spacing w:before="200" w:after="100"/>
      </w:pPr>
      <w:r>
        <w:rPr>
          <w:rFonts w:ascii="Arial" w:cs="Arial" w:eastAsia="Arial" w:hAnsi="Arial"/>
          <w:b/>
          <w:bCs/>
          <w:color w:val="1B3A6B"/>
          <w:sz w:val="24"/>
          <w:szCs w:val="24"/>
        </w:rPr>
        <w:t xml:space="preserve">rgaa_code — Pattern avant/après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id:      "code_{uuid}",</w:t>
            </w:r>
          </w:p>
          <w:p>
            <w:pPr>
              <w:spacing w:before="20" w:after="20"/>
            </w:pPr>
            <w:r>
              <w:rPr>
                <w:rFonts w:ascii="Courier New" w:cs="Courier New" w:eastAsia="Courier New" w:hAnsi="Courier New"/>
                <w:color w:val="C9D1D9"/>
                <w:sz w:val="18"/>
                <w:szCs w:val="18"/>
              </w:rPr>
              <w:t xml:space="preserve">  content: "[CRITÈRE 11.9] [INCORRECT]</w:t>
            </w:r>
          </w:p>
          <w:p>
            <w:pPr>
              <w:spacing w:before="20" w:after="20"/>
            </w:pPr>
            <w:r>
              <w:rPr>
                <w:rFonts w:ascii="Courier New" w:cs="Courier New" w:eastAsia="Courier New" w:hAnsi="Courier New"/>
                <w:color w:val="C9D1D9"/>
                <w:sz w:val="18"/>
                <w:szCs w:val="18"/>
              </w:rPr>
              <w:t xml:space="preserve">            &lt;button onclick='submit()'&gt;→&lt;/button&gt;</w:t>
            </w:r>
          </w:p>
          <w:p>
            <w:pPr>
              <w:spacing w:before="20" w:after="20"/>
            </w:pPr>
            <w:r>
              <w:rPr>
                <w:rFonts w:ascii="Courier New" w:cs="Courier New" w:eastAsia="Courier New" w:hAnsi="Courier New"/>
                <w:color w:val="C9D1D9"/>
                <w:sz w:val="18"/>
                <w:szCs w:val="18"/>
              </w:rPr>
              <w:t xml:space="preserve">            [CORRECT]</w:t>
            </w:r>
          </w:p>
          <w:p>
            <w:pPr>
              <w:spacing w:before="20" w:after="20"/>
            </w:pPr>
            <w:r>
              <w:rPr>
                <w:rFonts w:ascii="Courier New" w:cs="Courier New" w:eastAsia="Courier New" w:hAnsi="Courier New"/>
                <w:color w:val="C9D1D9"/>
                <w:sz w:val="18"/>
                <w:szCs w:val="18"/>
              </w:rPr>
              <w:t xml:space="preserve">            &lt;button aria-label='Envoyer le formulaire'</w:t>
            </w:r>
          </w:p>
          <w:p>
            <w:pPr>
              <w:spacing w:before="20" w:after="20"/>
            </w:pPr>
            <w:r>
              <w:rPr>
                <w:rFonts w:ascii="Courier New" w:cs="Courier New" w:eastAsia="Courier New" w:hAnsi="Courier New"/>
                <w:color w:val="C9D1D9"/>
                <w:sz w:val="18"/>
                <w:szCs w:val="18"/>
              </w:rPr>
              <w:t xml:space="preserve">                    onclick='submit()'&gt;→&lt;/button&gt;",</w:t>
            </w:r>
          </w:p>
          <w:p>
            <w:pPr>
              <w:spacing w:before="20" w:after="20"/>
            </w:pPr>
            <w:r>
              <w:rPr>
                <w:rFonts w:ascii="Courier New" w:cs="Courier New" w:eastAsia="Courier New" w:hAnsi="Courier New"/>
                <w:color w:val="C9D1D9"/>
                <w:sz w:val="18"/>
                <w:szCs w:val="18"/>
              </w:rPr>
              <w:t xml:space="preserve">  metadata: {</w:t>
            </w:r>
          </w:p>
          <w:p>
            <w:pPr>
              <w:spacing w:before="20" w:after="20"/>
            </w:pPr>
            <w:r>
              <w:rPr>
                <w:rFonts w:ascii="Courier New" w:cs="Courier New" w:eastAsia="Courier New" w:hAnsi="Courier New"/>
                <w:color w:val="C9D1D9"/>
                <w:sz w:val="18"/>
                <w:szCs w:val="18"/>
              </w:rPr>
              <w:t xml:space="preserve">    type:            "code_pattern",</w:t>
            </w:r>
          </w:p>
          <w:p>
            <w:pPr>
              <w:spacing w:before="20" w:after="20"/>
            </w:pPr>
            <w:r>
              <w:rPr>
                <w:rFonts w:ascii="Courier New" w:cs="Courier New" w:eastAsia="Courier New" w:hAnsi="Courier New"/>
                <w:color w:val="C9D1D9"/>
                <w:sz w:val="18"/>
                <w:szCs w:val="18"/>
              </w:rPr>
              <w:t xml:space="preserve">    criterion_ref:   "11.9",</w:t>
            </w:r>
          </w:p>
          <w:p>
            <w:pPr>
              <w:spacing w:before="20" w:after="20"/>
            </w:pPr>
            <w:r>
              <w:rPr>
                <w:rFonts w:ascii="Courier New" w:cs="Courier New" w:eastAsia="Courier New" w:hAnsi="Courier New"/>
                <w:color w:val="C9D1D9"/>
                <w:sz w:val="18"/>
                <w:szCs w:val="18"/>
              </w:rPr>
              <w:t xml:space="preserve">    thematic_number: 11,</w:t>
            </w:r>
          </w:p>
          <w:p>
            <w:pPr>
              <w:spacing w:before="20" w:after="20"/>
            </w:pPr>
            <w:r>
              <w:rPr>
                <w:rFonts w:ascii="Courier New" w:cs="Courier New" w:eastAsia="Courier New" w:hAnsi="Courier New"/>
                <w:color w:val="C9D1D9"/>
                <w:sz w:val="18"/>
                <w:szCs w:val="18"/>
              </w:rPr>
              <w:t xml:space="preserve">    pattern_type:    "before_after",</w:t>
            </w:r>
          </w:p>
          <w:p>
            <w:pPr>
              <w:spacing w:before="20" w:after="20"/>
            </w:pPr>
            <w:r>
              <w:rPr>
                <w:rFonts w:ascii="Courier New" w:cs="Courier New" w:eastAsia="Courier New" w:hAnsi="Courier New"/>
                <w:color w:val="C9D1D9"/>
                <w:sz w:val="18"/>
                <w:szCs w:val="18"/>
              </w:rPr>
              <w:t xml:space="preserve">    tags:            "button aria-label formulaire",</w:t>
            </w:r>
          </w:p>
          <w:p>
            <w:pPr>
              <w:spacing w:before="20" w:after="20"/>
            </w:pPr>
            <w:r>
              <w:rPr>
                <w:rFonts w:ascii="Courier New" w:cs="Courier New" w:eastAsia="Courier New" w:hAnsi="Courier New"/>
                <w:color w:val="C9D1D9"/>
                <w:sz w:val="18"/>
                <w:szCs w:val="18"/>
              </w:rPr>
              <w:t xml:space="preserve">    source:          "wai_aria_apg",</w:t>
            </w:r>
          </w:p>
          <w:p>
            <w:pPr>
              <w:spacing w:before="20" w:after="20"/>
            </w:pPr>
            <w:r>
              <w:rPr>
                <w:rFonts w:ascii="Courier New" w:cs="Courier New" w:eastAsia="Courier New" w:hAnsi="Courier New"/>
                <w:color w:val="C9D1D9"/>
                <w:sz w:val="18"/>
                <w:szCs w:val="18"/>
              </w:rPr>
              <w:t xml:space="preserve">    confidence_level: 100,</w:t>
            </w:r>
          </w:p>
          <w:p>
            <w:pPr>
              <w:spacing w:before="20" w:after="20"/>
            </w:pPr>
            <w:r>
              <w:rPr>
                <w:rFonts w:ascii="Courier New" w:cs="Courier New" w:eastAsia="Courier New" w:hAnsi="Courier New"/>
                <w:color w:val="C9D1D9"/>
                <w:sz w:val="18"/>
                <w:szCs w:val="18"/>
              </w:rPr>
              <w:t xml:space="preserve">    language:        "fr"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3.4 Formule de scoring</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3A6B" w:sz="22"/>
              <w:bottom w:val="none" w:color="FFFFFF" w:sz="0"/>
              <w:right w:val="none" w:color="FFFFFF" w:sz="0"/>
            </w:tcBorders>
            <w:shd w:fill="D6E4F7" w:val="clear"/>
            <w:tcMar>
              <w:top w:type="dxa" w:w="120"/>
              <w:left w:type="dxa" w:w="220"/>
              <w:bottom w:type="dxa" w:w="120"/>
              <w:right w:type="dxa" w:w="220"/>
            </w:tcMar>
          </w:tcPr>
          <w:p>
            <w:pPr>
              <w:spacing w:before="0" w:after="50"/>
            </w:pPr>
            <w:r>
              <w:rPr>
                <w:rFonts w:ascii="Arial" w:cs="Arial" w:eastAsia="Arial" w:hAnsi="Arial"/>
                <w:b/>
                <w:bCs/>
                <w:color w:val="1B3A6B"/>
                <w:sz w:val="21"/>
                <w:szCs w:val="21"/>
              </w:rPr>
              <w:t xml:space="preserve">Principe</w:t>
            </w:r>
          </w:p>
          <w:p>
            <w:pPr>
              <w:spacing w:before="0" w:after="0"/>
            </w:pPr>
            <w:r>
              <w:rPr>
                <w:rFonts w:ascii="Arial" w:cs="Arial" w:eastAsia="Arial" w:hAnsi="Arial"/>
                <w:color w:val="333333"/>
                <w:sz w:val="21"/>
                <w:szCs w:val="21"/>
              </w:rPr>
              <w:t xml:space="preserve">L'expertise humaine validée doit toujours dominer. Un constat approuvé 20 fois par des auditeurs réels prime sur n'importe quel document extrait automatiquement.</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before="20" w:after="20"/>
            </w:pPr>
            <w:r>
              <w:rPr>
                <w:rFonts w:ascii="Courier New" w:cs="Courier New" w:eastAsia="Courier New" w:hAnsi="Courier New"/>
                <w:color w:val="C9D1D9"/>
                <w:sz w:val="18"/>
                <w:szCs w:val="18"/>
              </w:rPr>
              <w:t xml:space="preserve">score_final =</w:t>
            </w:r>
          </w:p>
          <w:p>
            <w:pPr>
              <w:spacing w:before="20" w:after="20"/>
            </w:pPr>
            <w:r>
              <w:rPr>
                <w:rFonts w:ascii="Courier New" w:cs="Courier New" w:eastAsia="Courier New" w:hAnsi="Courier New"/>
                <w:color w:val="C9D1D9"/>
                <w:sz w:val="18"/>
                <w:szCs w:val="18"/>
              </w:rPr>
              <w:t xml:space="preserve">  cosine_similarity                    // 0.0→1.0  similarité vectorielle</w:t>
            </w:r>
          </w:p>
          <w:p>
            <w:pPr>
              <w:spacing w:before="20" w:after="20"/>
            </w:pPr>
            <w:r>
              <w:rPr>
                <w:rFonts w:ascii="Courier New" w:cs="Courier New" w:eastAsia="Courier New" w:hAnsi="Courier New"/>
                <w:color w:val="C9D1D9"/>
                <w:sz w:val="18"/>
                <w:szCs w:val="18"/>
              </w:rPr>
              <w:t xml:space="preserve">  × (1 + log(occurrence_count + 1))    // fréquence — log évite l'explosion</w:t>
            </w:r>
          </w:p>
          <w:p>
            <w:pPr>
              <w:spacing w:before="20" w:after="20"/>
            </w:pPr>
            <w:r>
              <w:rPr>
                <w:rFonts w:ascii="Courier New" w:cs="Courier New" w:eastAsia="Courier New" w:hAnsi="Courier New"/>
                <w:color w:val="C9D1D9"/>
                <w:sz w:val="18"/>
                <w:szCs w:val="18"/>
              </w:rPr>
              <w:t xml:space="preserve">  × (confidence_level / 100)           // confiance — humain=100, auto=60-80</w:t>
            </w:r>
          </w:p>
          <w:p>
            <w:pPr>
              <w:spacing w:before="20" w:after="20"/>
            </w:pPr>
            <w:r>
              <w:rPr>
                <w:rFonts w:ascii="Courier New" w:cs="Courier New" w:eastAsia="Courier New" w:hAnsi="Courier New"/>
                <w:color w:val="C9D1D9"/>
                <w:sz w:val="18"/>
                <w:szCs w:val="18"/>
              </w:rPr>
              <w:t xml:space="preserve">  × temporal_decay(audit_date)         // récence   — favorise les données récentes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temporal_decay(date):</w:t>
            </w:r>
          </w:p>
          <w:p>
            <w:pPr>
              <w:spacing w:before="20" w:after="20"/>
            </w:pPr>
            <w:r>
              <w:rPr>
                <w:rFonts w:ascii="Courier New" w:cs="Courier New" w:eastAsia="Courier New" w:hAnsi="Courier New"/>
                <w:color w:val="C9D1D9"/>
                <w:sz w:val="18"/>
                <w:szCs w:val="18"/>
              </w:rPr>
              <w:t xml:space="preserve">  mois_écoulés &lt; 12  →  1.00  (très récent)</w:t>
            </w:r>
          </w:p>
          <w:p>
            <w:pPr>
              <w:spacing w:before="20" w:after="20"/>
            </w:pPr>
            <w:r>
              <w:rPr>
                <w:rFonts w:ascii="Courier New" w:cs="Courier New" w:eastAsia="Courier New" w:hAnsi="Courier New"/>
                <w:color w:val="C9D1D9"/>
                <w:sz w:val="18"/>
                <w:szCs w:val="18"/>
              </w:rPr>
              <w:t xml:space="preserve">  mois_écoulés &lt; 36  →  0.85  (acceptable)</w:t>
            </w:r>
          </w:p>
          <w:p>
            <w:pPr>
              <w:spacing w:before="20" w:after="20"/>
            </w:pPr>
            <w:r>
              <w:rPr>
                <w:rFonts w:ascii="Courier New" w:cs="Courier New" w:eastAsia="Courier New" w:hAnsi="Courier New"/>
                <w:color w:val="C9D1D9"/>
                <w:sz w:val="18"/>
                <w:szCs w:val="18"/>
              </w:rPr>
              <w:t xml:space="preserve">  sinon              →  0.70  (ancien, moins prioritaire)</w:t>
            </w:r>
          </w:p>
        </w:tc>
      </w:tr>
    </w:tbl>
    <w:p>
      <w:pPr>
        <w:spacing w:before="0" w:after="200"/>
      </w:pPr>
      <w:r>
        <w:t xml:space="preserve"/>
      </w:r>
    </w:p>
    <w:p>
      <w:r>
        <w:br w:type="page"/>
      </w:r>
    </w:p>
    <w:p>
      <w:pPr>
        <w:pStyle w:val="Heading1"/>
        <w:pBdr>
          <w:bottom w:val="single" w:color="2E6EBF" w:sz="8" w:space="6"/>
        </w:pBdr>
        <w:spacing w:before="480" w:after="200"/>
      </w:pPr>
      <w:r>
        <w:rPr>
          <w:rFonts w:ascii="Arial" w:cs="Arial" w:eastAsia="Arial" w:hAnsi="Arial"/>
          <w:b/>
          <w:bCs/>
          <w:color w:val="1B3A6B"/>
          <w:sz w:val="38"/>
          <w:szCs w:val="38"/>
        </w:rPr>
        <w:t xml:space="preserve">4. Sources d'Apprentissage — Knowledge Base</w:t>
      </w:r>
    </w:p>
    <w:p>
      <w:pPr>
        <w:spacing w:before="0" w:after="100"/>
      </w:pPr>
      <w:r>
        <w:t xml:space="preserve"/>
      </w:r>
    </w:p>
    <w:p>
      <w:pPr>
        <w:spacing w:before="60" w:after="120"/>
      </w:pPr>
      <w:r>
        <w:rPr>
          <w:rFonts w:ascii="Arial" w:cs="Arial" w:eastAsia="Arial" w:hAnsi="Arial"/>
          <w:color w:val="333333"/>
          <w:sz w:val="22"/>
          <w:szCs w:val="22"/>
        </w:rPr>
        <w:t xml:space="preserve">12 sources officielles structurées, validées et accessibles. Chaque source est associée à une collection ChromaDB, un niveau de confiance par défaut, et une fréquence de mise à jour.</w:t>
      </w:r>
    </w:p>
    <w:p>
      <w:pPr>
        <w:spacing w:before="0" w:after="100"/>
      </w:pPr>
      <w:r>
        <w:t xml:space="preserve"/>
      </w:r>
    </w:p>
    <w:p>
      <w:pPr>
        <w:pStyle w:val="Heading2"/>
        <w:spacing w:before="300" w:after="140"/>
      </w:pPr>
      <w:r>
        <w:rPr>
          <w:rFonts w:ascii="Arial" w:cs="Arial" w:eastAsia="Arial" w:hAnsi="Arial"/>
          <w:b/>
          <w:bCs/>
          <w:color w:val="2E6EBF"/>
          <w:sz w:val="28"/>
          <w:szCs w:val="28"/>
        </w:rPr>
        <w:t xml:space="preserve">4.1 Collection rgaa_referentiel — Sources officielles immuables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800"/>
        <w:gridCol w:w="140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Source</w:t>
            </w:r>
          </w:p>
        </w:tc>
        <w:tc>
          <w:tcPr>
            <w:tcW w:type="dxa" w:w="42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URL</w:t>
            </w:r>
          </w:p>
        </w:tc>
        <w:tc>
          <w:tcPr>
            <w:tcW w:type="dxa" w:w="8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Conf.</w:t>
            </w:r>
          </w:p>
        </w:tc>
        <w:tc>
          <w:tcPr>
            <w:tcW w:type="dxa" w:w="1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Fréquence MAJ</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RGAA 4.1.2 — Critères &amp; Tests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accessibilite.numerique.gouv.fr/methode/criteres-et-tests/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Évolution RGAA</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RGAA — Glossaire officiel</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accessibilite.numerique.gouv.fr/methode/glossaire/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Évolution RGAA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WCAG 2.2 — Techniques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www.w3.org/WAI/WCAG22/Techniques/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Évolution W3C</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WCAG 2.2 — Understanding</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www.w3.org/WAI/WCAG22/Understanding/</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Évolution W3C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WAI-ARIA Spec 1.2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www.w3.org/TR/wai-aria-1.2/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Évolution W3C</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4.2 Collection rgaa_expertise — Patterns et bonnes pratiques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800"/>
        <w:gridCol w:w="140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Source</w:t>
            </w:r>
          </w:p>
        </w:tc>
        <w:tc>
          <w:tcPr>
            <w:tcW w:type="dxa" w:w="42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URL</w:t>
            </w:r>
          </w:p>
        </w:tc>
        <w:tc>
          <w:tcPr>
            <w:tcW w:type="dxa" w:w="8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Conf.</w:t>
            </w:r>
          </w:p>
        </w:tc>
        <w:tc>
          <w:tcPr>
            <w:tcW w:type="dxa" w:w="1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Fréquence MAJ</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WAI-ARIA APG Patterns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www.w3.org/WAI/ARIA/apg/patterns/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Périodique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AcceDe Web — Notices</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www.accede-web.com/notices/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95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Mensuel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AcceDe Web — Interface riche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www.accede-web.com/notices/interface-riche/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Mensuel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MDN — Accessibilité</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developer.mozilla.org/fr/docs/Web/Accessibility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Continue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Findings validés auditeurs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interne — workflow validation humaine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4.3 Collection rgaa_code — Snippets techniques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800"/>
        <w:gridCol w:w="140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Source</w:t>
            </w:r>
          </w:p>
        </w:tc>
        <w:tc>
          <w:tcPr>
            <w:tcW w:type="dxa" w:w="42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URL</w:t>
            </w:r>
          </w:p>
        </w:tc>
        <w:tc>
          <w:tcPr>
            <w:tcW w:type="dxa" w:w="8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Conf.</w:t>
            </w:r>
          </w:p>
        </w:tc>
        <w:tc>
          <w:tcPr>
            <w:tcW w:type="dxa" w:w="1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Fréquence MAJ</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WAI-ARIA APG Examples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www.w3.org/WAI/ARIA/apg/example-index/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Périodique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MDN — ARIA Reference</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developer.mozilla.org/fr/docs/Web/Accessibility/ARIA</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95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Continue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RGAA — Kit d'audit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accessibilite.numerique.gouv.fr/ressources/kit-audit/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Évolution RGAA</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4.4 Stratégie d'ingestion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626"/>
      </w:tblGrid>
      <w:tr>
        <w:tc>
          <w:tcPr>
            <w:tcW w:type="dxa" w:w="20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Type de source</w:t>
            </w:r>
          </w:p>
        </w:tc>
        <w:tc>
          <w:tcPr>
            <w:tcW w:type="dxa" w:w="2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Méthode</w:t>
            </w:r>
          </w:p>
        </w:tc>
        <w:tc>
          <w:tcPr>
            <w:tcW w:type="dxa" w:w="20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Fréquence</w:t>
            </w:r>
          </w:p>
        </w:tc>
        <w:tc>
          <w:tcPr>
            <w:tcW w:type="dxa" w:w="26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Sources RGAA / W3C officielles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Scraping structuré one-shot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Évolutions uniquement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Findings auditeurs validés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validate_finding (outil MCP)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 continu</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AcceDe Web / MDN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Scraping périodique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Mensuel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Snippets code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Extraction manuelle initiale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Trimestriel</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Moyenne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C3A" w:sz="22"/>
              <w:bottom w:val="none" w:color="FFFFFF" w:sz="0"/>
              <w:right w:val="none" w:color="FFFFFF" w:sz="0"/>
            </w:tcBorders>
            <w:shd w:fill="E8F5E9" w:val="clear"/>
            <w:tcMar>
              <w:top w:type="dxa" w:w="120"/>
              <w:left w:type="dxa" w:w="220"/>
              <w:bottom w:type="dxa" w:w="120"/>
              <w:right w:type="dxa" w:w="220"/>
            </w:tcMar>
          </w:tcPr>
          <w:p>
            <w:pPr>
              <w:spacing w:before="0" w:after="50"/>
            </w:pPr>
            <w:r>
              <w:rPr>
                <w:rFonts w:ascii="Arial" w:cs="Arial" w:eastAsia="Arial" w:hAnsi="Arial"/>
                <w:b/>
                <w:bCs/>
                <w:color w:val="1A5C3A"/>
                <w:sz w:val="21"/>
                <w:szCs w:val="21"/>
              </w:rPr>
              <w:t xml:space="preserve">Règle fondamentale</w:t>
            </w:r>
          </w:p>
          <w:p>
            <w:pPr>
              <w:spacing w:before="0" w:after="0"/>
            </w:pPr>
            <w:r>
              <w:rPr>
                <w:rFonts w:ascii="Arial" w:cs="Arial" w:eastAsia="Arial" w:hAnsi="Arial"/>
                <w:color w:val="333333"/>
                <w:sz w:val="21"/>
                <w:szCs w:val="21"/>
              </w:rPr>
              <w:t xml:space="preserve">Qualité &gt; Quantité. Un constat approuvé par un auditeur humain (confidence=100) vaut 100 documents extraits automatiquement. La validation humaine est le moteur de qualité du Hub.</w:t>
            </w:r>
          </w:p>
        </w:tc>
      </w:tr>
    </w:tbl>
    <w:p>
      <w:pPr>
        <w:spacing w:before="0" w:after="200"/>
      </w:pPr>
      <w:r>
        <w:t xml:space="preserve"/>
      </w:r>
    </w:p>
    <w:p>
      <w:pPr>
        <w:pStyle w:val="Heading1"/>
        <w:pBdr>
          <w:bottom w:val="single" w:color="2E6EBF" w:sz="8" w:space="6"/>
        </w:pBdr>
        <w:spacing w:before="480" w:after="200"/>
      </w:pPr>
      <w:r>
        <w:rPr>
          <w:rFonts w:ascii="Arial" w:cs="Arial" w:eastAsia="Arial" w:hAnsi="Arial"/>
          <w:b/>
          <w:bCs/>
          <w:color w:val="1B3A6B"/>
          <w:sz w:val="38"/>
          <w:szCs w:val="38"/>
        </w:rPr>
        <w:t xml:space="preserve">5. Contrat MCP — 12 Outils</w:t>
      </w:r>
    </w:p>
    <w:p>
      <w:pPr>
        <w:spacing w:before="0" w:after="100"/>
      </w:pPr>
      <w:r>
        <w:t xml:space="preserve"/>
      </w:r>
    </w:p>
    <w:p>
      <w:pPr>
        <w:spacing w:before="60" w:after="120"/>
      </w:pPr>
      <w:r>
        <w:rPr>
          <w:rFonts w:ascii="Arial" w:cs="Arial" w:eastAsia="Arial" w:hAnsi="Arial"/>
          <w:color w:val="333333"/>
          <w:sz w:val="22"/>
          <w:szCs w:val="22"/>
        </w:rPr>
        <w:t xml:space="preserve">Le MCP Server est le seul point de sortie du Hub. 12 outils répartis en 3 familles. Tout client compatible MCP les consomme sans modification du Hub.</w:t>
      </w:r>
    </w:p>
    <w:p>
      <w:pPr>
        <w:spacing w:before="0" w:after="100"/>
      </w:pPr>
      <w:r>
        <w:t xml:space="preserve"/>
      </w:r>
    </w:p>
    <w:p>
      <w:pPr>
        <w:pStyle w:val="Heading2"/>
        <w:spacing w:before="300" w:after="140"/>
      </w:pPr>
      <w:r>
        <w:rPr>
          <w:rFonts w:ascii="Arial" w:cs="Arial" w:eastAsia="Arial" w:hAnsi="Arial"/>
          <w:b/>
          <w:bCs/>
          <w:color w:val="2E6EBF"/>
          <w:sz w:val="28"/>
          <w:szCs w:val="28"/>
        </w:rPr>
        <w:t xml:space="preserve">5.1 Expertise &amp; Référentiel</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Outil</w:t>
            </w:r>
          </w:p>
        </w:tc>
        <w:tc>
          <w:tcPr>
            <w:tcW w:type="dxa" w:w="30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Paramètres clés</w:t>
            </w:r>
          </w:p>
        </w:tc>
        <w:tc>
          <w:tcPr>
            <w:tcW w:type="dxa" w:w="36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Réponse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ask_accessibility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question: string, context?: string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Réponse RAG experte + sources citées + critères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get_criterion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criterionRef: string (ex: '11.9')</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Détail RGAA + mapping WCAG + tests associés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analyze_code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 string, context?: string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Non-conformités détectées + critères + impact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suggest_fix</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problem: string, criterionRef?: string</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Correction concrète + exemple de code correct</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5.2 Consultation &amp; Filtres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Outil</w:t>
            </w:r>
          </w:p>
        </w:tc>
        <w:tc>
          <w:tcPr>
            <w:tcW w:type="dxa" w:w="3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Paramètres clés</w:t>
            </w:r>
          </w:p>
        </w:tc>
        <w:tc>
          <w:tcPr>
            <w:tcW w:type="dxa" w:w="32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Réponse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search_findings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criterionRef?, thematic?, impact?, period?, siteUrl?, reportIds?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Constats filtrés + métadonnées enrichies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get_reports_consolidated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reportIds: number[], groupBy?: string</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Vue fusionnée multi-rapports avec stats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compare_reports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reportId1: number, reportId2: number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Delta : corrigé / persistant / dégradé / nouveau</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get_recurring_findings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minOccurrences?: number, thematic?: number</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Constats récurrents triés par fréquence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get_conformity_rate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reportId?, siteUrl?, period?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 par thématique / rapport / période</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5.3 Capitalisation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Outil</w:t>
            </w:r>
          </w:p>
        </w:tc>
        <w:tc>
          <w:tcPr>
            <w:tcW w:type="dxa" w:w="30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Paramètres clés</w:t>
            </w:r>
          </w:p>
        </w:tc>
        <w:tc>
          <w:tcPr>
            <w:tcW w:type="dxa" w:w="36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Réponse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validate_finding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finding, criterionRef, impact, solution?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Indexation ChromaDB + MySQL + confirmation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propose_deduplication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findingText, criterionRef</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Doublons détectés (Levenshtein + vecteurs)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search_rgaa_expertise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 string, status?: 'approved'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Patterns validés de la bibliothèque d'expertise</w:t>
            </w:r>
          </w:p>
        </w:tc>
      </w:tr>
    </w:tbl>
    <w:p>
      <w:pPr>
        <w:spacing w:before="0" w:after="200"/>
      </w:pPr>
      <w:r>
        <w:t xml:space="preserve"/>
      </w:r>
    </w:p>
    <w:p>
      <w:r>
        <w:br w:type="page"/>
      </w:r>
    </w:p>
    <w:p>
      <w:pPr>
        <w:pStyle w:val="Heading1"/>
        <w:pBdr>
          <w:bottom w:val="single" w:color="2E6EBF" w:sz="8" w:space="6"/>
        </w:pBdr>
        <w:spacing w:before="480" w:after="200"/>
      </w:pPr>
      <w:r>
        <w:rPr>
          <w:rFonts w:ascii="Arial" w:cs="Arial" w:eastAsia="Arial" w:hAnsi="Arial"/>
          <w:b/>
          <w:bCs/>
          <w:color w:val="1B3A6B"/>
          <w:sz w:val="38"/>
          <w:szCs w:val="38"/>
        </w:rPr>
        <w:t xml:space="preserve">6. Check de Maturité — Prêt pour l'Implémentation ?</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Statut</w:t>
            </w:r>
          </w:p>
        </w:tc>
        <w:tc>
          <w:tcPr>
            <w:tcW w:type="dxa" w:w="50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globale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5C3A"/>
                <w:sz w:val="19"/>
                <w:szCs w:val="19"/>
              </w:rPr>
              <w:t xml:space="preserve">✅ OK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couches validées, responsabilités claires et distinctes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Stack technologique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5C3A"/>
                <w:sz w:val="19"/>
                <w:szCs w:val="19"/>
              </w:rPr>
              <w:t xml:space="preserve">✅ OK</w:t>
            </w:r>
          </w:p>
        </w:tc>
        <w:tc>
          <w:tcPr>
            <w:tcW w:type="dxa" w:w="5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MySQL + ChromaDB + OpenAI/Ollama + MCP — décisions justifiées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Schéma RAG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5C3A"/>
                <w:sz w:val="19"/>
                <w:szCs w:val="19"/>
              </w:rPr>
              <w:t xml:space="preserve">✅ OK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collections, structures docs, scoring multi-facteurs défini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Sources d'apprentissage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5C3A"/>
                <w:sz w:val="19"/>
                <w:szCs w:val="19"/>
              </w:rPr>
              <w:t xml:space="preserve">✅ OK</w:t>
            </w:r>
          </w:p>
        </w:tc>
        <w:tc>
          <w:tcPr>
            <w:tcW w:type="dxa" w:w="5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12 sources identifiées, URLs confirmées, stratégie définie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Contrat MCP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5C3A"/>
                <w:sz w:val="19"/>
                <w:szCs w:val="19"/>
              </w:rPr>
              <w:t xml:space="preserve">✅ OK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outils définis avec paramètres et types de réponse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Base existante v1.0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5C3A"/>
                <w:sz w:val="19"/>
                <w:szCs w:val="19"/>
              </w:rPr>
              <w:t xml:space="preserve">✅ OK</w:t>
            </w:r>
          </w:p>
        </w:tc>
        <w:tc>
          <w:tcPr>
            <w:tcW w:type="dxa" w:w="5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Code conservé intégralement — aucune réécriture nécessaire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C3A" w:sz="22"/>
              <w:bottom w:val="none" w:color="FFFFFF" w:sz="0"/>
              <w:right w:val="none" w:color="FFFFFF" w:sz="0"/>
            </w:tcBorders>
            <w:shd w:fill="E8F5E9" w:val="clear"/>
            <w:tcMar>
              <w:top w:type="dxa" w:w="120"/>
              <w:left w:type="dxa" w:w="220"/>
              <w:bottom w:type="dxa" w:w="120"/>
              <w:right w:type="dxa" w:w="220"/>
            </w:tcMar>
          </w:tcPr>
          <w:p>
            <w:pPr>
              <w:spacing w:before="0" w:after="50"/>
            </w:pPr>
            <w:r>
              <w:rPr>
                <w:rFonts w:ascii="Arial" w:cs="Arial" w:eastAsia="Arial" w:hAnsi="Arial"/>
                <w:b/>
                <w:bCs/>
                <w:color w:val="1A5C3A"/>
                <w:sz w:val="21"/>
                <w:szCs w:val="21"/>
              </w:rPr>
              <w:t xml:space="preserve">Verdict — Feu vert pour l'implémentation</w:t>
            </w:r>
          </w:p>
          <w:p>
            <w:pPr>
              <w:spacing w:before="0" w:after="0"/>
            </w:pPr>
            <w:r>
              <w:rPr>
                <w:rFonts w:ascii="Arial" w:cs="Arial" w:eastAsia="Arial" w:hAnsi="Arial"/>
                <w:color w:val="333333"/>
                <w:sz w:val="21"/>
                <w:szCs w:val="21"/>
              </w:rPr>
              <w:t xml:space="preserve">6/6 dimensions validées. La conception est suffisamment détaillée pour démarrer sans ambiguïté architecturale. La Phase 1 peut commencer immédiatement.</w:t>
            </w:r>
          </w:p>
        </w:tc>
      </w:tr>
    </w:tbl>
    <w:p>
      <w:pPr>
        <w:spacing w:before="0" w:after="200"/>
      </w:pPr>
      <w:r>
        <w:t xml:space="preserve"/>
      </w:r>
    </w:p>
    <w:p>
      <w:r>
        <w:br w:type="page"/>
      </w:r>
    </w:p>
    <w:p>
      <w:pPr>
        <w:pStyle w:val="Heading1"/>
        <w:pBdr>
          <w:bottom w:val="single" w:color="2E6EBF" w:sz="8" w:space="6"/>
        </w:pBdr>
        <w:spacing w:before="480" w:after="200"/>
      </w:pPr>
      <w:r>
        <w:rPr>
          <w:rFonts w:ascii="Arial" w:cs="Arial" w:eastAsia="Arial" w:hAnsi="Arial"/>
          <w:b/>
          <w:bCs/>
          <w:color w:val="1B3A6B"/>
          <w:sz w:val="38"/>
          <w:szCs w:val="38"/>
        </w:rPr>
        <w:t xml:space="preserve">7. Roadmap d'Implémentation</w:t>
      </w:r>
    </w:p>
    <w:p>
      <w:pPr>
        <w:spacing w:before="0" w:after="100"/>
      </w:pPr>
      <w:r>
        <w:t xml:space="preserve"/>
      </w:r>
    </w:p>
    <w:p>
      <w:pPr>
        <w:spacing w:before="60" w:after="120"/>
      </w:pPr>
      <w:r>
        <w:rPr>
          <w:rFonts w:ascii="Arial" w:cs="Arial" w:eastAsia="Arial" w:hAnsi="Arial"/>
          <w:color w:val="333333"/>
          <w:sz w:val="22"/>
          <w:szCs w:val="22"/>
        </w:rPr>
        <w:t xml:space="preserve">6 phases séquentielles. Chaque phase produit un livrable fonctionnel et testable indépendamment avant de passer à la suivante.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3A6B" w:sz="24"/>
              <w:bottom w:val="none" w:color="FFFFFF" w:sz="0"/>
              <w:right w:val="none" w:color="FFFFFF" w:sz="0"/>
            </w:tcBorders>
            <w:shd w:fill="EEF4FF" w:val="clear"/>
            <w:tcMar>
              <w:top w:type="dxa" w:w="140"/>
              <w:left w:type="dxa" w:w="220"/>
              <w:bottom w:type="dxa" w:w="120"/>
              <w:right w:type="dxa" w:w="220"/>
            </w:tcMar>
          </w:tcPr>
          <w:p>
            <w:pPr>
              <w:spacing w:before="0" w:after="60"/>
            </w:pPr>
            <w:r>
              <w:rPr>
                <w:rFonts w:ascii="Arial" w:cs="Arial" w:eastAsia="Arial" w:hAnsi="Arial"/>
                <w:b/>
                <w:bCs/>
                <w:color w:val="1B3A6B"/>
                <w:sz w:val="24"/>
                <w:szCs w:val="24"/>
              </w:rPr>
              <w:t xml:space="preserve">PHASE 1  </w:t>
            </w:r>
            <w:r>
              <w:rPr>
                <w:rFonts w:ascii="Arial" w:cs="Arial" w:eastAsia="Arial" w:hAnsi="Arial"/>
                <w:b/>
                <w:bCs/>
                <w:color w:val="111111"/>
                <w:sz w:val="24"/>
                <w:szCs w:val="24"/>
              </w:rPr>
              <w:t xml:space="preserve">Fondations Hub &amp; Ingestion</w:t>
            </w:r>
            <w:r>
              <w:rPr>
                <w:rFonts w:ascii="Arial" w:cs="Arial" w:eastAsia="Arial" w:hAnsi="Arial"/>
                <w:i/>
                <w:iCs/>
                <w:color w:val="666666"/>
                <w:sz w:val="21"/>
                <w:szCs w:val="21"/>
              </w:rPr>
              <w:t xml:space="preserve">   Semaines 1–3</w:t>
            </w:r>
          </w:p>
          <w:p>
            <w:pPr>
              <w:pStyle w:val="ListParagraph"/>
              <w:numPr>
                <w:ilvl w:val="0"/>
                <w:numId w:val="2"/>
              </w:numPr>
              <w:spacing w:before="50" w:after="50"/>
            </w:pPr>
            <w:r>
              <w:rPr>
                <w:rFonts w:ascii="Arial" w:cs="Arial" w:eastAsia="Arial" w:hAnsi="Arial"/>
                <w:color w:val="333333"/>
                <w:sz w:val="21"/>
                <w:szCs w:val="21"/>
              </w:rPr>
              <w:t xml:space="preserve">Initialiser ChromaDB — configuration locale et connexion</w:t>
            </w:r>
          </w:p>
          <w:p>
            <w:pPr>
              <w:pStyle w:val="ListParagraph"/>
              <w:numPr>
                <w:ilvl w:val="0"/>
                <w:numId w:val="2"/>
              </w:numPr>
              <w:spacing w:before="50" w:after="50"/>
            </w:pPr>
            <w:r>
              <w:rPr>
                <w:rFonts w:ascii="Arial" w:cs="Arial" w:eastAsia="Arial" w:hAnsi="Arial"/>
                <w:color w:val="333333"/>
                <w:sz w:val="21"/>
                <w:szCs w:val="21"/>
              </w:rPr>
              <w:t xml:space="preserve">Implémenter l'interface abstraite embed(text) — OpenAI + fallback Ollama</w:t>
            </w:r>
          </w:p>
          <w:p>
            <w:pPr>
              <w:pStyle w:val="ListParagraph"/>
              <w:numPr>
                <w:ilvl w:val="0"/>
                <w:numId w:val="2"/>
              </w:numPr>
              <w:spacing w:before="50" w:after="50"/>
            </w:pPr>
            <w:r>
              <w:rPr>
                <w:rFonts w:ascii="Arial" w:cs="Arial" w:eastAsia="Arial" w:hAnsi="Arial"/>
                <w:color w:val="333333"/>
                <w:sz w:val="21"/>
                <w:szCs w:val="21"/>
              </w:rPr>
              <w:t xml:space="preserve">Créer le module d'indexation : rgaaIndexer.ts avec les 3 collections</w:t>
            </w:r>
          </w:p>
          <w:p>
            <w:pPr>
              <w:pStyle w:val="ListParagraph"/>
              <w:numPr>
                <w:ilvl w:val="0"/>
                <w:numId w:val="2"/>
              </w:numPr>
              <w:spacing w:before="50" w:after="50"/>
            </w:pPr>
            <w:r>
              <w:rPr>
                <w:rFonts w:ascii="Arial" w:cs="Arial" w:eastAsia="Arial" w:hAnsi="Arial"/>
                <w:color w:val="333333"/>
                <w:sz w:val="21"/>
                <w:szCs w:val="21"/>
              </w:rPr>
              <w:t xml:space="preserve">Ingestion initiale : RGAA 4.1.2 complet + WCAG 2.2 Techniques + WAI-ARIA APG</w:t>
            </w:r>
          </w:p>
          <w:p>
            <w:pPr>
              <w:pStyle w:val="ListParagraph"/>
              <w:numPr>
                <w:ilvl w:val="0"/>
                <w:numId w:val="2"/>
              </w:numPr>
              <w:spacing w:before="50" w:after="50"/>
            </w:pPr>
            <w:r>
              <w:rPr>
                <w:rFonts w:ascii="Arial" w:cs="Arial" w:eastAsia="Arial" w:hAnsi="Arial"/>
                <w:color w:val="333333"/>
                <w:sz w:val="21"/>
                <w:szCs w:val="21"/>
              </w:rPr>
              <w:t xml:space="preserve">Migrer le parser existant en Ingestion Pipeline autonome et testable</w:t>
            </w:r>
          </w:p>
          <w:p>
            <w:pPr>
              <w:pStyle w:val="ListParagraph"/>
              <w:numPr>
                <w:ilvl w:val="0"/>
                <w:numId w:val="2"/>
              </w:numPr>
              <w:spacing w:before="50" w:after="50"/>
            </w:pPr>
            <w:r>
              <w:rPr>
                <w:rFonts w:ascii="Arial" w:cs="Arial" w:eastAsia="Arial" w:hAnsi="Arial"/>
                <w:color w:val="333333"/>
                <w:sz w:val="21"/>
                <w:szCs w:val="21"/>
              </w:rPr>
              <w:t xml:space="preserve">Tests unitaires : qualité des embeddings sur vocabulaire RGAA français</w:t>
            </w:r>
          </w:p>
          <w:p>
            <w:pPr>
              <w:spacing w:before="60" w:after="0"/>
            </w:pPr>
            <w:r>
              <w:rPr>
                <w:rFonts w:ascii="Arial" w:cs="Arial" w:eastAsia="Arial" w:hAnsi="Arial"/>
                <w:b/>
                <w:bCs/>
                <w:color w:val="1B3A6B"/>
                <w:sz w:val="21"/>
                <w:szCs w:val="21"/>
              </w:rPr>
              <w:t xml:space="preserve">Livrable : ChromaDB opérationnel avec 500+ documents indexés</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B3A00" w:sz="24"/>
              <w:bottom w:val="none" w:color="FFFFFF" w:sz="0"/>
              <w:right w:val="none" w:color="FFFFFF" w:sz="0"/>
            </w:tcBorders>
            <w:shd w:fill="FFF8E1" w:val="clear"/>
            <w:tcMar>
              <w:top w:type="dxa" w:w="140"/>
              <w:left w:type="dxa" w:w="220"/>
              <w:bottom w:type="dxa" w:w="120"/>
              <w:right w:type="dxa" w:w="220"/>
            </w:tcMar>
          </w:tcPr>
          <w:p>
            <w:pPr>
              <w:spacing w:before="0" w:after="60"/>
            </w:pPr>
            <w:r>
              <w:rPr>
                <w:rFonts w:ascii="Arial" w:cs="Arial" w:eastAsia="Arial" w:hAnsi="Arial"/>
                <w:b/>
                <w:bCs/>
                <w:color w:val="8B3A00"/>
                <w:sz w:val="24"/>
                <w:szCs w:val="24"/>
              </w:rPr>
              <w:t xml:space="preserve">PHASE 2  </w:t>
            </w:r>
            <w:r>
              <w:rPr>
                <w:rFonts w:ascii="Arial" w:cs="Arial" w:eastAsia="Arial" w:hAnsi="Arial"/>
                <w:b/>
                <w:bCs/>
                <w:color w:val="111111"/>
                <w:sz w:val="24"/>
                <w:szCs w:val="24"/>
              </w:rPr>
              <w:t xml:space="preserve">RAG Engine Core</w:t>
            </w:r>
            <w:r>
              <w:rPr>
                <w:rFonts w:ascii="Arial" w:cs="Arial" w:eastAsia="Arial" w:hAnsi="Arial"/>
                <w:i/>
                <w:iCs/>
                <w:color w:val="8B3A00"/>
                <w:sz w:val="21"/>
                <w:szCs w:val="21"/>
              </w:rPr>
              <w:t xml:space="preserve">   Semaines 4–6  [CRITIQUE — ne pas brûler cette étape]</w:t>
            </w:r>
          </w:p>
          <w:p>
            <w:pPr>
              <w:pStyle w:val="ListParagraph"/>
              <w:numPr>
                <w:ilvl w:val="0"/>
                <w:numId w:val="2"/>
              </w:numPr>
              <w:spacing w:before="50" w:after="50"/>
            </w:pPr>
            <w:r>
              <w:rPr>
                <w:rFonts w:ascii="Arial" w:cs="Arial" w:eastAsia="Arial" w:hAnsi="Arial"/>
                <w:color w:val="333333"/>
                <w:sz w:val="21"/>
                <w:szCs w:val="21"/>
              </w:rPr>
              <w:t xml:space="preserve">Implémenter ragEngine.ts — détection type de requête + routing collections</w:t>
            </w:r>
          </w:p>
          <w:p>
            <w:pPr>
              <w:pStyle w:val="ListParagraph"/>
              <w:numPr>
                <w:ilvl w:val="0"/>
                <w:numId w:val="2"/>
              </w:numPr>
              <w:spacing w:before="50" w:after="50"/>
            </w:pPr>
            <w:r>
              <w:rPr>
                <w:rFonts w:ascii="Arial" w:cs="Arial" w:eastAsia="Arial" w:hAnsi="Arial"/>
                <w:color w:val="333333"/>
                <w:sz w:val="21"/>
                <w:szCs w:val="21"/>
              </w:rPr>
              <w:t xml:space="preserve">Implémenter le scoring multi-facteurs (similarity × occurrence × confidence × decay)</w:t>
            </w:r>
          </w:p>
          <w:p>
            <w:pPr>
              <w:pStyle w:val="ListParagraph"/>
              <w:numPr>
                <w:ilvl w:val="0"/>
                <w:numId w:val="2"/>
              </w:numPr>
              <w:spacing w:before="50" w:after="50"/>
            </w:pPr>
            <w:r>
              <w:rPr>
                <w:rFonts w:ascii="Arial" w:cs="Arial" w:eastAsia="Arial" w:hAnsi="Arial"/>
                <w:color w:val="333333"/>
                <w:sz w:val="21"/>
                <w:szCs w:val="21"/>
              </w:rPr>
              <w:t xml:space="preserve">Construction du contexte enrichi (top 6 docs, formatage prompt LLM)</w:t>
            </w:r>
          </w:p>
          <w:p>
            <w:pPr>
              <w:pStyle w:val="ListParagraph"/>
              <w:numPr>
                <w:ilvl w:val="0"/>
                <w:numId w:val="2"/>
              </w:numPr>
              <w:spacing w:before="50" w:after="50"/>
            </w:pPr>
            <w:r>
              <w:rPr>
                <w:rFonts w:ascii="Arial" w:cs="Arial" w:eastAsia="Arial" w:hAnsi="Arial"/>
                <w:color w:val="333333"/>
                <w:sz w:val="21"/>
                <w:szCs w:val="21"/>
              </w:rPr>
              <w:t xml:space="preserve">Intégration LLM — appel OpenAI / Ollama avec contexte RAG construit</w:t>
            </w:r>
          </w:p>
          <w:p>
            <w:pPr>
              <w:pStyle w:val="ListParagraph"/>
              <w:numPr>
                <w:ilvl w:val="0"/>
                <w:numId w:val="2"/>
              </w:numPr>
              <w:spacing w:before="50" w:after="50"/>
            </w:pPr>
            <w:r>
              <w:rPr>
                <w:rFonts w:ascii="Arial" w:cs="Arial" w:eastAsia="Arial" w:hAnsi="Arial"/>
                <w:color w:val="333333"/>
                <w:sz w:val="21"/>
                <w:szCs w:val="21"/>
              </w:rPr>
              <w:t xml:space="preserve">Tests end-to-end : 20 questions types couvrant les 13 thématiques RGAA</w:t>
            </w:r>
          </w:p>
          <w:p>
            <w:pPr>
              <w:pStyle w:val="ListParagraph"/>
              <w:numPr>
                <w:ilvl w:val="0"/>
                <w:numId w:val="2"/>
              </w:numPr>
              <w:spacing w:before="50" w:after="50"/>
            </w:pPr>
            <w:r>
              <w:rPr>
                <w:rFonts w:ascii="Arial" w:cs="Arial" w:eastAsia="Arial" w:hAnsi="Arial"/>
                <w:color w:val="333333"/>
                <w:sz w:val="21"/>
                <w:szCs w:val="21"/>
              </w:rPr>
              <w:t xml:space="preserve">Mesure de qualité : pertinence des réponses RAG vs LLM seul sans contexte</w:t>
            </w:r>
          </w:p>
          <w:p>
            <w:pPr>
              <w:pStyle w:val="ListParagraph"/>
              <w:numPr>
                <w:ilvl w:val="0"/>
                <w:numId w:val="2"/>
              </w:numPr>
              <w:spacing w:before="50" w:after="50"/>
            </w:pPr>
            <w:r>
              <w:rPr>
                <w:rFonts w:ascii="Arial" w:cs="Arial" w:eastAsia="Arial" w:hAnsi="Arial"/>
                <w:color w:val="333333"/>
                <w:sz w:val="21"/>
                <w:szCs w:val="21"/>
              </w:rPr>
              <w:t xml:space="preserve">Ajustement des paramètres de scoring si qualité insuffisante</w:t>
            </w:r>
          </w:p>
          <w:p>
            <w:pPr>
              <w:spacing w:before="60" w:after="0"/>
            </w:pPr>
            <w:r>
              <w:rPr>
                <w:rFonts w:ascii="Arial" w:cs="Arial" w:eastAsia="Arial" w:hAnsi="Arial"/>
                <w:b/>
                <w:bCs/>
                <w:color w:val="8B3A00"/>
                <w:sz w:val="21"/>
                <w:szCs w:val="21"/>
              </w:rPr>
              <w:t xml:space="preserve">Livrable : réponses RAG satisfaisantes sur les 13 thématiques RGAA</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C8D" w:sz="24"/>
              <w:bottom w:val="none" w:color="FFFFFF" w:sz="0"/>
              <w:right w:val="none" w:color="FFFFFF" w:sz="0"/>
            </w:tcBorders>
            <w:shd w:fill="F3E5F5" w:val="clear"/>
            <w:tcMar>
              <w:top w:type="dxa" w:w="140"/>
              <w:left w:type="dxa" w:w="220"/>
              <w:bottom w:type="dxa" w:w="120"/>
              <w:right w:type="dxa" w:w="220"/>
            </w:tcMar>
          </w:tcPr>
          <w:p>
            <w:pPr>
              <w:spacing w:before="0" w:after="60"/>
            </w:pPr>
            <w:r>
              <w:rPr>
                <w:rFonts w:ascii="Arial" w:cs="Arial" w:eastAsia="Arial" w:hAnsi="Arial"/>
                <w:b/>
                <w:bCs/>
                <w:color w:val="5B2C8D"/>
                <w:sz w:val="24"/>
                <w:szCs w:val="24"/>
              </w:rPr>
              <w:t xml:space="preserve">PHASE 3  </w:t>
            </w:r>
            <w:r>
              <w:rPr>
                <w:rFonts w:ascii="Arial" w:cs="Arial" w:eastAsia="Arial" w:hAnsi="Arial"/>
                <w:b/>
                <w:bCs/>
                <w:color w:val="111111"/>
                <w:sz w:val="24"/>
                <w:szCs w:val="24"/>
              </w:rPr>
              <w:t xml:space="preserve">Extension MCP Server — 12 Outils</w:t>
            </w:r>
            <w:r>
              <w:rPr>
                <w:rFonts w:ascii="Arial" w:cs="Arial" w:eastAsia="Arial" w:hAnsi="Arial"/>
                <w:i/>
                <w:iCs/>
                <w:color w:val="666666"/>
                <w:sz w:val="21"/>
                <w:szCs w:val="21"/>
              </w:rPr>
              <w:t xml:space="preserve">   Semaines 7–9</w:t>
            </w:r>
          </w:p>
          <w:p>
            <w:pPr>
              <w:pStyle w:val="ListParagraph"/>
              <w:numPr>
                <w:ilvl w:val="0"/>
                <w:numId w:val="2"/>
              </w:numPr>
              <w:spacing w:before="50" w:after="50"/>
            </w:pPr>
            <w:r>
              <w:rPr>
                <w:rFonts w:ascii="Arial" w:cs="Arial" w:eastAsia="Arial" w:hAnsi="Arial"/>
                <w:color w:val="333333"/>
                <w:sz w:val="21"/>
                <w:szCs w:val="21"/>
              </w:rPr>
              <w:t xml:space="preserve">Étendre le MCP Server existant : 5 outils actuels → 12 outils</w:t>
            </w:r>
          </w:p>
          <w:p>
            <w:pPr>
              <w:pStyle w:val="ListParagraph"/>
              <w:numPr>
                <w:ilvl w:val="0"/>
                <w:numId w:val="2"/>
              </w:numPr>
              <w:spacing w:before="50" w:after="50"/>
            </w:pPr>
            <w:r>
              <w:rPr>
                <w:rFonts w:ascii="Arial" w:cs="Arial" w:eastAsia="Arial" w:hAnsi="Arial"/>
                <w:color w:val="333333"/>
                <w:sz w:val="21"/>
                <w:szCs w:val="21"/>
              </w:rPr>
              <w:t xml:space="preserve">Implémenter ask_accessibility + analyze_code + suggest_fix (RAG intégré)</w:t>
            </w:r>
          </w:p>
          <w:p>
            <w:pPr>
              <w:pStyle w:val="ListParagraph"/>
              <w:numPr>
                <w:ilvl w:val="0"/>
                <w:numId w:val="2"/>
              </w:numPr>
              <w:spacing w:before="50" w:after="50"/>
            </w:pPr>
            <w:r>
              <w:rPr>
                <w:rFonts w:ascii="Arial" w:cs="Arial" w:eastAsia="Arial" w:hAnsi="Arial"/>
                <w:color w:val="333333"/>
                <w:sz w:val="21"/>
                <w:szCs w:val="21"/>
              </w:rPr>
              <w:t xml:space="preserve">Implémenter compare_reports + get_conformity_rate + get_recurring_findings</w:t>
            </w:r>
          </w:p>
          <w:p>
            <w:pPr>
              <w:pStyle w:val="ListParagraph"/>
              <w:numPr>
                <w:ilvl w:val="0"/>
                <w:numId w:val="2"/>
              </w:numPr>
              <w:spacing w:before="50" w:after="50"/>
            </w:pPr>
            <w:r>
              <w:rPr>
                <w:rFonts w:ascii="Arial" w:cs="Arial" w:eastAsia="Arial" w:hAnsi="Arial"/>
                <w:color w:val="333333"/>
                <w:sz w:val="21"/>
                <w:szCs w:val="21"/>
              </w:rPr>
              <w:t xml:space="preserve">Implémenter validate_finding avec indexation automatique dans ChromaDB</w:t>
            </w:r>
          </w:p>
          <w:p>
            <w:pPr>
              <w:pStyle w:val="ListParagraph"/>
              <w:numPr>
                <w:ilvl w:val="0"/>
                <w:numId w:val="2"/>
              </w:numPr>
              <w:spacing w:before="50" w:after="50"/>
            </w:pPr>
            <w:r>
              <w:rPr>
                <w:rFonts w:ascii="Arial" w:cs="Arial" w:eastAsia="Arial" w:hAnsi="Arial"/>
                <w:color w:val="333333"/>
                <w:sz w:val="21"/>
                <w:szCs w:val="21"/>
              </w:rPr>
              <w:t xml:space="preserve">Tests MCP Inspector : validation de chaque outil, paramètres et réponses</w:t>
            </w:r>
          </w:p>
          <w:p>
            <w:pPr>
              <w:pStyle w:val="ListParagraph"/>
              <w:numPr>
                <w:ilvl w:val="0"/>
                <w:numId w:val="2"/>
              </w:numPr>
              <w:spacing w:before="50" w:after="50"/>
            </w:pPr>
            <w:r>
              <w:rPr>
                <w:rFonts w:ascii="Arial" w:cs="Arial" w:eastAsia="Arial" w:hAnsi="Arial"/>
                <w:color w:val="333333"/>
                <w:sz w:val="21"/>
                <w:szCs w:val="21"/>
              </w:rPr>
              <w:t xml:space="preserve">Documentation JSON Schema des 12 outils avec exemples d'appel</w:t>
            </w:r>
          </w:p>
          <w:p>
            <w:pPr>
              <w:pStyle w:val="ListParagraph"/>
              <w:numPr>
                <w:ilvl w:val="0"/>
                <w:numId w:val="2"/>
              </w:numPr>
              <w:spacing w:before="50" w:after="50"/>
            </w:pPr>
            <w:r>
              <w:rPr>
                <w:rFonts w:ascii="Arial" w:cs="Arial" w:eastAsia="Arial" w:hAnsi="Arial"/>
                <w:color w:val="333333"/>
                <w:sz w:val="21"/>
                <w:szCs w:val="21"/>
              </w:rPr>
              <w:t xml:space="preserve">Test d'intégration avec Claude Desktop et VS Code via MCP</w:t>
            </w:r>
          </w:p>
          <w:p>
            <w:pPr>
              <w:spacing w:before="60" w:after="0"/>
            </w:pPr>
            <w:r>
              <w:rPr>
                <w:rFonts w:ascii="Arial" w:cs="Arial" w:eastAsia="Arial" w:hAnsi="Arial"/>
                <w:b/>
                <w:bCs/>
                <w:color w:val="5B2C8D"/>
                <w:sz w:val="21"/>
                <w:szCs w:val="21"/>
              </w:rPr>
              <w:t xml:space="preserve">Livrable : 12 outils MCP fonctionnels, documentés et testés</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C3A" w:sz="24"/>
              <w:bottom w:val="none" w:color="FFFFFF" w:sz="0"/>
              <w:right w:val="none" w:color="FFFFFF" w:sz="0"/>
            </w:tcBorders>
            <w:shd w:fill="E8F5E9" w:val="clear"/>
            <w:tcMar>
              <w:top w:type="dxa" w:w="140"/>
              <w:left w:type="dxa" w:w="220"/>
              <w:bottom w:type="dxa" w:w="120"/>
              <w:right w:type="dxa" w:w="220"/>
            </w:tcMar>
          </w:tcPr>
          <w:p>
            <w:pPr>
              <w:spacing w:before="0" w:after="60"/>
            </w:pPr>
            <w:r>
              <w:rPr>
                <w:rFonts w:ascii="Arial" w:cs="Arial" w:eastAsia="Arial" w:hAnsi="Arial"/>
                <w:b/>
                <w:bCs/>
                <w:color w:val="1A5C3A"/>
                <w:sz w:val="24"/>
                <w:szCs w:val="24"/>
              </w:rPr>
              <w:t xml:space="preserve">PHASE 4  </w:t>
            </w:r>
            <w:r>
              <w:rPr>
                <w:rFonts w:ascii="Arial" w:cs="Arial" w:eastAsia="Arial" w:hAnsi="Arial"/>
                <w:b/>
                <w:bCs/>
                <w:color w:val="111111"/>
                <w:sz w:val="24"/>
                <w:szCs w:val="24"/>
              </w:rPr>
              <w:t xml:space="preserve">Ingestion Continue &amp; Qualité</w:t>
            </w:r>
            <w:r>
              <w:rPr>
                <w:rFonts w:ascii="Arial" w:cs="Arial" w:eastAsia="Arial" w:hAnsi="Arial"/>
                <w:i/>
                <w:iCs/>
                <w:color w:val="666666"/>
                <w:sz w:val="21"/>
                <w:szCs w:val="21"/>
              </w:rPr>
              <w:t xml:space="preserve">   Semaines 10–11</w:t>
            </w:r>
          </w:p>
          <w:p>
            <w:pPr>
              <w:pStyle w:val="ListParagraph"/>
              <w:numPr>
                <w:ilvl w:val="0"/>
                <w:numId w:val="2"/>
              </w:numPr>
              <w:spacing w:before="50" w:after="50"/>
            </w:pPr>
            <w:r>
              <w:rPr>
                <w:rFonts w:ascii="Arial" w:cs="Arial" w:eastAsia="Arial" w:hAnsi="Arial"/>
                <w:color w:val="333333"/>
                <w:sz w:val="21"/>
                <w:szCs w:val="21"/>
              </w:rPr>
              <w:t xml:space="preserve">Pipeline validate_finding : validation humaine → indexation automatique ChromaDB</w:t>
            </w:r>
          </w:p>
          <w:p>
            <w:pPr>
              <w:pStyle w:val="ListParagraph"/>
              <w:numPr>
                <w:ilvl w:val="0"/>
                <w:numId w:val="2"/>
              </w:numPr>
              <w:spacing w:before="50" w:after="50"/>
            </w:pPr>
            <w:r>
              <w:rPr>
                <w:rFonts w:ascii="Arial" w:cs="Arial" w:eastAsia="Arial" w:hAnsi="Arial"/>
                <w:color w:val="333333"/>
                <w:sz w:val="21"/>
                <w:szCs w:val="21"/>
              </w:rPr>
              <w:t xml:space="preserve">Import des constats v1.0 existants dans ChromaDB (capitalisation immédiate)</w:t>
            </w:r>
          </w:p>
          <w:p>
            <w:pPr>
              <w:pStyle w:val="ListParagraph"/>
              <w:numPr>
                <w:ilvl w:val="0"/>
                <w:numId w:val="2"/>
              </w:numPr>
              <w:spacing w:before="50" w:after="50"/>
            </w:pPr>
            <w:r>
              <w:rPr>
                <w:rFonts w:ascii="Arial" w:cs="Arial" w:eastAsia="Arial" w:hAnsi="Arial"/>
                <w:color w:val="333333"/>
                <w:sz w:val="21"/>
                <w:szCs w:val="21"/>
              </w:rPr>
              <w:t xml:space="preserve">Ingestion AcceDe Web + MDN Accessibilité (scraping structuré)</w:t>
            </w:r>
          </w:p>
          <w:p>
            <w:pPr>
              <w:pStyle w:val="ListParagraph"/>
              <w:numPr>
                <w:ilvl w:val="0"/>
                <w:numId w:val="2"/>
              </w:numPr>
              <w:spacing w:before="50" w:after="50"/>
            </w:pPr>
            <w:r>
              <w:rPr>
                <w:rFonts w:ascii="Arial" w:cs="Arial" w:eastAsia="Arial" w:hAnsi="Arial"/>
                <w:color w:val="333333"/>
                <w:sz w:val="21"/>
                <w:szCs w:val="21"/>
              </w:rPr>
              <w:t xml:space="preserve">Construction collection rgaa_code : snippets HTML/ARIA before/after par critère</w:t>
            </w:r>
          </w:p>
          <w:p>
            <w:pPr>
              <w:pStyle w:val="ListParagraph"/>
              <w:numPr>
                <w:ilvl w:val="0"/>
                <w:numId w:val="2"/>
              </w:numPr>
              <w:spacing w:before="50" w:after="50"/>
            </w:pPr>
            <w:r>
              <w:rPr>
                <w:rFonts w:ascii="Arial" w:cs="Arial" w:eastAsia="Arial" w:hAnsi="Arial"/>
                <w:color w:val="333333"/>
                <w:sz w:val="21"/>
                <w:szCs w:val="21"/>
              </w:rPr>
              <w:t xml:space="preserve">Déduplication hybride : SHA-256 existant + similarité vectorielle ChromaDB</w:t>
            </w:r>
          </w:p>
          <w:p>
            <w:pPr>
              <w:pStyle w:val="ListParagraph"/>
              <w:numPr>
                <w:ilvl w:val="0"/>
                <w:numId w:val="2"/>
              </w:numPr>
              <w:spacing w:before="50" w:after="50"/>
            </w:pPr>
            <w:r>
              <w:rPr>
                <w:rFonts w:ascii="Arial" w:cs="Arial" w:eastAsia="Arial" w:hAnsi="Arial"/>
                <w:color w:val="333333"/>
                <w:sz w:val="21"/>
                <w:szCs w:val="21"/>
              </w:rPr>
              <w:t xml:space="preserve">Tableau de bord qualité : coverage par thématique, confidence moyen, gaps</w:t>
            </w:r>
          </w:p>
          <w:p>
            <w:pPr>
              <w:spacing w:before="60" w:after="0"/>
            </w:pPr>
            <w:r>
              <w:rPr>
                <w:rFonts w:ascii="Arial" w:cs="Arial" w:eastAsia="Arial" w:hAnsi="Arial"/>
                <w:b/>
                <w:bCs/>
                <w:color w:val="1A5C3A"/>
                <w:sz w:val="21"/>
                <w:szCs w:val="21"/>
              </w:rPr>
              <w:t xml:space="preserve">Livrable : pipeline de capitalisation opérationnel, Knowledge Base enrichie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EBF" w:sz="24"/>
              <w:bottom w:val="none" w:color="FFFFFF" w:sz="0"/>
              <w:right w:val="none" w:color="FFFFFF" w:sz="0"/>
            </w:tcBorders>
            <w:shd w:fill="E3F2FD" w:val="clear"/>
            <w:tcMar>
              <w:top w:type="dxa" w:w="140"/>
              <w:left w:type="dxa" w:w="220"/>
              <w:bottom w:type="dxa" w:w="120"/>
              <w:right w:type="dxa" w:w="220"/>
            </w:tcMar>
          </w:tcPr>
          <w:p>
            <w:pPr>
              <w:spacing w:before="0" w:after="60"/>
            </w:pPr>
            <w:r>
              <w:rPr>
                <w:rFonts w:ascii="Arial" w:cs="Arial" w:eastAsia="Arial" w:hAnsi="Arial"/>
                <w:b/>
                <w:bCs/>
                <w:color w:val="2E6EBF"/>
                <w:sz w:val="24"/>
                <w:szCs w:val="24"/>
              </w:rPr>
              <w:t xml:space="preserve">PHASE 5  </w:t>
            </w:r>
            <w:r>
              <w:rPr>
                <w:rFonts w:ascii="Arial" w:cs="Arial" w:eastAsia="Arial" w:hAnsi="Arial"/>
                <w:b/>
                <w:bCs/>
                <w:color w:val="111111"/>
                <w:sz w:val="24"/>
                <w:szCs w:val="24"/>
              </w:rPr>
              <w:t xml:space="preserve">Intégration Clients</w:t>
            </w:r>
            <w:r>
              <w:rPr>
                <w:rFonts w:ascii="Arial" w:cs="Arial" w:eastAsia="Arial" w:hAnsi="Arial"/>
                <w:i/>
                <w:iCs/>
                <w:color w:val="666666"/>
                <w:sz w:val="21"/>
                <w:szCs w:val="21"/>
              </w:rPr>
              <w:t xml:space="preserve">   Semaines 12–14</w:t>
            </w:r>
          </w:p>
          <w:p>
            <w:pPr>
              <w:pStyle w:val="ListParagraph"/>
              <w:numPr>
                <w:ilvl w:val="0"/>
                <w:numId w:val="2"/>
              </w:numPr>
              <w:spacing w:before="50" w:after="50"/>
            </w:pPr>
            <w:r>
              <w:rPr>
                <w:rFonts w:ascii="Arial" w:cs="Arial" w:eastAsia="Arial" w:hAnsi="Arial"/>
                <w:color w:val="333333"/>
                <w:sz w:val="21"/>
                <w:szCs w:val="21"/>
              </w:rPr>
              <w:t xml:space="preserve">Intégration Front React existant — bridge tRPC → MCP client</w:t>
            </w:r>
          </w:p>
          <w:p>
            <w:pPr>
              <w:pStyle w:val="ListParagraph"/>
              <w:numPr>
                <w:ilvl w:val="0"/>
                <w:numId w:val="2"/>
              </w:numPr>
              <w:spacing w:before="50" w:after="50"/>
            </w:pPr>
            <w:r>
              <w:rPr>
                <w:rFonts w:ascii="Arial" w:cs="Arial" w:eastAsia="Arial" w:hAnsi="Arial"/>
                <w:color w:val="333333"/>
                <w:sz w:val="21"/>
                <w:szCs w:val="21"/>
              </w:rPr>
              <w:t xml:space="preserve">Configuration VS Code / Cursor — fichier mcp.json + guide d'utilisation</w:t>
            </w:r>
          </w:p>
          <w:p>
            <w:pPr>
              <w:pStyle w:val="ListParagraph"/>
              <w:numPr>
                <w:ilvl w:val="0"/>
                <w:numId w:val="2"/>
              </w:numPr>
              <w:spacing w:before="50" w:after="50"/>
            </w:pPr>
            <w:r>
              <w:rPr>
                <w:rFonts w:ascii="Arial" w:cs="Arial" w:eastAsia="Arial" w:hAnsi="Arial"/>
                <w:color w:val="333333"/>
                <w:sz w:val="21"/>
                <w:szCs w:val="21"/>
              </w:rPr>
              <w:t xml:space="preserve">Prototype Extension Chrome — MCP client + interface contextuelle dans le navigateur</w:t>
            </w:r>
          </w:p>
          <w:p>
            <w:pPr>
              <w:pStyle w:val="ListParagraph"/>
              <w:numPr>
                <w:ilvl w:val="0"/>
                <w:numId w:val="2"/>
              </w:numPr>
              <w:spacing w:before="50" w:after="50"/>
            </w:pPr>
            <w:r>
              <w:rPr>
                <w:rFonts w:ascii="Arial" w:cs="Arial" w:eastAsia="Arial" w:hAnsi="Arial"/>
                <w:color w:val="333333"/>
                <w:sz w:val="21"/>
                <w:szCs w:val="21"/>
              </w:rPr>
              <w:t xml:space="preserve">Tests multi-clients : cohérence des réponses sur tous les clients connectés</w:t>
            </w:r>
          </w:p>
          <w:p>
            <w:pPr>
              <w:pStyle w:val="ListParagraph"/>
              <w:numPr>
                <w:ilvl w:val="0"/>
                <w:numId w:val="2"/>
              </w:numPr>
              <w:spacing w:before="50" w:after="50"/>
            </w:pPr>
            <w:r>
              <w:rPr>
                <w:rFonts w:ascii="Arial" w:cs="Arial" w:eastAsia="Arial" w:hAnsi="Arial"/>
                <w:color w:val="333333"/>
                <w:sz w:val="21"/>
                <w:szCs w:val="21"/>
              </w:rPr>
              <w:t xml:space="preserve">Optimisation performances : cache embeddings fréquents, réduction latence</w:t>
            </w:r>
          </w:p>
          <w:p>
            <w:pPr>
              <w:spacing w:before="60" w:after="0"/>
            </w:pPr>
            <w:r>
              <w:rPr>
                <w:rFonts w:ascii="Arial" w:cs="Arial" w:eastAsia="Arial" w:hAnsi="Arial"/>
                <w:b/>
                <w:bCs/>
                <w:color w:val="2E6EBF"/>
                <w:sz w:val="21"/>
                <w:szCs w:val="21"/>
              </w:rPr>
              <w:t xml:space="preserve">Livrable : Hub accessible depuis Front, VS Code, Chrome et LLMs</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88888" w:sz="24"/>
              <w:bottom w:val="none" w:color="FFFFFF" w:sz="0"/>
              <w:right w:val="none" w:color="FFFFFF" w:sz="0"/>
            </w:tcBorders>
            <w:shd w:fill="F5F7FA" w:val="clear"/>
            <w:tcMar>
              <w:top w:type="dxa" w:w="140"/>
              <w:left w:type="dxa" w:w="220"/>
              <w:bottom w:type="dxa" w:w="120"/>
              <w:right w:type="dxa" w:w="220"/>
            </w:tcMar>
          </w:tcPr>
          <w:p>
            <w:pPr>
              <w:spacing w:before="0" w:after="60"/>
            </w:pPr>
            <w:r>
              <w:rPr>
                <w:rFonts w:ascii="Arial" w:cs="Arial" w:eastAsia="Arial" w:hAnsi="Arial"/>
                <w:b/>
                <w:bCs/>
                <w:color w:val="888888"/>
                <w:sz w:val="24"/>
                <w:szCs w:val="24"/>
              </w:rPr>
              <w:t xml:space="preserve">PHASE 6  </w:t>
            </w:r>
            <w:r>
              <w:rPr>
                <w:rFonts w:ascii="Arial" w:cs="Arial" w:eastAsia="Arial" w:hAnsi="Arial"/>
                <w:b/>
                <w:bCs/>
                <w:color w:val="111111"/>
                <w:sz w:val="24"/>
                <w:szCs w:val="24"/>
              </w:rPr>
              <w:t xml:space="preserve">Amélioration Continue</w:t>
            </w:r>
            <w:r>
              <w:rPr>
                <w:rFonts w:ascii="Arial" w:cs="Arial" w:eastAsia="Arial" w:hAnsi="Arial"/>
                <w:i/>
                <w:iCs/>
                <w:color w:val="666666"/>
                <w:sz w:val="21"/>
                <w:szCs w:val="21"/>
              </w:rPr>
              <w:t xml:space="preserve">   À partir de la semaine 15 — permanent</w:t>
            </w:r>
          </w:p>
          <w:p>
            <w:pPr>
              <w:pStyle w:val="ListParagraph"/>
              <w:numPr>
                <w:ilvl w:val="0"/>
                <w:numId w:val="2"/>
              </w:numPr>
              <w:spacing w:before="50" w:after="50"/>
            </w:pPr>
            <w:r>
              <w:rPr>
                <w:rFonts w:ascii="Arial" w:cs="Arial" w:eastAsia="Arial" w:hAnsi="Arial"/>
                <w:color w:val="333333"/>
                <w:sz w:val="21"/>
                <w:szCs w:val="21"/>
              </w:rPr>
              <w:t xml:space="preserve">Analyse des requêtes sans réponse satisfaisante → identification des gaps</w:t>
            </w:r>
          </w:p>
          <w:p>
            <w:pPr>
              <w:pStyle w:val="ListParagraph"/>
              <w:numPr>
                <w:ilvl w:val="0"/>
                <w:numId w:val="2"/>
              </w:numPr>
              <w:spacing w:before="50" w:after="50"/>
            </w:pPr>
            <w:r>
              <w:rPr>
                <w:rFonts w:ascii="Arial" w:cs="Arial" w:eastAsia="Arial" w:hAnsi="Arial"/>
                <w:color w:val="333333"/>
                <w:sz w:val="21"/>
                <w:szCs w:val="21"/>
              </w:rPr>
              <w:t xml:space="preserve">Enrichissement mensuel des sources (AcceDe, MDN, nouvelles ressources)</w:t>
            </w:r>
          </w:p>
          <w:p>
            <w:pPr>
              <w:pStyle w:val="ListParagraph"/>
              <w:numPr>
                <w:ilvl w:val="0"/>
                <w:numId w:val="2"/>
              </w:numPr>
              <w:spacing w:before="50" w:after="50"/>
            </w:pPr>
            <w:r>
              <w:rPr>
                <w:rFonts w:ascii="Arial" w:cs="Arial" w:eastAsia="Arial" w:hAnsi="Arial"/>
                <w:color w:val="333333"/>
                <w:sz w:val="21"/>
                <w:szCs w:val="21"/>
              </w:rPr>
              <w:t xml:space="preserve">Mise à jour référentiel si évolution RGAA 4.1.2 ou WCAG 2.2/3.0</w:t>
            </w:r>
          </w:p>
          <w:p>
            <w:pPr>
              <w:pStyle w:val="ListParagraph"/>
              <w:numPr>
                <w:ilvl w:val="0"/>
                <w:numId w:val="2"/>
              </w:numPr>
              <w:spacing w:before="50" w:after="50"/>
            </w:pPr>
            <w:r>
              <w:rPr>
                <w:rFonts w:ascii="Arial" w:cs="Arial" w:eastAsia="Arial" w:hAnsi="Arial"/>
                <w:color w:val="333333"/>
                <w:sz w:val="21"/>
                <w:szCs w:val="21"/>
              </w:rPr>
              <w:t xml:space="preserve">Intégration des données WebAIM Million annuel — erreurs les plus fréquentes en production réelle</w:t>
            </w:r>
          </w:p>
          <w:p>
            <w:pPr>
              <w:pStyle w:val="ListParagraph"/>
              <w:numPr>
                <w:ilvl w:val="0"/>
                <w:numId w:val="2"/>
              </w:numPr>
              <w:spacing w:before="50" w:after="50"/>
            </w:pPr>
            <w:r>
              <w:rPr>
                <w:rFonts w:ascii="Arial" w:cs="Arial" w:eastAsia="Arial" w:hAnsi="Arial"/>
                <w:color w:val="333333"/>
                <w:sz w:val="21"/>
                <w:szCs w:val="21"/>
              </w:rPr>
              <w:t xml:space="preserve">Métriques d'usage : outils les plus sollicités, taux de satisfaction, patterns d'utilisation</w:t>
            </w:r>
          </w:p>
          <w:p>
            <w:pPr>
              <w:pStyle w:val="ListParagraph"/>
              <w:numPr>
                <w:ilvl w:val="0"/>
                <w:numId w:val="2"/>
              </w:numPr>
              <w:spacing w:before="50" w:after="50"/>
            </w:pPr>
            <w:r>
              <w:rPr>
                <w:rFonts w:ascii="Arial" w:cs="Arial" w:eastAsia="Arial" w:hAnsi="Arial"/>
                <w:color w:val="333333"/>
                <w:sz w:val="21"/>
                <w:szCs w:val="21"/>
              </w:rPr>
              <w:t xml:space="preserve">Évaluation trimestrielle de la qualité des réponses RAG sur les 13 thématiques</w:t>
            </w:r>
          </w:p>
          <w:p>
            <w:pPr>
              <w:spacing w:before="60" w:after="0"/>
            </w:pPr>
            <w:r>
              <w:rPr>
                <w:rFonts w:ascii="Arial" w:cs="Arial" w:eastAsia="Arial" w:hAnsi="Arial"/>
                <w:b/>
                <w:bCs/>
                <w:color w:val="888888"/>
                <w:sz w:val="21"/>
                <w:szCs w:val="21"/>
              </w:rPr>
              <w:t xml:space="preserve">Livrable : Hub en apprentissage permanent, qualité croissante</w:t>
            </w:r>
          </w:p>
        </w:tc>
      </w:tr>
    </w:tbl>
    <w:p>
      <w:pPr>
        <w:spacing w:before="0" w:after="200"/>
      </w:pPr>
      <w:r>
        <w:t xml:space="preserve"/>
      </w:r>
    </w:p>
    <w:p>
      <w:pPr>
        <w:pStyle w:val="Heading2"/>
        <w:spacing w:before="300" w:after="140"/>
      </w:pPr>
      <w:r>
        <w:rPr>
          <w:rFonts w:ascii="Arial" w:cs="Arial" w:eastAsia="Arial" w:hAnsi="Arial"/>
          <w:b/>
          <w:bCs/>
          <w:color w:val="2E6EBF"/>
          <w:sz w:val="28"/>
          <w:szCs w:val="28"/>
        </w:rPr>
        <w:t xml:space="preserve">7.1 Vue synthétique — Timeline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1200"/>
        <w:gridCol w:w="3526"/>
      </w:tblGrid>
      <w:tr>
        <w:tc>
          <w:tcPr>
            <w:tcW w:type="dxa" w:w="5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Semaines</w:t>
            </w:r>
          </w:p>
        </w:tc>
        <w:tc>
          <w:tcPr>
            <w:tcW w:type="dxa" w:w="12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Durée</w:t>
            </w:r>
          </w:p>
        </w:tc>
        <w:tc>
          <w:tcPr>
            <w:tcW w:type="dxa" w:w="35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Livrable clé</w:t>
            </w:r>
          </w:p>
        </w:tc>
      </w:tr>
      <w:tr>
        <w:tc>
          <w:tcPr>
            <w:tcW w:type="dxa" w:w="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Fondations Hub &amp; Ingestion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S1–S3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semaines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 opérationnel + 500 docs indexés</w:t>
            </w:r>
          </w:p>
        </w:tc>
      </w:tr>
      <w:tr>
        <w:tc>
          <w:tcPr>
            <w:tcW w:type="dxa" w:w="500"/>
            <w:tcBorders>
              <w:top w:val="single" w:color="CCCCCC" w:sz="1"/>
              <w:left w:val="single" w:color="CCCCCC" w:sz="1"/>
              <w:bottom w:val="single" w:color="CCCCCC" w:sz="1"/>
              <w:right w:val="single" w:color="CCCCCC" w:sz="1"/>
            </w:tcBorders>
            <w:shd w:fill="8B3A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RAG Engine Core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S4–S6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3 semaines</w:t>
            </w:r>
          </w:p>
        </w:tc>
        <w:tc>
          <w:tcPr>
            <w:tcW w:type="dxa" w:w="3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Réponses RAG validées sur 13 thématiques</w:t>
            </w:r>
          </w:p>
        </w:tc>
      </w:tr>
      <w:tr>
        <w:tc>
          <w:tcPr>
            <w:tcW w:type="dxa" w:w="500"/>
            <w:tcBorders>
              <w:top w:val="single" w:color="CCCCCC" w:sz="1"/>
              <w:left w:val="single" w:color="CCCCCC" w:sz="1"/>
              <w:bottom w:val="single" w:color="CCCCCC" w:sz="1"/>
              <w:right w:val="single" w:color="CCCCCC" w:sz="1"/>
            </w:tcBorders>
            <w:shd w:fill="5B2C8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Extension MCP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S7–S9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semaines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outils MCP fonctionnels et documentés</w:t>
            </w:r>
          </w:p>
        </w:tc>
      </w:tr>
      <w:tr>
        <w:tc>
          <w:tcPr>
            <w:tcW w:type="dxa" w:w="500"/>
            <w:tcBorders>
              <w:top w:val="single" w:color="CCCCCC" w:sz="1"/>
              <w:left w:val="single" w:color="CCCCCC" w:sz="1"/>
              <w:bottom w:val="single" w:color="CCCCCC" w:sz="1"/>
              <w:right w:val="single" w:color="CCCCCC" w:sz="1"/>
            </w:tcBorders>
            <w:shd w:fill="1A5C3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Ingestion Continue &amp; Qualité</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S10–S11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 semaines</w:t>
            </w:r>
          </w:p>
        </w:tc>
        <w:tc>
          <w:tcPr>
            <w:tcW w:type="dxa" w:w="3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Pipeline validation humaine opérationnel</w:t>
            </w:r>
          </w:p>
        </w:tc>
      </w:tr>
      <w:tr>
        <w:tc>
          <w:tcPr>
            <w:tcW w:type="dxa" w:w="500"/>
            <w:tcBorders>
              <w:top w:val="single" w:color="CCCCCC" w:sz="1"/>
              <w:left w:val="single" w:color="CCCCCC" w:sz="1"/>
              <w:bottom w:val="single" w:color="CCCCCC" w:sz="1"/>
              <w:right w:val="single" w:color="CCCCCC" w:sz="1"/>
            </w:tcBorders>
            <w:shd w:fill="2E6EB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Intégration Clients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S12–S14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semaines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 + VS Code + Chrome connectés au Hub</w:t>
            </w:r>
          </w:p>
        </w:tc>
      </w:tr>
      <w:tr>
        <w:tc>
          <w:tcPr>
            <w:tcW w:type="dxa" w:w="500"/>
            <w:tcBorders>
              <w:top w:val="single" w:color="CCCCCC" w:sz="1"/>
              <w:left w:val="single" w:color="CCCCCC" w:sz="1"/>
              <w:bottom w:val="single" w:color="CCCCCC" w:sz="1"/>
              <w:right w:val="single" w:color="CCCCCC" w:sz="1"/>
            </w:tcBorders>
            <w:shd w:fill="88888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Amélioration Continue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S15+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Permanent</w:t>
            </w:r>
          </w:p>
        </w:tc>
        <w:tc>
          <w:tcPr>
            <w:tcW w:type="dxa" w:w="3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Hub en apprentissage permanent</w:t>
            </w:r>
          </w:p>
        </w:tc>
      </w:tr>
    </w:tbl>
    <w:p>
      <w:pPr>
        <w:spacing w:before="0" w:after="100"/>
      </w:pPr>
      <w:r>
        <w:t xml:space="preserve"/>
      </w:r>
    </w:p>
    <w:p>
      <w:pPr>
        <w:pStyle w:val="Heading2"/>
        <w:spacing w:before="300" w:after="140"/>
      </w:pPr>
      <w:r>
        <w:rPr>
          <w:rFonts w:ascii="Arial" w:cs="Arial" w:eastAsia="Arial" w:hAnsi="Arial"/>
          <w:b/>
          <w:bCs/>
          <w:color w:val="2E6EBF"/>
          <w:sz w:val="28"/>
          <w:szCs w:val="28"/>
        </w:rPr>
        <w:t xml:space="preserve">7.2 Risques &amp; Mitigations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626"/>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Risque</w:t>
            </w:r>
          </w:p>
        </w:tc>
        <w:tc>
          <w:tcPr>
            <w:tcW w:type="dxa" w:w="1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Probabilité</w:t>
            </w:r>
          </w:p>
        </w:tc>
        <w:tc>
          <w:tcPr>
            <w:tcW w:type="dxa" w:w="140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Impact</w:t>
            </w:r>
          </w:p>
        </w:tc>
        <w:tc>
          <w:tcPr>
            <w:tcW w:type="dxa" w:w="3626"/>
            <w:tcBorders>
              <w:top w:val="single" w:color="CCCCCC" w:sz="1"/>
              <w:left w:val="single" w:color="CCCCCC" w:sz="1"/>
              <w:bottom w:val="single" w:color="CCCCCC" w:sz="1"/>
              <w:right w:val="single" w:color="CCCCCC" w:sz="1"/>
            </w:tcBorders>
            <w:shd w:fill="1B3A6B" w:val="clear"/>
            <w:tcMar>
              <w:top w:type="dxa" w:w="90"/>
              <w:left w:type="dxa" w:w="120"/>
              <w:bottom w:type="dxa" w:w="9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Qualité embeddings insuffisante sur RGAA fr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Phase 1 dédié + ajustement modèle avant Phase 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Sources officielles inaccessibles au scraping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Extraction manuelle initiale en fallback garanti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API OpenAI trop élevé en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 Ollama local dès la Phase 1 — testé en parallèle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Knowledge Base vide au lancement Phase 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Import immédiat des constats v1.0 existants en Phase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bloquée — qualité RAG insuffisante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Gate de qualité explicite avant passage Phase 3</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B3A00" w:sz="22"/>
              <w:bottom w:val="none" w:color="FFFFFF" w:sz="0"/>
              <w:right w:val="none" w:color="FFFFFF" w:sz="0"/>
            </w:tcBorders>
            <w:shd w:fill="FFF3CD" w:val="clear"/>
            <w:tcMar>
              <w:top w:type="dxa" w:w="120"/>
              <w:left w:type="dxa" w:w="220"/>
              <w:bottom w:type="dxa" w:w="120"/>
              <w:right w:type="dxa" w:w="220"/>
            </w:tcMar>
          </w:tcPr>
          <w:p>
            <w:pPr>
              <w:spacing w:before="0" w:after="50"/>
            </w:pPr>
            <w:r>
              <w:rPr>
                <w:rFonts w:ascii="Arial" w:cs="Arial" w:eastAsia="Arial" w:hAnsi="Arial"/>
                <w:b/>
                <w:bCs/>
                <w:color w:val="8B3A00"/>
                <w:sz w:val="21"/>
                <w:szCs w:val="21"/>
              </w:rPr>
              <w:t xml:space="preserve">Point de vigilance critique</w:t>
            </w:r>
          </w:p>
          <w:p>
            <w:pPr>
              <w:spacing w:before="0" w:after="0"/>
            </w:pPr>
            <w:r>
              <w:rPr>
                <w:rFonts w:ascii="Arial" w:cs="Arial" w:eastAsia="Arial" w:hAnsi="Arial"/>
                <w:color w:val="333333"/>
                <w:sz w:val="21"/>
                <w:szCs w:val="21"/>
              </w:rPr>
              <w:t xml:space="preserve">La Phase 2 (RAG Engine) est un gate obligatoire. Si la qualité des réponses n'est pas satisfaisante sur les 13 thématiques RGAA, les phases suivantes sont suspendues jusqu'à résolution. Ne pas brûler les étapes.</w:t>
            </w:r>
          </w:p>
        </w:tc>
      </w:tr>
    </w:tbl>
    <w:p>
      <w:pPr>
        <w:spacing w:before="0" w:after="200"/>
      </w:pPr>
      <w:r>
        <w:t xml:space="preserve"/>
      </w:r>
    </w:p>
    <w:p>
      <w:pPr>
        <w:pBdr>
          <w:top w:val="single" w:color="2E6EBF" w:sz="4" w:space="10"/>
        </w:pBdr>
        <w:spacing w:before="200" w:after="60"/>
        <w:jc w:val="center"/>
      </w:pPr>
      <w:r>
        <w:rPr>
          <w:rFonts w:ascii="Arial" w:cs="Arial" w:eastAsia="Arial" w:hAnsi="Arial"/>
          <w:i/>
          <w:iCs/>
          <w:color w:val="666666"/>
          <w:sz w:val="18"/>
          <w:szCs w:val="18"/>
        </w:rPr>
        <w:t xml:space="preserve">RGAA Knowledge Hub — Rapport Consolidé v2.0 — Février 2026</w:t>
      </w:r>
    </w:p>
    <w:p>
      <w:pPr>
        <w:spacing w:before="0" w:after="0"/>
        <w:jc w:val="center"/>
      </w:pPr>
      <w:r>
        <w:rPr>
          <w:rFonts w:ascii="Arial" w:cs="Arial" w:eastAsia="Arial" w:hAnsi="Arial"/>
          <w:i/>
          <w:iCs/>
          <w:color w:val="666666"/>
          <w:sz w:val="18"/>
          <w:szCs w:val="18"/>
        </w:rPr>
        <w:t xml:space="preserve">Architecture · RAG · Sources · Roadmap — Document confidentiel</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2E6EB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2026-02-21T01:31:07.113Z</dcterms:created>
  <dcterms:modified xsi:type="dcterms:W3CDTF">2026-02-21T01:31:07.114Z</dcterms:modified>
</cp:coreProperties>
</file>

<file path=docProps/custom.xml><?xml version="1.0" encoding="utf-8"?>
<Properties xmlns="http://schemas.openxmlformats.org/officeDocument/2006/custom-properties" xmlns:vt="http://schemas.openxmlformats.org/officeDocument/2006/docPropsVTypes"/>
</file>