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before="0" w:after="200"/>
        <w:jc w:val="center"/>
      </w:pPr>
      <w:r>
        <w:rPr>
          <w:rFonts w:ascii="Arial" w:cs="Arial" w:eastAsia="Arial" w:hAnsi="Arial"/>
          <w:b/>
          <w:bCs/>
          <w:color w:val="1B3A6B"/>
          <w:sz w:val="52"/>
          <w:szCs w:val="52"/>
        </w:rPr>
        <w:t xml:space="preserve">RGAA KNOWLEDGE HUB</w:t>
      </w:r>
    </w:p>
    <w:p>
      <w:pPr>
        <w:spacing w:before="0" w:after="120"/>
        <w:jc w:val="center"/>
      </w:pPr>
      <w:r>
        <w:rPr>
          <w:rFonts w:ascii="Arial" w:cs="Arial" w:eastAsia="Arial" w:hAnsi="Arial"/>
          <w:color w:val="2E6EBF"/>
          <w:sz w:val="32"/>
          <w:szCs w:val="32"/>
        </w:rPr>
        <w:t xml:space="preserve">Architecture &amp; Vision Technique</w:t>
      </w:r>
    </w:p>
    <w:p>
      <w:pPr>
        <w:pBdr>
          <w:bottom w:val="single" w:color="2E6EBF" w:sz="6" w:space="10"/>
        </w:pBdr>
        <w:spacing w:before="0" w:after="600"/>
        <w:jc w:val="center"/>
      </w:pPr>
      <w:r>
        <w:rPr>
          <w:rFonts w:ascii="Arial" w:cs="Arial" w:eastAsia="Arial" w:hAnsi="Arial"/>
          <w:i/>
          <w:iCs/>
          <w:color w:val="555555"/>
          <w:sz w:val="24"/>
          <w:szCs w:val="24"/>
        </w:rPr>
        <w:t xml:space="preserve">Rapport de Conception — Février 2026</w:t>
      </w:r>
    </w:p>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Statut</w:t>
            </w:r>
          </w:p>
        </w:tc>
        <w:tc>
          <w:tcPr>
            <w:tcW w:type="dxa" w:w="6826"/>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color w:val="333333"/>
                <w:sz w:val="20"/>
                <w:szCs w:val="20"/>
              </w:rPr>
              <w:t xml:space="preserve">Conception validée — Prêt pour implémentation</w:t>
            </w:r>
          </w:p>
        </w:tc>
      </w:tr>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1.0 — Février 2026</w:t>
            </w:r>
          </w:p>
        </w:tc>
      </w:tr>
      <w:tr>
        <w:tc>
          <w:tcPr>
            <w:tcW w:type="dxa" w:w="2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Domaine</w:t>
            </w:r>
          </w:p>
        </w:tc>
        <w:tc>
          <w:tcPr>
            <w:tcW w:type="dxa" w:w="6826"/>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60"/>
            </w:tcMar>
          </w:tcPr>
          <w:p>
            <w:r>
              <w:rPr>
                <w:rFonts w:ascii="Arial" w:cs="Arial" w:eastAsia="Arial" w:hAnsi="Arial"/>
                <w:color w:val="333333"/>
                <w:sz w:val="20"/>
                <w:szCs w:val="20"/>
              </w:rPr>
              <w:t xml:space="preserve">Accessibilité numérique — RGAA 4.1 / WCAG 2.2</w:t>
            </w:r>
          </w:p>
        </w:tc>
      </w:tr>
    </w:tbl>
    <w:p>
      <w:pPr>
        <w:spacing w:before="0" w:after="200"/>
      </w:pPr>
      <w:r>
        <w:t xml:space="preserve"/>
      </w:r>
    </w:p>
    <w:p>
      <w:r>
        <w:br w:type="page"/>
      </w:r>
    </w:p>
    <w:p>
      <w:pPr>
        <w:pStyle w:val="Heading1"/>
        <w:pBdr>
          <w:bottom w:val="single" w:color="2E6EBF" w:sz="6" w:space="6"/>
        </w:pBdr>
        <w:spacing w:before="400" w:after="200"/>
      </w:pPr>
      <w:r>
        <w:rPr>
          <w:rFonts w:ascii="Arial" w:cs="Arial" w:eastAsia="Arial" w:hAnsi="Arial"/>
          <w:b/>
          <w:bCs/>
          <w:color w:val="1B3A6B"/>
          <w:sz w:val="36"/>
          <w:szCs w:val="36"/>
        </w:rPr>
        <w:t xml:space="preserve">1. Contexte &amp; Problématique</w:t>
      </w:r>
    </w:p>
    <w:p>
      <w:pPr>
        <w:spacing w:before="0" w:after="100"/>
      </w:pPr>
      <w:r>
        <w:t xml:space="preserve"/>
      </w:r>
    </w:p>
    <w:p>
      <w:pPr>
        <w:spacing w:before="80" w:after="120"/>
      </w:pPr>
      <w:r>
        <w:rPr>
          <w:rFonts w:ascii="Arial" w:cs="Arial" w:eastAsia="Arial" w:hAnsi="Arial"/>
          <w:b w:val="false"/>
          <w:bCs w:val="false"/>
          <w:i w:val="false"/>
          <w:iCs w:val="false"/>
          <w:color w:val="333333"/>
          <w:sz w:val="22"/>
          <w:szCs w:val="22"/>
        </w:rPr>
        <w:t xml:space="preserve">Le projet RGAA Constat Extractor v1.0 constitue la base de travail. Il permet d'importer des rapports d'audit Word, d'en extraire les constats, et de les capitaliser dans une bibliothèque d'expertise. Cette base est solide — mais la vision s'élargit.</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550A" w:sz="18"/>
              <w:bottom w:val="none" w:color="FFFFFF" w:sz="0"/>
              <w:right w:val="none" w:color="FFFFFF" w:sz="0"/>
            </w:tcBorders>
            <w:shd w:fill="FFF3CD" w:val="clear"/>
            <w:tcMar>
              <w:top w:type="dxa" w:w="120"/>
              <w:left w:type="dxa" w:w="200"/>
              <w:bottom w:type="dxa" w:w="120"/>
              <w:right w:type="dxa" w:w="200"/>
            </w:tcMar>
          </w:tcPr>
          <w:p>
            <w:pPr>
              <w:spacing w:before="0" w:after="60"/>
            </w:pPr>
            <w:r>
              <w:rPr>
                <w:rFonts w:ascii="Arial" w:cs="Arial" w:eastAsia="Arial" w:hAnsi="Arial"/>
                <w:b/>
                <w:bCs/>
                <w:color w:val="C0550A"/>
                <w:sz w:val="20"/>
                <w:szCs w:val="20"/>
              </w:rPr>
              <w:t xml:space="preserve">Problème central</w:t>
            </w:r>
          </w:p>
          <w:p>
            <w:pPr>
              <w:spacing w:before="0" w:after="0"/>
            </w:pPr>
            <w:r>
              <w:rPr>
                <w:rFonts w:ascii="Arial" w:cs="Arial" w:eastAsia="Arial" w:hAnsi="Arial"/>
                <w:color w:val="333333"/>
                <w:sz w:val="21"/>
                <w:szCs w:val="21"/>
              </w:rPr>
              <w:t xml:space="preserve">L'expertise en accessibilité est fragmentée : elle vit dans des fichiers Word, dans la tête des auditeurs, dans des templates isolés. Il n'existe pas de cerveau centralisé capable de répondre comme un expert, depuis une base de connaissances vivante.</w:t>
            </w:r>
          </w:p>
        </w:tc>
      </w:tr>
    </w:tbl>
    <w:p>
      <w:pPr>
        <w:spacing w:before="0" w:after="100"/>
      </w:pPr>
      <w:r>
        <w:t xml:space="preserve"/>
      </w:r>
    </w:p>
    <w:p>
      <w:pPr>
        <w:spacing w:before="80" w:after="120"/>
      </w:pPr>
      <w:r>
        <w:rPr>
          <w:rFonts w:ascii="Arial" w:cs="Arial" w:eastAsia="Arial" w:hAnsi="Arial"/>
          <w:b w:val="false"/>
          <w:bCs w:val="false"/>
          <w:i w:val="false"/>
          <w:iCs w:val="false"/>
          <w:color w:val="333333"/>
          <w:sz w:val="22"/>
          <w:szCs w:val="22"/>
        </w:rPr>
        <w:t xml:space="preserve">L'objectif est de transformer cet outil de gestion de rapports en un Hub IA expert en accessibilité — capable de répondre à n'importe quelle question, d'analyser du code, de suggérer des corrections, et d'être consommé par n'importe quel client externe.</w:t>
      </w:r>
    </w:p>
    <w:p>
      <w:pPr>
        <w:spacing w:before="0" w:after="200"/>
      </w:pPr>
      <w:r>
        <w:t xml:space="preserve"/>
      </w:r>
    </w:p>
    <w:p>
      <w:pPr>
        <w:pStyle w:val="Heading1"/>
        <w:pBdr>
          <w:bottom w:val="single" w:color="2E6EBF" w:sz="6" w:space="6"/>
        </w:pBdr>
        <w:spacing w:before="400" w:after="200"/>
      </w:pPr>
      <w:r>
        <w:rPr>
          <w:rFonts w:ascii="Arial" w:cs="Arial" w:eastAsia="Arial" w:hAnsi="Arial"/>
          <w:b/>
          <w:bCs/>
          <w:color w:val="1B3A6B"/>
          <w:sz w:val="36"/>
          <w:szCs w:val="36"/>
        </w:rPr>
        <w:t xml:space="preserve">2. Vision Architecture</w:t>
      </w:r>
    </w:p>
    <w:p>
      <w:pPr>
        <w:spacing w:before="0" w:after="100"/>
      </w:pPr>
      <w:r>
        <w:t xml:space="preserve"/>
      </w:r>
    </w:p>
    <w:p>
      <w:pPr>
        <w:pStyle w:val="Heading2"/>
        <w:spacing w:before="300" w:after="160"/>
      </w:pPr>
      <w:r>
        <w:rPr>
          <w:rFonts w:ascii="Arial" w:cs="Arial" w:eastAsia="Arial" w:hAnsi="Arial"/>
          <w:b/>
          <w:bCs/>
          <w:color w:val="2E6EBF"/>
          <w:sz w:val="28"/>
          <w:szCs w:val="28"/>
        </w:rPr>
        <w:t xml:space="preserve">2.1 Principe directeur</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B3A6B" w:sz="18"/>
              <w:bottom w:val="none" w:color="FFFFFF" w:sz="0"/>
              <w:right w:val="none" w:color="FFFFFF" w:sz="0"/>
            </w:tcBorders>
            <w:shd w:fill="D6E4F7" w:val="clear"/>
            <w:tcMar>
              <w:top w:type="dxa" w:w="120"/>
              <w:left w:type="dxa" w:w="200"/>
              <w:bottom w:type="dxa" w:w="120"/>
              <w:right w:type="dxa" w:w="200"/>
            </w:tcMar>
          </w:tcPr>
          <w:p>
            <w:pPr>
              <w:spacing w:before="0" w:after="60"/>
            </w:pPr>
            <w:r>
              <w:rPr>
                <w:rFonts w:ascii="Arial" w:cs="Arial" w:eastAsia="Arial" w:hAnsi="Arial"/>
                <w:b/>
                <w:bCs/>
                <w:color w:val="1B3A6B"/>
                <w:sz w:val="20"/>
                <w:szCs w:val="20"/>
              </w:rPr>
              <w:t xml:space="preserve">Un Hub qui parle à tout le monde, apprend de chaque interaction, et reste simple à maintenir.</w:t>
            </w:r>
          </w:p>
          <w:p>
            <w:pPr>
              <w:spacing w:before="0" w:after="0"/>
            </w:pPr>
            <w:r>
              <w:rPr>
                <w:rFonts w:ascii="Arial" w:cs="Arial" w:eastAsia="Arial" w:hAnsi="Arial"/>
                <w:color w:val="333333"/>
                <w:sz w:val="21"/>
                <w:szCs w:val="21"/>
              </w:rPr>
              <w:t xml:space="preserve">Un seul protocole universel (MCP), une seule base de connaissances, des clients illimités.</w:t>
            </w:r>
          </w:p>
        </w:tc>
      </w:tr>
    </w:tbl>
    <w:p>
      <w:pPr>
        <w:spacing w:before="0" w:after="100"/>
      </w:pPr>
      <w:r>
        <w:t xml:space="preserve"/>
      </w:r>
    </w:p>
    <w:p>
      <w:pPr>
        <w:pStyle w:val="Heading2"/>
        <w:spacing w:before="300" w:after="160"/>
      </w:pPr>
      <w:r>
        <w:rPr>
          <w:rFonts w:ascii="Arial" w:cs="Arial" w:eastAsia="Arial" w:hAnsi="Arial"/>
          <w:b/>
          <w:bCs/>
          <w:color w:val="2E6EBF"/>
          <w:sz w:val="28"/>
          <w:szCs w:val="28"/>
        </w:rPr>
        <w:t xml:space="preserve">2.2 Architecture en 3 couches</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CLIENTS                      │</w:t>
            </w:r>
          </w:p>
          <w:p>
            <w:pPr>
              <w:spacing w:before="20" w:after="20"/>
            </w:pPr>
            <w:r>
              <w:rPr>
                <w:rFonts w:ascii="Courier New" w:cs="Courier New" w:eastAsia="Courier New" w:hAnsi="Courier New"/>
                <w:color w:val="D4D4D4"/>
                <w:sz w:val="18"/>
                <w:szCs w:val="18"/>
              </w:rPr>
              <w:t xml:space="preserve">│   Front React · VS Code · Chrome Ext · Claude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 MCP Protocol (protocole unique)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KNOWLEDGE HUB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  │</w:t>
            </w:r>
          </w:p>
          <w:p>
            <w:pPr>
              <w:spacing w:before="20" w:after="20"/>
            </w:pPr>
            <w:r>
              <w:rPr>
                <w:rFonts w:ascii="Courier New" w:cs="Courier New" w:eastAsia="Courier New" w:hAnsi="Courier New"/>
                <w:color w:val="D4D4D4"/>
                <w:sz w:val="18"/>
                <w:szCs w:val="18"/>
              </w:rPr>
              <w:t xml:space="preserve">│   │  RAG Engine  │    │    MCP Server        │  │</w:t>
            </w:r>
          </w:p>
          <w:p>
            <w:pPr>
              <w:spacing w:before="20" w:after="20"/>
            </w:pPr>
            <w:r>
              <w:rPr>
                <w:rFonts w:ascii="Courier New" w:cs="Courier New" w:eastAsia="Courier New" w:hAnsi="Courier New"/>
                <w:color w:val="D4D4D4"/>
                <w:sz w:val="18"/>
                <w:szCs w:val="18"/>
              </w:rPr>
              <w:t xml:space="preserve">│   │  (cerveau)   │    │    (12 outils)       │  │</w:t>
            </w:r>
          </w:p>
          <w:p>
            <w:pPr>
              <w:spacing w:before="20" w:after="20"/>
            </w:pPr>
            <w:r>
              <w:rPr>
                <w:rFonts w:ascii="Courier New" w:cs="Courier New" w:eastAsia="Courier New" w:hAnsi="Courier New"/>
                <w:color w:val="D4D4D4"/>
                <w:sz w:val="18"/>
                <w:szCs w:val="18"/>
              </w:rPr>
              <w:t xml:space="preserve">│   └─────────────┘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Knowledge Base                 │  │</w:t>
            </w:r>
          </w:p>
          <w:p>
            <w:pPr>
              <w:spacing w:before="20" w:after="20"/>
            </w:pPr>
            <w:r>
              <w:rPr>
                <w:rFonts w:ascii="Courier New" w:cs="Courier New" w:eastAsia="Courier New" w:hAnsi="Courier New"/>
                <w:color w:val="D4D4D4"/>
                <w:sz w:val="18"/>
                <w:szCs w:val="18"/>
              </w:rPr>
              <w:t xml:space="preserve">│   │   RGAA · Findings · Docs · Vecteurs     │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INGESTION PIPELINE                   │</w:t>
            </w:r>
          </w:p>
          <w:p>
            <w:pPr>
              <w:spacing w:before="20" w:after="20"/>
            </w:pPr>
            <w:r>
              <w:rPr>
                <w:rFonts w:ascii="Courier New" w:cs="Courier New" w:eastAsia="Courier New" w:hAnsi="Courier New"/>
                <w:color w:val="D4D4D4"/>
                <w:sz w:val="18"/>
                <w:szCs w:val="18"/>
              </w:rPr>
              <w:t xml:space="preserve">│        DOCX → Parse → Validate → Index          │</w:t>
            </w:r>
          </w:p>
          <w:p>
            <w:pPr>
              <w:spacing w:before="20" w:after="20"/>
            </w:pPr>
            <w:r>
              <w:rPr>
                <w:rFonts w:ascii="Courier New" w:cs="Courier New" w:eastAsia="Courier New" w:hAnsi="Courier New"/>
                <w:color w:val="D4D4D4"/>
                <w:sz w:val="18"/>
                <w:szCs w:val="18"/>
              </w:rPr>
              <w:t xml:space="preserve">└─────────────────────────────────────────────────┘</w:t>
            </w:r>
          </w:p>
        </w:tc>
      </w:tr>
    </w:tbl>
    <w:p>
      <w:pPr>
        <w:spacing w:before="0" w:after="100"/>
      </w:pPr>
      <w:r>
        <w:t xml:space="preserve"/>
      </w:r>
    </w:p>
    <w:p>
      <w:pPr>
        <w:pStyle w:val="Heading2"/>
        <w:spacing w:before="300" w:after="160"/>
      </w:pPr>
      <w:r>
        <w:rPr>
          <w:rFonts w:ascii="Arial" w:cs="Arial" w:eastAsia="Arial" w:hAnsi="Arial"/>
          <w:b/>
          <w:bCs/>
          <w:color w:val="2E6EBF"/>
          <w:sz w:val="28"/>
          <w:szCs w:val="28"/>
        </w:rPr>
        <w:t xml:space="preserve">2.3 Pourquoi cette structure</w:t>
      </w:r>
    </w:p>
    <w:p>
      <w:pPr>
        <w:spacing w:before="0" w:after="100"/>
      </w:pPr>
      <w:r>
        <w:t xml:space="preserve"/>
      </w:r>
    </w:p>
    <w:p>
      <w:pPr>
        <w:spacing w:before="80" w:after="120"/>
      </w:pPr>
      <w:r>
        <w:rPr>
          <w:rFonts w:ascii="Arial" w:cs="Arial" w:eastAsia="Arial" w:hAnsi="Arial"/>
          <w:b w:val="false"/>
          <w:bCs w:val="false"/>
          <w:i w:val="false"/>
          <w:iCs w:val="false"/>
          <w:color w:val="333333"/>
          <w:sz w:val="22"/>
          <w:szCs w:val="22"/>
        </w:rPr>
        <w:t xml:space="preserve">Trois séparations de responsabilité claires :</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65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Rôle &amp; Responsabilité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Ingestion Pipeline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Reçoit les DOCX bruts. Parse, structure, valide avant d'entrer dans la Knowledge Base. N'appartient pas au Hub — il l'alimente.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Knowledge Hub</w:t>
            </w:r>
          </w:p>
        </w:tc>
        <w:tc>
          <w:tcPr>
            <w:tcW w:type="dxa" w:w="6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Le cerveau. RAG Engine + MCP Server + Knowledge Base. Stable, indépendant, déployé séparément.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Consommateurs MCP. Évoluent indépendamment sans toucher au Hub.</w:t>
            </w:r>
          </w:p>
        </w:tc>
      </w:tr>
    </w:tbl>
    <w:p>
      <w:pPr>
        <w:spacing w:before="0" w:after="200"/>
      </w:pPr>
      <w:r>
        <w:t xml:space="preserve"/>
      </w:r>
    </w:p>
    <w:p>
      <w:pPr>
        <w:pStyle w:val="Heading1"/>
        <w:pBdr>
          <w:bottom w:val="single" w:color="2E6EBF" w:sz="6" w:space="6"/>
        </w:pBdr>
        <w:spacing w:before="400" w:after="200"/>
      </w:pPr>
      <w:r>
        <w:rPr>
          <w:rFonts w:ascii="Arial" w:cs="Arial" w:eastAsia="Arial" w:hAnsi="Arial"/>
          <w:b/>
          <w:bCs/>
          <w:color w:val="1B3A6B"/>
          <w:sz w:val="36"/>
          <w:szCs w:val="36"/>
        </w:rPr>
        <w:t xml:space="preserve">3. Knowledge Base — Structure</w:t>
      </w:r>
    </w:p>
    <w:p>
      <w:pPr>
        <w:spacing w:before="0" w:after="100"/>
      </w:pPr>
      <w:r>
        <w:t xml:space="preserve"/>
      </w:r>
    </w:p>
    <w:p>
      <w:pPr>
        <w:spacing w:before="80" w:after="120"/>
      </w:pPr>
      <w:r>
        <w:rPr>
          <w:rFonts w:ascii="Arial" w:cs="Arial" w:eastAsia="Arial" w:hAnsi="Arial"/>
          <w:b w:val="false"/>
          <w:bCs w:val="false"/>
          <w:i w:val="false"/>
          <w:iCs w:val="false"/>
          <w:color w:val="333333"/>
          <w:sz w:val="22"/>
          <w:szCs w:val="22"/>
        </w:rPr>
        <w:t xml:space="preserve">Trois index distincts avec des cycles de vie différents :</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32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Référentiel RGAA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106 critères, 13 thématiques, obligations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Vérité immuable officielle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Findings validés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Constats approuvés par auditeurs humains</w:t>
            </w:r>
          </w:p>
        </w:tc>
        <w:tc>
          <w:tcPr>
            <w:tcW w:type="dxa" w:w="3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Expertise capitalisée, pondérée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Documentation externe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WCAG 2.2, AcceDe Web, WAI-ARIA</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Enrichissement sémantique</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7F5A" w:sz="18"/>
              <w:bottom w:val="none" w:color="FFFFFF" w:sz="0"/>
              <w:right w:val="none" w:color="FFFFFF" w:sz="0"/>
            </w:tcBorders>
            <w:shd w:fill="E8F5E9" w:val="clear"/>
            <w:tcMar>
              <w:top w:type="dxa" w:w="120"/>
              <w:left w:type="dxa" w:w="200"/>
              <w:bottom w:type="dxa" w:w="120"/>
              <w:right w:type="dxa" w:w="200"/>
            </w:tcMar>
          </w:tcPr>
          <w:p>
            <w:pPr>
              <w:spacing w:before="0" w:after="60"/>
            </w:pPr>
            <w:r>
              <w:rPr>
                <w:rFonts w:ascii="Arial" w:cs="Arial" w:eastAsia="Arial" w:hAnsi="Arial"/>
                <w:b/>
                <w:bCs/>
                <w:color w:val="1A7F5A"/>
                <w:sz w:val="20"/>
                <w:szCs w:val="20"/>
              </w:rPr>
              <w:t xml:space="preserve">Point critique — Qualité avant quantité</w:t>
            </w:r>
          </w:p>
          <w:p>
            <w:pPr>
              <w:spacing w:before="0" w:after="0"/>
            </w:pPr>
            <w:r>
              <w:rPr>
                <w:rFonts w:ascii="Arial" w:cs="Arial" w:eastAsia="Arial" w:hAnsi="Arial"/>
                <w:color w:val="333333"/>
                <w:sz w:val="21"/>
                <w:szCs w:val="21"/>
              </w:rPr>
              <w:t xml:space="preserve">Un constat approuvé par un auditeur expert vaut 100 constats bruts extraits automatiquement. Le workflow de validation humaine est non négociable pour la qualité des réponses du Hub.</w:t>
            </w:r>
          </w:p>
        </w:tc>
      </w:tr>
    </w:tbl>
    <w:p>
      <w:pPr>
        <w:spacing w:before="0" w:after="200"/>
      </w:pPr>
      <w:r>
        <w:t xml:space="preserve"/>
      </w:r>
    </w:p>
    <w:p>
      <w:pPr>
        <w:pStyle w:val="Heading1"/>
        <w:pBdr>
          <w:bottom w:val="single" w:color="2E6EBF" w:sz="6" w:space="6"/>
        </w:pBdr>
        <w:spacing w:before="400" w:after="200"/>
      </w:pPr>
      <w:r>
        <w:rPr>
          <w:rFonts w:ascii="Arial" w:cs="Arial" w:eastAsia="Arial" w:hAnsi="Arial"/>
          <w:b/>
          <w:bCs/>
          <w:color w:val="1B3A6B"/>
          <w:sz w:val="36"/>
          <w:szCs w:val="36"/>
        </w:rPr>
        <w:t xml:space="preserve">4. Stack Technologique Validée</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2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relationnelle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MySQL + Drizzle ORM</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Conservé tel quel — pas de migration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Base vectorielle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ChromaDB</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Léger, simple, fait pour le RAG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Embeddings principal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OpenAI text-embedding-3-small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Meilleure qualité français technique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Embeddings fallback</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Ollama (nomic-embed-text)</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Option confidentialité / local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Protocole universel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MCP (Model Context Protocol)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 seul contrat, clients illimités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LLM</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Abstrait via interface embed()</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Swappable sans toucher l'architecture</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B3A6B" w:sz="18"/>
              <w:bottom w:val="none" w:color="FFFFFF" w:sz="0"/>
              <w:right w:val="none" w:color="FFFFFF" w:sz="0"/>
            </w:tcBorders>
            <w:shd w:fill="D6E4F7" w:val="clear"/>
            <w:tcMar>
              <w:top w:type="dxa" w:w="120"/>
              <w:left w:type="dxa" w:w="200"/>
              <w:bottom w:type="dxa" w:w="120"/>
              <w:right w:type="dxa" w:w="200"/>
            </w:tcMar>
          </w:tcPr>
          <w:p>
            <w:pPr>
              <w:spacing w:before="0" w:after="60"/>
            </w:pPr>
            <w:r>
              <w:rPr>
                <w:rFonts w:ascii="Arial" w:cs="Arial" w:eastAsia="Arial" w:hAnsi="Arial"/>
                <w:b/>
                <w:bCs/>
                <w:color w:val="1B3A6B"/>
                <w:sz w:val="20"/>
                <w:szCs w:val="20"/>
              </w:rPr>
              <w:t xml:space="preserve">Décision d'abstraction</w:t>
            </w:r>
          </w:p>
          <w:p>
            <w:pPr>
              <w:spacing w:before="0" w:after="0"/>
            </w:pPr>
            <w:r>
              <w:rPr>
                <w:rFonts w:ascii="Arial" w:cs="Arial" w:eastAsia="Arial" w:hAnsi="Arial"/>
                <w:color w:val="333333"/>
                <w:sz w:val="21"/>
                <w:szCs w:val="21"/>
              </w:rPr>
              <w:t xml:space="preserve">Le Hub ne sait pas quel moteur d'embedding il utilise — il appelle embed(text) et reçoit un vecteur. Cela garantit la flexibilité de switcher entre OpenAI et Ollama sans refonte.</w:t>
            </w:r>
          </w:p>
        </w:tc>
      </w:tr>
    </w:tbl>
    <w:p>
      <w:pPr>
        <w:spacing w:before="0" w:after="200"/>
      </w:pPr>
      <w:r>
        <w:t xml:space="preserve"/>
      </w:r>
    </w:p>
    <w:p>
      <w:pPr>
        <w:pStyle w:val="Heading1"/>
        <w:pBdr>
          <w:bottom w:val="single" w:color="2E6EBF" w:sz="6" w:space="6"/>
        </w:pBdr>
        <w:spacing w:before="400" w:after="200"/>
      </w:pPr>
      <w:r>
        <w:rPr>
          <w:rFonts w:ascii="Arial" w:cs="Arial" w:eastAsia="Arial" w:hAnsi="Arial"/>
          <w:b/>
          <w:bCs/>
          <w:color w:val="1B3A6B"/>
          <w:sz w:val="36"/>
          <w:szCs w:val="36"/>
        </w:rPr>
        <w:t xml:space="preserve">5. Contrat MCP — 12 Outils</w:t>
      </w:r>
    </w:p>
    <w:p>
      <w:pPr>
        <w:spacing w:before="0" w:after="100"/>
      </w:pPr>
      <w:r>
        <w:t xml:space="preserve"/>
      </w:r>
    </w:p>
    <w:p>
      <w:pPr>
        <w:spacing w:before="80" w:after="120"/>
      </w:pPr>
      <w:r>
        <w:rPr>
          <w:rFonts w:ascii="Arial" w:cs="Arial" w:eastAsia="Arial" w:hAnsi="Arial"/>
          <w:b w:val="false"/>
          <w:bCs w:val="false"/>
          <w:i w:val="false"/>
          <w:iCs w:val="false"/>
          <w:color w:val="333333"/>
          <w:sz w:val="22"/>
          <w:szCs w:val="22"/>
        </w:rPr>
        <w:t xml:space="preserve">Le MCP Server est le seul point de sortie du Hub. Il expose 12 outils répartis en 3 familles.</w:t>
      </w:r>
    </w:p>
    <w:p>
      <w:pPr>
        <w:spacing w:before="0" w:after="100"/>
      </w:pPr>
      <w:r>
        <w:t xml:space="preserve"/>
      </w:r>
    </w:p>
    <w:p>
      <w:pPr>
        <w:pStyle w:val="Heading2"/>
        <w:spacing w:before="300" w:after="160"/>
      </w:pPr>
      <w:r>
        <w:rPr>
          <w:rFonts w:ascii="Arial" w:cs="Arial" w:eastAsia="Arial" w:hAnsi="Arial"/>
          <w:b/>
          <w:bCs/>
          <w:color w:val="2E6EBF"/>
          <w:sz w:val="28"/>
          <w:szCs w:val="28"/>
        </w:rPr>
        <w:t xml:space="preserve">5.1 Expertise &amp; Référentiel</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5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ask_accessibility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Question libre en langage naturel → réponse RAG experte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get_criterion</w:t>
            </w:r>
          </w:p>
        </w:tc>
        <w:tc>
          <w:tcPr>
            <w:tcW w:type="dxa" w:w="5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Détail d'un critère RGAA + mapping WCAG équivalent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analyze_code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HTML/CSS/ARIA soumis → non-conformités détectées avec critère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suggest_fix</w:t>
            </w:r>
          </w:p>
        </w:tc>
        <w:tc>
          <w:tcPr>
            <w:tcW w:type="dxa" w:w="5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Problème identifié → correction concrète + exemple de code</w:t>
            </w:r>
          </w:p>
        </w:tc>
      </w:tr>
    </w:tbl>
    <w:p>
      <w:pPr>
        <w:spacing w:before="0" w:after="100"/>
      </w:pPr>
      <w:r>
        <w:t xml:space="preserve"/>
      </w:r>
    </w:p>
    <w:p>
      <w:pPr>
        <w:pStyle w:val="Heading2"/>
        <w:spacing w:before="300" w:after="160"/>
      </w:pPr>
      <w:r>
        <w:rPr>
          <w:rFonts w:ascii="Arial" w:cs="Arial" w:eastAsia="Arial" w:hAnsi="Arial"/>
          <w:b/>
          <w:bCs/>
          <w:color w:val="2E6EBF"/>
          <w:sz w:val="28"/>
          <w:szCs w:val="28"/>
        </w:rPr>
        <w:t xml:space="preserve">5.2 Consultation &amp; Filtres</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5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search_findings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Recherche transversale avec filtres (thématique, impact, critère, période, site)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get_reports_consolidated</w:t>
            </w:r>
          </w:p>
        </w:tc>
        <w:tc>
          <w:tcPr>
            <w:tcW w:type="dxa" w:w="5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Vue fusionnée multi-rapports avec filtres combinables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compare_reports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Delta entre deux audits : corrigé / persistant / dégradé</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get_recurring_findings</w:t>
            </w:r>
          </w:p>
        </w:tc>
        <w:tc>
          <w:tcPr>
            <w:tcW w:type="dxa" w:w="5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Constats récurrents cross-rapports, triés par fréquence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get_conformity_rate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Taux de conformité par thématique / rapport / période</w:t>
            </w:r>
          </w:p>
        </w:tc>
      </w:tr>
    </w:tbl>
    <w:p>
      <w:pPr>
        <w:spacing w:before="0" w:after="100"/>
      </w:pPr>
      <w:r>
        <w:t xml:space="preserve"/>
      </w:r>
    </w:p>
    <w:p>
      <w:pPr>
        <w:pStyle w:val="Heading2"/>
        <w:spacing w:before="300" w:after="160"/>
      </w:pPr>
      <w:r>
        <w:rPr>
          <w:rFonts w:ascii="Arial" w:cs="Arial" w:eastAsia="Arial" w:hAnsi="Arial"/>
          <w:b/>
          <w:bCs/>
          <w:color w:val="2E6EBF"/>
          <w:sz w:val="28"/>
          <w:szCs w:val="28"/>
        </w:rPr>
        <w:t xml:space="preserve">5.3 Capitalisation</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5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validate_finding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Soumettre un constat validé pour enrichir la Knowledge Base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propose_deduplication</w:t>
            </w:r>
          </w:p>
        </w:tc>
        <w:tc>
          <w:tcPr>
            <w:tcW w:type="dxa" w:w="5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Détecter doublons sémantiques (Levenshtein + embeddings)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search_rgaa_expertise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Recherche dans la bibliothèque de patterns approuvés</w:t>
            </w:r>
          </w:p>
        </w:tc>
      </w:tr>
    </w:tbl>
    <w:p>
      <w:pPr>
        <w:spacing w:before="0" w:after="200"/>
      </w:pPr>
      <w:r>
        <w:t xml:space="preserve"/>
      </w:r>
    </w:p>
    <w:p>
      <w:pPr>
        <w:pStyle w:val="Heading1"/>
        <w:pBdr>
          <w:bottom w:val="single" w:color="2E6EBF" w:sz="6" w:space="6"/>
        </w:pBdr>
        <w:spacing w:before="400" w:after="200"/>
      </w:pPr>
      <w:r>
        <w:rPr>
          <w:rFonts w:ascii="Arial" w:cs="Arial" w:eastAsia="Arial" w:hAnsi="Arial"/>
          <w:b/>
          <w:bCs/>
          <w:color w:val="1B3A6B"/>
          <w:sz w:val="36"/>
          <w:szCs w:val="36"/>
        </w:rPr>
        <w:t xml:space="preserve">6. RAG Engine — Fonctionnement</w:t>
      </w:r>
    </w:p>
    <w:p>
      <w:pPr>
        <w:spacing w:before="0" w:after="100"/>
      </w:pPr>
      <w:r>
        <w:t xml:space="preserve"/>
      </w:r>
    </w:p>
    <w:p>
      <w:pPr>
        <w:spacing w:before="80" w:after="120"/>
      </w:pPr>
      <w:r>
        <w:rPr>
          <w:rFonts w:ascii="Arial" w:cs="Arial" w:eastAsia="Arial" w:hAnsi="Arial"/>
          <w:b w:val="false"/>
          <w:bCs w:val="false"/>
          <w:i w:val="false"/>
          <w:iCs w:val="false"/>
          <w:color w:val="333333"/>
          <w:sz w:val="22"/>
          <w:szCs w:val="22"/>
        </w:rPr>
        <w:t xml:space="preserve">Le RAG (Retrieval-Augmented Generation) est ce qui transforme le Hub en expert plutôt qu'en moteur de recherche classique.</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Question de l'auditeur / appel MCP</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embed(question)  →  vecteur numérique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ChromaDB search  →  top K documents pertinents</w:t>
            </w:r>
          </w:p>
          <w:p>
            <w:pPr>
              <w:spacing w:before="20" w:after="20"/>
            </w:pPr>
            <w:r>
              <w:rPr>
                <w:rFonts w:ascii="Courier New" w:cs="Courier New" w:eastAsia="Courier New" w:hAnsi="Courier New"/>
                <w:color w:val="D4D4D4"/>
                <w:sz w:val="18"/>
                <w:szCs w:val="18"/>
              </w:rPr>
              <w:t xml:space="preserve">   (RGAA + Findings + Docs)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Construction du contexte enrichi</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LLM (OpenAI / Ollama)  →  réponse experte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Réponse retournée via MCP</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7F5A" w:sz="18"/>
              <w:bottom w:val="none" w:color="FFFFFF" w:sz="0"/>
              <w:right w:val="none" w:color="FFFFFF" w:sz="0"/>
            </w:tcBorders>
            <w:shd w:fill="E8F5E9" w:val="clear"/>
            <w:tcMar>
              <w:top w:type="dxa" w:w="120"/>
              <w:left w:type="dxa" w:w="200"/>
              <w:bottom w:type="dxa" w:w="120"/>
              <w:right w:type="dxa" w:w="200"/>
            </w:tcMar>
          </w:tcPr>
          <w:p>
            <w:pPr>
              <w:spacing w:before="0" w:after="60"/>
            </w:pPr>
            <w:r>
              <w:rPr>
                <w:rFonts w:ascii="Arial" w:cs="Arial" w:eastAsia="Arial" w:hAnsi="Arial"/>
                <w:b/>
                <w:bCs/>
                <w:color w:val="1A7F5A"/>
                <w:sz w:val="20"/>
                <w:szCs w:val="20"/>
              </w:rPr>
              <w:t xml:space="preserve">Amélioration continue</w:t>
            </w:r>
          </w:p>
          <w:p>
            <w:pPr>
              <w:spacing w:before="0" w:after="0"/>
            </w:pPr>
            <w:r>
              <w:rPr>
                <w:rFonts w:ascii="Arial" w:cs="Arial" w:eastAsia="Arial" w:hAnsi="Arial"/>
                <w:color w:val="333333"/>
                <w:sz w:val="21"/>
                <w:szCs w:val="21"/>
              </w:rPr>
              <w:t xml:space="preserve">Chaque appel validate_finding approuvé par un auditeur humain enrichit automatiquement ChromaDB. Le Hub apprend en production — sans intervention manuelle, sans réentraînement.</w:t>
            </w:r>
          </w:p>
        </w:tc>
      </w:tr>
    </w:tbl>
    <w:p>
      <w:pPr>
        <w:spacing w:before="0" w:after="200"/>
      </w:pPr>
      <w:r>
        <w:t xml:space="preserve"/>
      </w:r>
    </w:p>
    <w:p>
      <w:pPr>
        <w:pStyle w:val="Heading1"/>
        <w:pBdr>
          <w:bottom w:val="single" w:color="2E6EBF" w:sz="6" w:space="6"/>
        </w:pBdr>
        <w:spacing w:before="400" w:after="200"/>
      </w:pPr>
      <w:r>
        <w:rPr>
          <w:rFonts w:ascii="Arial" w:cs="Arial" w:eastAsia="Arial" w:hAnsi="Arial"/>
          <w:b/>
          <w:bCs/>
          <w:color w:val="1B3A6B"/>
          <w:sz w:val="36"/>
          <w:szCs w:val="36"/>
        </w:rPr>
        <w:t xml:space="preserve">7. Filtres de Consultation</w:t>
      </w:r>
    </w:p>
    <w:p>
      <w:pPr>
        <w:spacing w:before="0" w:after="100"/>
      </w:pPr>
      <w:r>
        <w:t xml:space="preserve"/>
      </w:r>
    </w:p>
    <w:p>
      <w:pPr>
        <w:spacing w:before="80" w:after="120"/>
      </w:pPr>
      <w:r>
        <w:rPr>
          <w:rFonts w:ascii="Arial" w:cs="Arial" w:eastAsia="Arial" w:hAnsi="Arial"/>
          <w:b w:val="false"/>
          <w:bCs w:val="false"/>
          <w:i w:val="false"/>
          <w:iCs w:val="false"/>
          <w:color w:val="333333"/>
          <w:sz w:val="22"/>
          <w:szCs w:val="22"/>
        </w:rPr>
        <w:t xml:space="preserve">Les filtres disponibles dans l'outil search_findings et get_reports_consolidated couvrent deux niveaux : les filtres existants du projet actuel, et les nouveaux filtres ajoutés pour le Hub.</w:t>
      </w:r>
    </w:p>
    <w:p>
      <w:pPr>
        <w:spacing w:before="0" w:after="100"/>
      </w:pPr>
      <w:r>
        <w:t xml:space="preserve"/>
      </w:r>
    </w:p>
    <w:p>
      <w:pPr>
        <w:pStyle w:val="Heading2"/>
        <w:spacing w:before="300" w:after="160"/>
      </w:pPr>
      <w:r>
        <w:rPr>
          <w:rFonts w:ascii="Arial" w:cs="Arial" w:eastAsia="Arial" w:hAnsi="Arial"/>
          <w:b/>
          <w:bCs/>
          <w:color w:val="2E6EBF"/>
          <w:sz w:val="28"/>
          <w:szCs w:val="28"/>
        </w:rPr>
        <w:t xml:space="preserve">7.1 Filtres existants (conservés)</w:t>
      </w:r>
    </w:p>
    <w:p>
      <w:pPr>
        <w:spacing w:before="0" w:after="100"/>
      </w:pPr>
      <w:r>
        <w:t xml:space="preserve"/>
      </w:r>
    </w:p>
    <w:p>
      <w:pPr>
        <w:pStyle w:val="ListParagraph"/>
        <w:numPr>
          <w:ilvl w:val="0"/>
          <w:numId w:val="2"/>
        </w:numPr>
        <w:spacing w:before="60" w:after="60"/>
      </w:pPr>
      <w:r>
        <w:rPr>
          <w:rFonts w:ascii="Arial" w:cs="Arial" w:eastAsia="Arial" w:hAnsi="Arial"/>
          <w:color w:val="333333"/>
          <w:sz w:val="22"/>
          <w:szCs w:val="22"/>
        </w:rPr>
        <w:t xml:space="preserve">Par rapport(s) — sélection mono ou multi-rapports</w:t>
      </w:r>
    </w:p>
    <w:p>
      <w:pPr>
        <w:pStyle w:val="ListParagraph"/>
        <w:numPr>
          <w:ilvl w:val="0"/>
          <w:numId w:val="2"/>
        </w:numPr>
        <w:spacing w:before="60" w:after="60"/>
      </w:pPr>
      <w:r>
        <w:rPr>
          <w:rFonts w:ascii="Arial" w:cs="Arial" w:eastAsia="Arial" w:hAnsi="Arial"/>
          <w:color w:val="333333"/>
          <w:sz w:val="22"/>
          <w:szCs w:val="22"/>
        </w:rPr>
        <w:t xml:space="preserve">Par thématique RGAA (1 à 13)</w:t>
      </w:r>
    </w:p>
    <w:p>
      <w:pPr>
        <w:pStyle w:val="ListParagraph"/>
        <w:numPr>
          <w:ilvl w:val="0"/>
          <w:numId w:val="2"/>
        </w:numPr>
        <w:spacing w:before="60" w:after="60"/>
      </w:pPr>
      <w:r>
        <w:rPr>
          <w:rFonts w:ascii="Arial" w:cs="Arial" w:eastAsia="Arial" w:hAnsi="Arial"/>
          <w:color w:val="333333"/>
          <w:sz w:val="22"/>
          <w:szCs w:val="22"/>
        </w:rPr>
        <w:t xml:space="preserve">Par critère (référence ex: 11.9)</w:t>
      </w:r>
    </w:p>
    <w:p>
      <w:pPr>
        <w:pStyle w:val="ListParagraph"/>
        <w:numPr>
          <w:ilvl w:val="0"/>
          <w:numId w:val="2"/>
        </w:numPr>
        <w:spacing w:before="60" w:after="60"/>
      </w:pPr>
      <w:r>
        <w:rPr>
          <w:rFonts w:ascii="Arial" w:cs="Arial" w:eastAsia="Arial" w:hAnsi="Arial"/>
          <w:color w:val="333333"/>
          <w:sz w:val="22"/>
          <w:szCs w:val="22"/>
        </w:rPr>
        <w:t xml:space="preserve">Par impact — Bloquant / Majeur / Mineur</w:t>
      </w:r>
    </w:p>
    <w:p>
      <w:pPr>
        <w:pStyle w:val="ListParagraph"/>
        <w:numPr>
          <w:ilvl w:val="0"/>
          <w:numId w:val="2"/>
        </w:numPr>
        <w:spacing w:before="60" w:after="60"/>
      </w:pPr>
      <w:r>
        <w:rPr>
          <w:rFonts w:ascii="Arial" w:cs="Arial" w:eastAsia="Arial" w:hAnsi="Arial"/>
          <w:color w:val="333333"/>
          <w:sz w:val="22"/>
          <w:szCs w:val="22"/>
        </w:rPr>
        <w:t xml:space="preserve">Par nom de page auditée</w:t>
      </w:r>
    </w:p>
    <w:p>
      <w:pPr>
        <w:pStyle w:val="ListParagraph"/>
        <w:numPr>
          <w:ilvl w:val="0"/>
          <w:numId w:val="2"/>
        </w:numPr>
        <w:spacing w:before="60" w:after="60"/>
      </w:pPr>
      <w:r>
        <w:rPr>
          <w:rFonts w:ascii="Arial" w:cs="Arial" w:eastAsia="Arial" w:hAnsi="Arial"/>
          <w:color w:val="333333"/>
          <w:sz w:val="22"/>
          <w:szCs w:val="22"/>
        </w:rPr>
        <w:t xml:space="preserve">Regroupement dynamique — par rapport, critère, thématique</w:t>
      </w:r>
    </w:p>
    <w:p>
      <w:pPr>
        <w:spacing w:before="0" w:after="100"/>
      </w:pPr>
      <w:r>
        <w:t xml:space="preserve"/>
      </w:r>
    </w:p>
    <w:p>
      <w:pPr>
        <w:pStyle w:val="Heading2"/>
        <w:spacing w:before="300" w:after="160"/>
      </w:pPr>
      <w:r>
        <w:rPr>
          <w:rFonts w:ascii="Arial" w:cs="Arial" w:eastAsia="Arial" w:hAnsi="Arial"/>
          <w:b/>
          <w:bCs/>
          <w:color w:val="2E6EBF"/>
          <w:sz w:val="28"/>
          <w:szCs w:val="28"/>
        </w:rPr>
        <w:t xml:space="preserve">7.2 Nouveaux filtres Hub</w:t>
      </w:r>
    </w:p>
    <w:p>
      <w:pPr>
        <w:spacing w:before="0" w:after="100"/>
      </w:pPr>
      <w:r>
        <w:t xml:space="preserve"/>
      </w:r>
    </w:p>
    <w:p>
      <w:pPr>
        <w:pStyle w:val="ListParagraph"/>
        <w:numPr>
          <w:ilvl w:val="0"/>
          <w:numId w:val="2"/>
        </w:numPr>
        <w:spacing w:before="60" w:after="60"/>
      </w:pPr>
      <w:r>
        <w:rPr>
          <w:rFonts w:ascii="Arial" w:cs="Arial" w:eastAsia="Arial" w:hAnsi="Arial"/>
          <w:color w:val="333333"/>
          <w:sz w:val="22"/>
          <w:szCs w:val="22"/>
        </w:rPr>
        <w:t xml:space="preserve">Par période — entre date A et date B</w:t>
      </w:r>
    </w:p>
    <w:p>
      <w:pPr>
        <w:pStyle w:val="ListParagraph"/>
        <w:numPr>
          <w:ilvl w:val="0"/>
          <w:numId w:val="2"/>
        </w:numPr>
        <w:spacing w:before="60" w:after="60"/>
      </w:pPr>
      <w:r>
        <w:rPr>
          <w:rFonts w:ascii="Arial" w:cs="Arial" w:eastAsia="Arial" w:hAnsi="Arial"/>
          <w:color w:val="333333"/>
          <w:sz w:val="22"/>
          <w:szCs w:val="22"/>
        </w:rPr>
        <w:t xml:space="preserve">Par site/client — tous les audits d'un même domaine</w:t>
      </w:r>
    </w:p>
    <w:p>
      <w:pPr>
        <w:pStyle w:val="ListParagraph"/>
        <w:numPr>
          <w:ilvl w:val="0"/>
          <w:numId w:val="2"/>
        </w:numPr>
        <w:spacing w:before="60" w:after="60"/>
      </w:pPr>
      <w:r>
        <w:rPr>
          <w:rFonts w:ascii="Arial" w:cs="Arial" w:eastAsia="Arial" w:hAnsi="Arial"/>
          <w:color w:val="333333"/>
          <w:sz w:val="22"/>
          <w:szCs w:val="22"/>
        </w:rPr>
        <w:t xml:space="preserve">Par statut constat — nouveau / récurrent / corrigé</w:t>
      </w:r>
    </w:p>
    <w:p>
      <w:pPr>
        <w:pStyle w:val="ListParagraph"/>
        <w:numPr>
          <w:ilvl w:val="0"/>
          <w:numId w:val="2"/>
        </w:numPr>
        <w:spacing w:before="60" w:after="60"/>
      </w:pPr>
      <w:r>
        <w:rPr>
          <w:rFonts w:ascii="Arial" w:cs="Arial" w:eastAsia="Arial" w:hAnsi="Arial"/>
          <w:color w:val="333333"/>
          <w:sz w:val="22"/>
          <w:szCs w:val="22"/>
        </w:rPr>
        <w:t xml:space="preserve">Par fréquence — constats les plus récurrents en premier</w:t>
      </w:r>
    </w:p>
    <w:p>
      <w:pPr>
        <w:pStyle w:val="ListParagraph"/>
        <w:numPr>
          <w:ilvl w:val="0"/>
          <w:numId w:val="2"/>
        </w:numPr>
        <w:spacing w:before="60" w:after="60"/>
      </w:pPr>
      <w:r>
        <w:rPr>
          <w:rFonts w:ascii="Arial" w:cs="Arial" w:eastAsia="Arial" w:hAnsi="Arial"/>
          <w:color w:val="333333"/>
          <w:sz w:val="22"/>
          <w:szCs w:val="22"/>
        </w:rPr>
        <w:t xml:space="preserve">Par taux de conformité — vue comparative entre rapports</w:t>
      </w:r>
    </w:p>
    <w:p>
      <w:pPr>
        <w:spacing w:before="0" w:after="100"/>
      </w:pPr>
      <w:r>
        <w:t xml:space="preserve"/>
      </w:r>
    </w:p>
    <w:p>
      <w:pPr>
        <w:pStyle w:val="Heading2"/>
        <w:spacing w:before="300" w:after="160"/>
      </w:pPr>
      <w:r>
        <w:rPr>
          <w:rFonts w:ascii="Arial" w:cs="Arial" w:eastAsia="Arial" w:hAnsi="Arial"/>
          <w:b/>
          <w:bCs/>
          <w:color w:val="2E6EBF"/>
          <w:sz w:val="28"/>
          <w:szCs w:val="28"/>
        </w:rPr>
        <w:t xml:space="preserve">7.3 Vues analytiques nouvelles</w:t>
      </w:r>
    </w:p>
    <w:p>
      <w:pPr>
        <w:spacing w:before="0" w:after="100"/>
      </w:pPr>
      <w:r>
        <w:t xml:space="preserve"/>
      </w:r>
    </w:p>
    <w:p>
      <w:pPr>
        <w:pStyle w:val="ListParagraph"/>
        <w:numPr>
          <w:ilvl w:val="0"/>
          <w:numId w:val="2"/>
        </w:numPr>
        <w:spacing w:before="60" w:after="60"/>
      </w:pPr>
      <w:r>
        <w:rPr>
          <w:rFonts w:ascii="Arial" w:cs="Arial" w:eastAsia="Arial" w:hAnsi="Arial"/>
          <w:color w:val="333333"/>
          <w:sz w:val="22"/>
          <w:szCs w:val="22"/>
        </w:rPr>
        <w:t xml:space="preserve">Vue delta — compare deux audits du même site dans le temps</w:t>
      </w:r>
    </w:p>
    <w:p>
      <w:pPr>
        <w:pStyle w:val="ListParagraph"/>
        <w:numPr>
          <w:ilvl w:val="0"/>
          <w:numId w:val="2"/>
        </w:numPr>
        <w:spacing w:before="60" w:after="60"/>
      </w:pPr>
      <w:r>
        <w:rPr>
          <w:rFonts w:ascii="Arial" w:cs="Arial" w:eastAsia="Arial" w:hAnsi="Arial"/>
          <w:color w:val="333333"/>
          <w:sz w:val="22"/>
          <w:szCs w:val="22"/>
        </w:rPr>
        <w:t xml:space="preserve">Vue consolidée — tous les constats d'une thématique, cross-rapports</w:t>
      </w:r>
    </w:p>
    <w:p>
      <w:pPr>
        <w:pStyle w:val="ListParagraph"/>
        <w:numPr>
          <w:ilvl w:val="0"/>
          <w:numId w:val="2"/>
        </w:numPr>
        <w:spacing w:before="60" w:after="60"/>
      </w:pPr>
      <w:r>
        <w:rPr>
          <w:rFonts w:ascii="Arial" w:cs="Arial" w:eastAsia="Arial" w:hAnsi="Arial"/>
          <w:color w:val="333333"/>
          <w:sz w:val="22"/>
          <w:szCs w:val="22"/>
        </w:rPr>
        <w:t xml:space="preserve">Vue récurrence — fréquence d'apparition d'un défaut sur l'ensemble des audits</w:t>
      </w:r>
    </w:p>
    <w:p>
      <w:pPr>
        <w:spacing w:before="0" w:after="200"/>
      </w:pPr>
      <w:r>
        <w:t xml:space="preserve"/>
      </w:r>
    </w:p>
    <w:p>
      <w:pPr>
        <w:pStyle w:val="Heading1"/>
        <w:pBdr>
          <w:bottom w:val="single" w:color="2E6EBF" w:sz="6" w:space="6"/>
        </w:pBdr>
        <w:spacing w:before="400" w:after="200"/>
      </w:pPr>
      <w:r>
        <w:rPr>
          <w:rFonts w:ascii="Arial" w:cs="Arial" w:eastAsia="Arial" w:hAnsi="Arial"/>
          <w:b/>
          <w:bCs/>
          <w:color w:val="1B3A6B"/>
          <w:sz w:val="36"/>
          <w:szCs w:val="36"/>
        </w:rPr>
        <w:t xml:space="preserve">8. Extensibilité — Principe MCP</w:t>
      </w:r>
    </w:p>
    <w:p>
      <w:pPr>
        <w:spacing w:before="0" w:after="100"/>
      </w:pPr>
      <w:r>
        <w:t xml:space="preserve"/>
      </w:r>
    </w:p>
    <w:p>
      <w:pPr>
        <w:spacing w:before="80" w:after="120"/>
      </w:pPr>
      <w:r>
        <w:rPr>
          <w:rFonts w:ascii="Arial" w:cs="Arial" w:eastAsia="Arial" w:hAnsi="Arial"/>
          <w:b w:val="false"/>
          <w:bCs w:val="false"/>
          <w:i w:val="false"/>
          <w:iCs w:val="false"/>
          <w:color w:val="333333"/>
          <w:sz w:val="22"/>
          <w:szCs w:val="22"/>
        </w:rPr>
        <w:t xml:space="preserve">L'extensibilité est garantie par un principe simple : tout passe par MCP.</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Ajouter un nouveau client</w:t>
            </w:r>
          </w:p>
        </w:tc>
        <w:tc>
          <w:tcPr>
            <w:tcW w:type="dxa" w:w="451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Ajouter un nouvel outil</w:t>
            </w:r>
          </w:p>
        </w:tc>
      </w:tr>
      <w:tr>
        <w:tc>
          <w:tcPr>
            <w:tcW w:type="dxa" w:w="NaNs."/>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Ne touche pas au Hub. Le client implémente le protocole MCP et consomme les outils existants.</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Clients compatibles MCP aujourd'hui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Front React          → MCP client intégré</w:t>
            </w:r>
          </w:p>
          <w:p>
            <w:pPr>
              <w:spacing w:before="20" w:after="20"/>
            </w:pPr>
            <w:r>
              <w:rPr>
                <w:rFonts w:ascii="Courier New" w:cs="Courier New" w:eastAsia="Courier New" w:hAnsi="Courier New"/>
                <w:color w:val="D4D4D4"/>
                <w:sz w:val="18"/>
                <w:szCs w:val="18"/>
              </w:rPr>
              <w:t xml:space="preserve">  • VS Code / Cursor     → support MCP natif</w:t>
            </w:r>
          </w:p>
          <w:p>
            <w:pPr>
              <w:spacing w:before="20" w:after="20"/>
            </w:pPr>
            <w:r>
              <w:rPr>
                <w:rFonts w:ascii="Courier New" w:cs="Courier New" w:eastAsia="Courier New" w:hAnsi="Courier New"/>
                <w:color w:val="D4D4D4"/>
                <w:sz w:val="18"/>
                <w:szCs w:val="18"/>
              </w:rPr>
              <w:t xml:space="preserve">  • Extension Chrome     → MCP client dans l'extension</w:t>
            </w:r>
          </w:p>
          <w:p>
            <w:pPr>
              <w:spacing w:before="20" w:after="20"/>
            </w:pPr>
            <w:r>
              <w:rPr>
                <w:rFonts w:ascii="Courier New" w:cs="Courier New" w:eastAsia="Courier New" w:hAnsi="Courier New"/>
                <w:color w:val="D4D4D4"/>
                <w:sz w:val="18"/>
                <w:szCs w:val="18"/>
              </w:rPr>
              <w:t xml:space="preserve">  • Claude / GPT         → consommateurs MCP directs</w:t>
            </w:r>
          </w:p>
          <w:p>
            <w:pPr>
              <w:spacing w:before="20" w:after="20"/>
            </w:pPr>
            <w:r>
              <w:rPr>
                <w:rFonts w:ascii="Courier New" w:cs="Courier New" w:eastAsia="Courier New" w:hAnsi="Courier New"/>
                <w:color w:val="D4D4D4"/>
                <w:sz w:val="18"/>
                <w:szCs w:val="18"/>
              </w:rPr>
              <w:t xml:space="preserve">  • MCP Inspector        → debugging natif du protocole</w:t>
            </w:r>
          </w:p>
          <w:p>
            <w:pPr>
              <w:spacing w:before="20" w:after="20"/>
            </w:pPr>
            <w:r>
              <w:rPr>
                <w:rFonts w:ascii="Courier New" w:cs="Courier New" w:eastAsia="Courier New" w:hAnsi="Courier New"/>
                <w:color w:val="D4D4D4"/>
                <w:sz w:val="18"/>
                <w:szCs w:val="18"/>
              </w:rPr>
              <w:t xml:space="preserve">  • Tout futur client    → sans modification du Hub</w:t>
            </w:r>
          </w:p>
        </w:tc>
      </w:tr>
    </w:tbl>
    <w:p>
      <w:pPr>
        <w:spacing w:before="0" w:after="200"/>
      </w:pPr>
      <w:r>
        <w:t xml:space="preserve"/>
      </w:r>
    </w:p>
    <w:p>
      <w:pPr>
        <w:pStyle w:val="Heading1"/>
        <w:pBdr>
          <w:bottom w:val="single" w:color="2E6EBF" w:sz="6" w:space="6"/>
        </w:pBdr>
        <w:spacing w:before="400" w:after="200"/>
      </w:pPr>
      <w:r>
        <w:rPr>
          <w:rFonts w:ascii="Arial" w:cs="Arial" w:eastAsia="Arial" w:hAnsi="Arial"/>
          <w:b/>
          <w:bCs/>
          <w:color w:val="1B3A6B"/>
          <w:sz w:val="36"/>
          <w:szCs w:val="36"/>
        </w:rPr>
        <w:t xml:space="preserve">9. Ce Qu'on Conserve du Projet Actuel</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7F5A" w:sz="18"/>
              <w:bottom w:val="none" w:color="FFFFFF" w:sz="0"/>
              <w:right w:val="none" w:color="FFFFFF" w:sz="0"/>
            </w:tcBorders>
            <w:shd w:fill="E8F5E9" w:val="clear"/>
            <w:tcMar>
              <w:top w:type="dxa" w:w="120"/>
              <w:left w:type="dxa" w:w="200"/>
              <w:bottom w:type="dxa" w:w="120"/>
              <w:right w:type="dxa" w:w="200"/>
            </w:tcMar>
          </w:tcPr>
          <w:p>
            <w:pPr>
              <w:spacing w:before="0" w:after="60"/>
            </w:pPr>
            <w:r>
              <w:rPr>
                <w:rFonts w:ascii="Arial" w:cs="Arial" w:eastAsia="Arial" w:hAnsi="Arial"/>
                <w:b/>
                <w:bCs/>
                <w:color w:val="1A7F5A"/>
                <w:sz w:val="20"/>
                <w:szCs w:val="20"/>
              </w:rPr>
              <w:t xml:space="preserve">Principe — On ne jette rien</w:t>
            </w:r>
          </w:p>
          <w:p>
            <w:pPr>
              <w:spacing w:before="0" w:after="0"/>
            </w:pPr>
            <w:r>
              <w:rPr>
                <w:rFonts w:ascii="Arial" w:cs="Arial" w:eastAsia="Arial" w:hAnsi="Arial"/>
                <w:color w:val="333333"/>
                <w:sz w:val="21"/>
                <w:szCs w:val="21"/>
              </w:rPr>
              <w:t xml:space="preserve">Le projet RGAA Constat Extractor v1.0 est une base solide. L'architecture Hub est une évolution, pas une réécriture.</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37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Schéma BDD MySQL + Drizzle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Conservé</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Aucune migration</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5 Repositories (DAO)</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 Conservé</w:t>
            </w:r>
          </w:p>
        </w:tc>
        <w:tc>
          <w:tcPr>
            <w:tcW w:type="dxa" w:w="37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Pattern solide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Parser DOCX (mammoth.js)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Conservé</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Extrait en Ingestion Pipeline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Déduplication SHA-256 + Levenshtein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 Conservé</w:t>
            </w:r>
          </w:p>
        </w:tc>
        <w:tc>
          <w:tcPr>
            <w:tcW w:type="dxa" w:w="37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Complété par embeddings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MCP Server existant (5 outils)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Étendu</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Passe à 12 outils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tRPC + Zod + TypeScript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 Conservé</w:t>
            </w:r>
          </w:p>
        </w:tc>
        <w:tc>
          <w:tcPr>
            <w:tcW w:type="dxa" w:w="37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Stack inchangée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Pipeline IA déterministe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Conservé</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Complété par RAG</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MySQL → PostgreSQL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 Abandonné</w:t>
            </w:r>
          </w:p>
        </w:tc>
        <w:tc>
          <w:tcPr>
            <w:tcW w:type="dxa" w:w="37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Trop coûteux, pas nécessaire</w:t>
            </w:r>
          </w:p>
        </w:tc>
      </w:tr>
    </w:tbl>
    <w:p>
      <w:pPr>
        <w:spacing w:before="0" w:after="200"/>
      </w:pPr>
      <w:r>
        <w:t xml:space="preserve"/>
      </w:r>
    </w:p>
    <w:p>
      <w:pPr>
        <w:pStyle w:val="Heading1"/>
        <w:pBdr>
          <w:bottom w:val="single" w:color="2E6EBF" w:sz="6" w:space="6"/>
        </w:pBdr>
        <w:spacing w:before="400" w:after="200"/>
      </w:pPr>
      <w:r>
        <w:rPr>
          <w:rFonts w:ascii="Arial" w:cs="Arial" w:eastAsia="Arial" w:hAnsi="Arial"/>
          <w:b/>
          <w:bCs/>
          <w:color w:val="1B3A6B"/>
          <w:sz w:val="36"/>
          <w:szCs w:val="36"/>
        </w:rPr>
        <w:t xml:space="preserve">10. Décisions Clés &amp; Justifications</w:t>
      </w:r>
    </w:p>
    <w:p>
      <w:pPr>
        <w:spacing w:before="0" w:after="100"/>
      </w:pPr>
      <w:r>
        <w:t xml:space="preserve"/>
      </w:r>
    </w:p>
    <w:p>
      <w:pPr>
        <w:pStyle w:val="Heading2"/>
        <w:spacing w:before="300" w:after="160"/>
      </w:pPr>
      <w:r>
        <w:rPr>
          <w:rFonts w:ascii="Arial" w:cs="Arial" w:eastAsia="Arial" w:hAnsi="Arial"/>
          <w:b/>
          <w:bCs/>
          <w:color w:val="2E6EBF"/>
          <w:sz w:val="28"/>
          <w:szCs w:val="28"/>
        </w:rPr>
        <w:t xml:space="preserve">Monorepo vs Microservices</w:t>
      </w:r>
    </w:p>
    <w:p>
      <w:pPr>
        <w:spacing w:before="0" w:after="100"/>
      </w:pPr>
      <w:r>
        <w:t xml:space="preserve"/>
      </w:r>
    </w:p>
    <w:p>
      <w:pPr>
        <w:spacing w:before="80" w:after="120"/>
      </w:pPr>
      <w:r>
        <w:rPr>
          <w:rFonts w:ascii="Arial" w:cs="Arial" w:eastAsia="Arial" w:hAnsi="Arial"/>
          <w:b w:val="false"/>
          <w:bCs w:val="false"/>
          <w:i w:val="false"/>
          <w:iCs w:val="false"/>
          <w:color w:val="333333"/>
          <w:sz w:val="22"/>
          <w:szCs w:val="22"/>
        </w:rPr>
        <w:t xml:space="preserve">Décision : rester sur le monorepo avec des frontières internes renforcées. Les microservices sont une réponse à des problèmes de scale et d'équipe que ce projet n'a pas encore. La décomposition en services indépendants viendra naturellement si le besoin émerge — les interfaces propres des modules le permettront.</w:t>
      </w:r>
    </w:p>
    <w:p>
      <w:pPr>
        <w:spacing w:before="0" w:after="100"/>
      </w:pPr>
      <w:r>
        <w:t xml:space="preserve"/>
      </w:r>
    </w:p>
    <w:p>
      <w:pPr>
        <w:pStyle w:val="Heading2"/>
        <w:spacing w:before="300" w:after="160"/>
      </w:pPr>
      <w:r>
        <w:rPr>
          <w:rFonts w:ascii="Arial" w:cs="Arial" w:eastAsia="Arial" w:hAnsi="Arial"/>
          <w:b/>
          <w:bCs/>
          <w:color w:val="2E6EBF"/>
          <w:sz w:val="28"/>
          <w:szCs w:val="28"/>
        </w:rPr>
        <w:t xml:space="preserve">ChromaDB vs pgvector</w:t>
      </w:r>
    </w:p>
    <w:p>
      <w:pPr>
        <w:spacing w:before="0" w:after="100"/>
      </w:pPr>
      <w:r>
        <w:t xml:space="preserve"/>
      </w:r>
    </w:p>
    <w:p>
      <w:pPr>
        <w:spacing w:before="80" w:after="120"/>
      </w:pPr>
      <w:r>
        <w:rPr>
          <w:rFonts w:ascii="Arial" w:cs="Arial" w:eastAsia="Arial" w:hAnsi="Arial"/>
          <w:b w:val="false"/>
          <w:bCs w:val="false"/>
          <w:i w:val="false"/>
          <w:iCs w:val="false"/>
          <w:color w:val="333333"/>
          <w:sz w:val="22"/>
          <w:szCs w:val="22"/>
        </w:rPr>
        <w:t xml:space="preserve">Décision : ChromaDB séparé plutôt que pgvector sur PostgreSQL. Migrer MySQL vers PostgreSQL représente un coût réel (schéma Drizzle, requêtes, transactions). ChromaDB est léger, dédié à la recherche vectorielle, et s'ajoute sans toucher à la stack existante.</w:t>
      </w:r>
    </w:p>
    <w:p>
      <w:pPr>
        <w:spacing w:before="0" w:after="100"/>
      </w:pPr>
      <w:r>
        <w:t xml:space="preserve"/>
      </w:r>
    </w:p>
    <w:p>
      <w:pPr>
        <w:pStyle w:val="Heading2"/>
        <w:spacing w:before="300" w:after="160"/>
      </w:pPr>
      <w:r>
        <w:rPr>
          <w:rFonts w:ascii="Arial" w:cs="Arial" w:eastAsia="Arial" w:hAnsi="Arial"/>
          <w:b/>
          <w:bCs/>
          <w:color w:val="2E6EBF"/>
          <w:sz w:val="28"/>
          <w:szCs w:val="28"/>
        </w:rPr>
        <w:t xml:space="preserve">OpenAI Embeddings avec fallback Ollama</w:t>
      </w:r>
    </w:p>
    <w:p>
      <w:pPr>
        <w:spacing w:before="0" w:after="100"/>
      </w:pPr>
      <w:r>
        <w:t xml:space="preserve"/>
      </w:r>
    </w:p>
    <w:p>
      <w:pPr>
        <w:spacing w:before="80" w:after="120"/>
      </w:pPr>
      <w:r>
        <w:rPr>
          <w:rFonts w:ascii="Arial" w:cs="Arial" w:eastAsia="Arial" w:hAnsi="Arial"/>
          <w:b w:val="false"/>
          <w:bCs w:val="false"/>
          <w:i w:val="false"/>
          <w:iCs w:val="false"/>
          <w:color w:val="333333"/>
          <w:sz w:val="22"/>
          <w:szCs w:val="22"/>
        </w:rPr>
        <w:t xml:space="preserve">Décision : OpenAI en priorité pour la qualité du français technique RGAA, Ollama disponible quand la confidentialité des données d'audit est requise. L'abstraction embed() garantit le switch sans impact architectural.</w:t>
      </w:r>
    </w:p>
    <w:p>
      <w:pPr>
        <w:spacing w:before="0" w:after="100"/>
      </w:pPr>
      <w:r>
        <w:t xml:space="preserve"/>
      </w:r>
    </w:p>
    <w:p>
      <w:pPr>
        <w:pStyle w:val="Heading2"/>
        <w:spacing w:before="300" w:after="160"/>
      </w:pPr>
      <w:r>
        <w:rPr>
          <w:rFonts w:ascii="Arial" w:cs="Arial" w:eastAsia="Arial" w:hAnsi="Arial"/>
          <w:b/>
          <w:bCs/>
          <w:color w:val="2E6EBF"/>
          <w:sz w:val="28"/>
          <w:szCs w:val="28"/>
        </w:rPr>
        <w:t xml:space="preserve">MCP comme protocole unique</w:t>
      </w:r>
    </w:p>
    <w:p>
      <w:pPr>
        <w:spacing w:before="0" w:after="100"/>
      </w:pPr>
      <w:r>
        <w:t xml:space="preserve"/>
      </w:r>
    </w:p>
    <w:p>
      <w:pPr>
        <w:spacing w:before="80" w:after="120"/>
      </w:pPr>
      <w:r>
        <w:rPr>
          <w:rFonts w:ascii="Arial" w:cs="Arial" w:eastAsia="Arial" w:hAnsi="Arial"/>
          <w:b w:val="false"/>
          <w:bCs w:val="false"/>
          <w:i w:val="false"/>
          <w:iCs w:val="false"/>
          <w:color w:val="333333"/>
          <w:sz w:val="22"/>
          <w:szCs w:val="22"/>
        </w:rPr>
        <w:t xml:space="preserve">Décision : un seul protocole de sortie. Pas d'API REST dédiée au front, pas de WebSocket séparé. MCP couvre tous les cas d'usage et est supporté nativement par l'écosystème IA (Claude, Cursor, VS Code). C'est un pari sur le protocole qui s'impose comme standard.</w:t>
      </w:r>
    </w:p>
    <w:p>
      <w:pPr>
        <w:spacing w:before="0" w:after="200"/>
      </w:pPr>
      <w:r>
        <w:t xml:space="preserve"/>
      </w:r>
    </w:p>
    <w:p>
      <w:pPr>
        <w:pStyle w:val="Heading1"/>
        <w:pBdr>
          <w:bottom w:val="single" w:color="2E6EBF" w:sz="6" w:space="6"/>
        </w:pBdr>
        <w:spacing w:before="400" w:after="200"/>
      </w:pPr>
      <w:r>
        <w:rPr>
          <w:rFonts w:ascii="Arial" w:cs="Arial" w:eastAsia="Arial" w:hAnsi="Arial"/>
          <w:b/>
          <w:bCs/>
          <w:color w:val="1B3A6B"/>
          <w:sz w:val="36"/>
          <w:szCs w:val="36"/>
        </w:rPr>
        <w:t xml:space="preserve">11. Prochaines Étapes</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5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Schéma RAG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Définir ce qui rentre dans ChromaDB — structure des documents vectorisés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Contrat MCP complet</w:t>
            </w:r>
          </w:p>
        </w:tc>
        <w:tc>
          <w:tcPr>
            <w:tcW w:type="dxa" w:w="5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Paramètres détaillés et réponses des 12 outils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Ingestion Pipeline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Isoler le parser en module autonome avec interface propre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RAG Engine</w:t>
            </w:r>
          </w:p>
        </w:tc>
        <w:tc>
          <w:tcPr>
            <w:tcW w:type="dxa" w:w="5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Implémentation ChromaDB + embed() + construction contexte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Extension MCP</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Ajouter les 7 nouveaux outils au MCP Server existant</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Clients</w:t>
            </w:r>
          </w:p>
        </w:tc>
        <w:tc>
          <w:tcPr>
            <w:tcW w:type="dxa" w:w="5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Intégration front React + prototype extension Chrome</w:t>
            </w:r>
          </w:p>
        </w:tc>
      </w:tr>
    </w:tbl>
    <w:p>
      <w:pPr>
        <w:spacing w:before="0" w:after="200"/>
      </w:pPr>
      <w:r>
        <w:t xml:space="preserve"/>
      </w:r>
    </w:p>
    <w:p>
      <w:pPr>
        <w:pBdr>
          <w:top w:val="single" w:color="2E6EBF" w:sz="4" w:space="10"/>
        </w:pBdr>
        <w:spacing w:before="200" w:after="100"/>
        <w:jc w:val="center"/>
      </w:pPr>
      <w:r>
        <w:rPr>
          <w:rFonts w:ascii="Arial" w:cs="Arial" w:eastAsia="Arial" w:hAnsi="Arial"/>
          <w:i/>
          <w:iCs/>
          <w:color w:val="555555"/>
          <w:sz w:val="18"/>
          <w:szCs w:val="18"/>
        </w:rPr>
        <w:t xml:space="preserve">RGAA Knowledge Hub — Rapport de Conception v1.0 — Février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6EBF"/>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2026-02-21T01:05:55.955Z</dcterms:created>
  <dcterms:modified xsi:type="dcterms:W3CDTF">2026-02-21T01:05:55.955Z</dcterms:modified>
</cp:coreProperties>
</file>

<file path=docProps/custom.xml><?xml version="1.0" encoding="utf-8"?>
<Properties xmlns="http://schemas.openxmlformats.org/officeDocument/2006/custom-properties" xmlns:vt="http://schemas.openxmlformats.org/officeDocument/2006/docPropsVTypes"/>
</file>