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A1A2" w14:textId="01F6CD3D" w:rsidR="00C071D1" w:rsidRDefault="00AB3930">
      <w:pPr>
        <w:rPr>
          <w:b/>
          <w:bCs/>
          <w:sz w:val="24"/>
          <w:szCs w:val="24"/>
        </w:rPr>
      </w:pPr>
      <w:r>
        <w:rPr>
          <w:b/>
          <w:bCs/>
          <w:sz w:val="24"/>
          <w:szCs w:val="24"/>
        </w:rPr>
        <w:t>Mortality Process</w:t>
      </w:r>
    </w:p>
    <w:p w14:paraId="6F60C9FD" w14:textId="09A5D72C" w:rsidR="00AB3930" w:rsidRDefault="00AB3930">
      <w:pPr>
        <w:rPr>
          <w:sz w:val="24"/>
          <w:szCs w:val="24"/>
        </w:rPr>
      </w:pPr>
      <w:r>
        <w:rPr>
          <w:sz w:val="24"/>
          <w:szCs w:val="24"/>
        </w:rPr>
        <w:t>One important part of scoring Social Security proposals is distributional effects. The Congressional Budget Office (CBO) defines distributional effects as follows:</w:t>
      </w:r>
    </w:p>
    <w:p w14:paraId="3B8F5EE4" w14:textId="6B7D45AB" w:rsidR="00AB3930" w:rsidRPr="00AB3930" w:rsidRDefault="00AB3930">
      <w:pPr>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Δ</m:t>
              </m:r>
              <m:ctrlPr>
                <w:rPr>
                  <w:rFonts w:ascii="Cambria Math" w:hAnsi="Cambria Math"/>
                  <w:sz w:val="24"/>
                  <w:szCs w:val="24"/>
                </w:rPr>
              </m:ctrlPr>
            </m:e>
            <m:sub>
              <m:r>
                <w:rPr>
                  <w:rFonts w:ascii="Cambria Math" w:hAnsi="Cambria Math"/>
                  <w:sz w:val="24"/>
                  <w:szCs w:val="24"/>
                </w:rPr>
                <m:t>q, r</m:t>
              </m:r>
            </m:sub>
          </m:sSub>
          <m:r>
            <w:rPr>
              <w:rFonts w:ascii="Cambria Math" w:hAnsi="Cambria Math"/>
              <w:sz w:val="24"/>
              <w:szCs w:val="24"/>
            </w:rPr>
            <m:t xml:space="preserve">= </m:t>
          </m:r>
          <m:f>
            <m:fPr>
              <m:ctrlPr>
                <w:rPr>
                  <w:rFonts w:ascii="Cambria Math" w:hAnsi="Cambria Math"/>
                  <w:i/>
                  <w:sz w:val="24"/>
                  <w:szCs w:val="24"/>
                </w:rPr>
              </m:ctrlPr>
            </m:fPr>
            <m:num>
              <m:nary>
                <m:naryPr>
                  <m:chr m:val="∑"/>
                  <m:subHide m:val="1"/>
                  <m:supHide m:val="1"/>
                  <m:ctrlPr>
                    <w:rPr>
                      <w:rFonts w:ascii="Cambria Math" w:hAnsi="Cambria Math"/>
                      <w:i/>
                      <w:sz w:val="24"/>
                      <w:szCs w:val="24"/>
                    </w:rPr>
                  </m:ctrlPr>
                </m:naryPr>
                <m:sub/>
                <m:sup/>
                <m:e>
                  <m:r>
                    <w:rPr>
                      <w:rFonts w:ascii="Cambria Math" w:hAnsi="Cambria Math"/>
                      <w:sz w:val="24"/>
                      <w:szCs w:val="24"/>
                    </w:rPr>
                    <m:t>Receipt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q,r</m:t>
                      </m:r>
                    </m:sub>
                  </m:sSub>
                </m:e>
              </m:nary>
            </m:num>
            <m:den>
              <m:nary>
                <m:naryPr>
                  <m:chr m:val="∑"/>
                  <m:subHide m:val="1"/>
                  <m:supHide m:val="1"/>
                  <m:ctrlPr>
                    <w:rPr>
                      <w:rFonts w:ascii="Cambria Math" w:hAnsi="Cambria Math"/>
                      <w:i/>
                      <w:sz w:val="24"/>
                      <w:szCs w:val="24"/>
                    </w:rPr>
                  </m:ctrlPr>
                </m:naryPr>
                <m:sub/>
                <m:sup/>
                <m:e>
                  <m:r>
                    <w:rPr>
                      <w:rFonts w:ascii="Cambria Math" w:hAnsi="Cambria Math"/>
                      <w:sz w:val="24"/>
                      <w:szCs w:val="24"/>
                    </w:rPr>
                    <m:t>Benefit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q,r</m:t>
                      </m:r>
                    </m:sub>
                  </m:sSub>
                </m:e>
              </m:nary>
            </m:den>
          </m:f>
          <m:r>
            <w:rPr>
              <w:rFonts w:ascii="Cambria Math" w:hAnsi="Cambria Math"/>
              <w:sz w:val="24"/>
              <w:szCs w:val="24"/>
            </w:rPr>
            <m:t xml:space="preserve">- </m:t>
          </m:r>
          <m:f>
            <m:fPr>
              <m:ctrlPr>
                <w:rPr>
                  <w:rFonts w:ascii="Cambria Math" w:hAnsi="Cambria Math"/>
                  <w:i/>
                  <w:sz w:val="24"/>
                  <w:szCs w:val="24"/>
                </w:rPr>
              </m:ctrlPr>
            </m:fPr>
            <m:num>
              <m:nary>
                <m:naryPr>
                  <m:chr m:val="∑"/>
                  <m:subHide m:val="1"/>
                  <m:supHide m:val="1"/>
                  <m:ctrlPr>
                    <w:rPr>
                      <w:rFonts w:ascii="Cambria Math" w:hAnsi="Cambria Math"/>
                      <w:i/>
                      <w:sz w:val="24"/>
                      <w:szCs w:val="24"/>
                    </w:rPr>
                  </m:ctrlPr>
                </m:naryPr>
                <m:sub/>
                <m:sup/>
                <m:e>
                  <m:r>
                    <w:rPr>
                      <w:rFonts w:ascii="Cambria Math" w:hAnsi="Cambria Math"/>
                      <w:sz w:val="24"/>
                      <w:szCs w:val="24"/>
                    </w:rPr>
                    <m:t>Receipt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m:t>
                      </m:r>
                      <m:r>
                        <w:rPr>
                          <w:rFonts w:ascii="Cambria Math" w:hAnsi="Cambria Math"/>
                          <w:sz w:val="24"/>
                          <w:szCs w:val="24"/>
                        </w:rPr>
                        <m:t>b</m:t>
                      </m:r>
                    </m:sub>
                  </m:sSub>
                </m:e>
              </m:nary>
            </m:num>
            <m:den>
              <m:nary>
                <m:naryPr>
                  <m:chr m:val="∑"/>
                  <m:subHide m:val="1"/>
                  <m:supHide m:val="1"/>
                  <m:ctrlPr>
                    <w:rPr>
                      <w:rFonts w:ascii="Cambria Math" w:hAnsi="Cambria Math"/>
                      <w:i/>
                      <w:sz w:val="24"/>
                      <w:szCs w:val="24"/>
                    </w:rPr>
                  </m:ctrlPr>
                </m:naryPr>
                <m:sub/>
                <m:sup/>
                <m:e>
                  <m:r>
                    <w:rPr>
                      <w:rFonts w:ascii="Cambria Math" w:hAnsi="Cambria Math"/>
                      <w:sz w:val="24"/>
                      <w:szCs w:val="24"/>
                    </w:rPr>
                    <m:t>Benefit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m:t>
                      </m:r>
                      <m:r>
                        <w:rPr>
                          <w:rFonts w:ascii="Cambria Math" w:hAnsi="Cambria Math"/>
                          <w:sz w:val="24"/>
                          <w:szCs w:val="24"/>
                        </w:rPr>
                        <m:t>b</m:t>
                      </m:r>
                    </m:sub>
                  </m:sSub>
                </m:e>
              </m:nary>
            </m:den>
          </m:f>
        </m:oMath>
      </m:oMathPara>
    </w:p>
    <w:p w14:paraId="1FAA3364" w14:textId="77777777" w:rsidR="00F623D0" w:rsidRDefault="00AB3930">
      <w:pPr>
        <w:rPr>
          <w:rFonts w:eastAsiaTheme="minorEastAsia"/>
          <w:sz w:val="24"/>
          <w:szCs w:val="24"/>
        </w:rPr>
      </w:pPr>
      <w:r>
        <w:rPr>
          <w:sz w:val="24"/>
          <w:szCs w:val="24"/>
        </w:rPr>
        <w:t xml:space="preserve">Whereby </w:t>
      </w:r>
      <m:oMath>
        <m:r>
          <w:rPr>
            <w:rFonts w:ascii="Cambria Math" w:hAnsi="Cambria Math"/>
            <w:sz w:val="24"/>
            <w:szCs w:val="24"/>
          </w:rPr>
          <m:t>Receipt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q,b</m:t>
            </m:r>
          </m:sub>
        </m:sSub>
      </m:oMath>
      <w:r>
        <w:rPr>
          <w:rFonts w:eastAsiaTheme="minorEastAsia"/>
          <w:sz w:val="24"/>
          <w:szCs w:val="24"/>
        </w:rPr>
        <w:t xml:space="preserve"> and </w:t>
      </w:r>
      <m:oMath>
        <m:r>
          <w:rPr>
            <w:rFonts w:ascii="Cambria Math" w:hAnsi="Cambria Math"/>
            <w:sz w:val="24"/>
            <w:szCs w:val="24"/>
          </w:rPr>
          <m:t>Benefit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q,b</m:t>
            </m:r>
          </m:sub>
        </m:sSub>
      </m:oMath>
      <w:r>
        <w:rPr>
          <w:rFonts w:eastAsiaTheme="minorEastAsia"/>
          <w:sz w:val="24"/>
          <w:szCs w:val="24"/>
        </w:rPr>
        <w:t xml:space="preserve">refers to lifetime receipts and benefits payable under current law, and </w:t>
      </w:r>
      <m:oMath>
        <m:r>
          <w:rPr>
            <w:rFonts w:ascii="Cambria Math" w:hAnsi="Cambria Math"/>
            <w:sz w:val="24"/>
            <w:szCs w:val="24"/>
          </w:rPr>
          <m:t>Receipt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m:t>
            </m:r>
            <m:r>
              <w:rPr>
                <w:rFonts w:ascii="Cambria Math" w:hAnsi="Cambria Math"/>
                <w:sz w:val="24"/>
                <w:szCs w:val="24"/>
              </w:rPr>
              <m:t>r</m:t>
            </m:r>
          </m:sub>
        </m:sSub>
      </m:oMath>
      <w:r>
        <w:rPr>
          <w:rFonts w:eastAsiaTheme="minorEastAsia"/>
          <w:sz w:val="24"/>
          <w:szCs w:val="24"/>
        </w:rPr>
        <w:t xml:space="preserve"> and </w:t>
      </w:r>
      <m:oMath>
        <m:r>
          <w:rPr>
            <w:rFonts w:ascii="Cambria Math" w:hAnsi="Cambria Math"/>
            <w:sz w:val="24"/>
            <w:szCs w:val="24"/>
          </w:rPr>
          <m:t>Benefit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q,</m:t>
            </m:r>
            <m:r>
              <w:rPr>
                <w:rFonts w:ascii="Cambria Math" w:hAnsi="Cambria Math"/>
                <w:sz w:val="24"/>
                <w:szCs w:val="24"/>
              </w:rPr>
              <m:t>r</m:t>
            </m:r>
          </m:sub>
        </m:sSub>
      </m:oMath>
      <w:r>
        <w:rPr>
          <w:rFonts w:eastAsiaTheme="minorEastAsia"/>
          <w:sz w:val="24"/>
          <w:szCs w:val="24"/>
        </w:rPr>
        <w:t xml:space="preserve"> refers to lifetime receipts and benefits payable under any given reform. Yet the calculation of </w:t>
      </w:r>
      <m:oMath>
        <m:sSub>
          <m:sSubPr>
            <m:ctrlPr>
              <w:rPr>
                <w:rFonts w:ascii="Cambria Math" w:hAnsi="Cambria Math"/>
                <w:i/>
                <w:sz w:val="24"/>
                <w:szCs w:val="24"/>
              </w:rPr>
            </m:ctrlPr>
          </m:sSubPr>
          <m:e>
            <m:r>
              <m:rPr>
                <m:sty m:val="p"/>
              </m:rPr>
              <w:rPr>
                <w:rFonts w:ascii="Cambria Math" w:hAnsi="Cambria Math"/>
                <w:sz w:val="24"/>
                <w:szCs w:val="24"/>
              </w:rPr>
              <m:t>Δ</m:t>
            </m:r>
            <m:ctrlPr>
              <w:rPr>
                <w:rFonts w:ascii="Cambria Math" w:hAnsi="Cambria Math"/>
                <w:sz w:val="24"/>
                <w:szCs w:val="24"/>
              </w:rPr>
            </m:ctrlPr>
          </m:e>
          <m:sub>
            <m:r>
              <w:rPr>
                <w:rFonts w:ascii="Cambria Math" w:hAnsi="Cambria Math"/>
                <w:sz w:val="24"/>
                <w:szCs w:val="24"/>
              </w:rPr>
              <m:t>q, r</m:t>
            </m:r>
          </m:sub>
        </m:sSub>
      </m:oMath>
      <w:r>
        <w:rPr>
          <w:rFonts w:eastAsiaTheme="minorEastAsia"/>
          <w:sz w:val="24"/>
          <w:szCs w:val="24"/>
        </w:rPr>
        <w:t xml:space="preserve"> depends significantly on quintile life expectancy. And there has been quite noticeable increase in income differentials to mortality. As such, </w:t>
      </w:r>
      <w:r w:rsidR="00F623D0">
        <w:rPr>
          <w:rFonts w:eastAsiaTheme="minorEastAsia"/>
          <w:sz w:val="24"/>
          <w:szCs w:val="24"/>
        </w:rPr>
        <w:t xml:space="preserve">accurate distributional effect projections rely on accounting for these income differentials. </w:t>
      </w:r>
    </w:p>
    <w:p w14:paraId="66ADF2C5" w14:textId="32A4838E" w:rsidR="00F623D0" w:rsidRDefault="00F623D0">
      <w:pPr>
        <w:rPr>
          <w:rFonts w:eastAsiaTheme="minorEastAsia"/>
          <w:sz w:val="24"/>
          <w:szCs w:val="24"/>
        </w:rPr>
      </w:pPr>
      <w:r>
        <w:rPr>
          <w:rFonts w:eastAsiaTheme="minorEastAsia"/>
          <w:sz w:val="24"/>
          <w:szCs w:val="24"/>
        </w:rPr>
        <w:t xml:space="preserve">Other microsimulation models, like DYNASIM and MINT, use logistic regression to identify when a person is going to die based on past lifetime earnings. Unfortunately, we do not have access to rich, long-term longitudinal data. As such, we rely significantly on Raj Chetty’s 2016 paper on income differentials in mortality. Specifically, we take Chetty’s produced estimates of income differentials in mortality rates for the 1938 to 1974 cohorts. Following Chetty’s own published codes, we then fit a series of Gompertz regressions on each gender-cohort-income quintile combination. And, like Chetty, we use these Gompertz regressions to predict mortality rates from the ages of from 77 to 100. This procedure gives us an estimate of income differentials in mortality from the age of 40 to 100 for individuals in the 1938 to 1974 cohorts. </w:t>
      </w:r>
    </w:p>
    <w:p w14:paraId="3DCF6931" w14:textId="32BDF084" w:rsidR="00BE3C60" w:rsidRDefault="00BE3C60">
      <w:pPr>
        <w:rPr>
          <w:rFonts w:eastAsiaTheme="minorEastAsia"/>
          <w:sz w:val="24"/>
          <w:szCs w:val="24"/>
        </w:rPr>
      </w:pPr>
      <w:r>
        <w:rPr>
          <w:rFonts w:eastAsiaTheme="minorEastAsia"/>
          <w:sz w:val="24"/>
          <w:szCs w:val="24"/>
        </w:rPr>
        <w:t xml:space="preserve">Mortality from the ages of 0 to 39 </w:t>
      </w:r>
      <w:r w:rsidR="0047371C">
        <w:rPr>
          <w:rFonts w:eastAsiaTheme="minorEastAsia"/>
          <w:sz w:val="24"/>
          <w:szCs w:val="24"/>
        </w:rPr>
        <w:t>is</w:t>
      </w:r>
      <w:r>
        <w:rPr>
          <w:rFonts w:eastAsiaTheme="minorEastAsia"/>
          <w:sz w:val="24"/>
          <w:szCs w:val="24"/>
        </w:rPr>
        <w:t xml:space="preserve"> taken from the Social Security Administration’s published cohort life tables. </w:t>
      </w:r>
      <w:r w:rsidR="00F623D0">
        <w:rPr>
          <w:rFonts w:eastAsiaTheme="minorEastAsia"/>
          <w:sz w:val="24"/>
          <w:szCs w:val="24"/>
        </w:rPr>
        <w:t>We also assume that income differentials in mortality do not have an appreciable effect from the ages of 0 to 34</w:t>
      </w:r>
      <w:r>
        <w:rPr>
          <w:rFonts w:eastAsiaTheme="minorEastAsia"/>
          <w:sz w:val="24"/>
          <w:szCs w:val="24"/>
        </w:rPr>
        <w:t>. Starting at the age of 35, however, we assume that the Gompertz regression’s age coefficient kicks in gradually. We use this smoothing procedure because we found that there is a significant gap in mortality estimates between the SSA’s cohort life tables and the ones published by Chetty. This smoothing procedure gives us income mortality differentials from 0 to 100 for individuals in the 1938-74 cohort. We then normalize the mean of each age-cohort-sex group</w:t>
      </w:r>
      <w:r w:rsidR="0047371C">
        <w:rPr>
          <w:rFonts w:eastAsiaTheme="minorEastAsia"/>
          <w:sz w:val="24"/>
          <w:szCs w:val="24"/>
        </w:rPr>
        <w:t xml:space="preserve"> above the age of 35</w:t>
      </w:r>
      <w:r>
        <w:rPr>
          <w:rFonts w:eastAsiaTheme="minorEastAsia"/>
          <w:sz w:val="24"/>
          <w:szCs w:val="24"/>
        </w:rPr>
        <w:t xml:space="preserve"> to match the SSA’s estimates. </w:t>
      </w:r>
    </w:p>
    <w:p w14:paraId="708C56CD" w14:textId="305275DF" w:rsidR="00BE3C60" w:rsidRDefault="0047371C">
      <w:pPr>
        <w:rPr>
          <w:rFonts w:eastAsiaTheme="minorEastAsia"/>
          <w:sz w:val="24"/>
          <w:szCs w:val="24"/>
        </w:rPr>
      </w:pPr>
      <w:r>
        <w:rPr>
          <w:rFonts w:eastAsiaTheme="minorEastAsia"/>
          <w:sz w:val="24"/>
          <w:szCs w:val="24"/>
        </w:rPr>
        <w:t xml:space="preserve">To predict the income mortality differentials of future cohorts, we then fit a pooled Gompertz model with a time-trend and quintile fixed effects. This gives us mortality differentials from 0 to 100 for individuals in </w:t>
      </w:r>
      <w:proofErr w:type="gramStart"/>
      <w:r>
        <w:rPr>
          <w:rFonts w:eastAsiaTheme="minorEastAsia"/>
          <w:sz w:val="24"/>
          <w:szCs w:val="24"/>
        </w:rPr>
        <w:t>the 1975</w:t>
      </w:r>
      <w:proofErr w:type="gramEnd"/>
      <w:r>
        <w:rPr>
          <w:rFonts w:eastAsiaTheme="minorEastAsia"/>
          <w:sz w:val="24"/>
          <w:szCs w:val="24"/>
        </w:rPr>
        <w:t xml:space="preserve"> to 2100 cohort. Again, we normalize the mean of each age-cohort-sex group to match the SSA’s published cohort-life tables. </w:t>
      </w:r>
    </w:p>
    <w:p w14:paraId="29AD6776" w14:textId="4CA0784E" w:rsidR="0047371C" w:rsidRDefault="0047371C">
      <w:pPr>
        <w:rPr>
          <w:rFonts w:eastAsiaTheme="minorEastAsia"/>
          <w:b/>
          <w:bCs/>
          <w:sz w:val="24"/>
          <w:szCs w:val="24"/>
        </w:rPr>
      </w:pPr>
      <w:r>
        <w:rPr>
          <w:rFonts w:eastAsiaTheme="minorEastAsia"/>
          <w:b/>
          <w:bCs/>
          <w:sz w:val="24"/>
          <w:szCs w:val="24"/>
        </w:rPr>
        <w:t>Birth Process</w:t>
      </w:r>
    </w:p>
    <w:p w14:paraId="44F588A7" w14:textId="77777777" w:rsidR="00FD15E7" w:rsidRPr="0047371C" w:rsidRDefault="00FD15E7">
      <w:pPr>
        <w:rPr>
          <w:rFonts w:eastAsiaTheme="minorEastAsia"/>
          <w:sz w:val="24"/>
          <w:szCs w:val="24"/>
        </w:rPr>
      </w:pPr>
    </w:p>
    <w:sectPr w:rsidR="00FD15E7" w:rsidRPr="00473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D1"/>
    <w:rsid w:val="0047371C"/>
    <w:rsid w:val="005870D3"/>
    <w:rsid w:val="00922971"/>
    <w:rsid w:val="00AB3930"/>
    <w:rsid w:val="00B86110"/>
    <w:rsid w:val="00BE3C60"/>
    <w:rsid w:val="00C071D1"/>
    <w:rsid w:val="00F623D0"/>
    <w:rsid w:val="00FD1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A6E4"/>
  <w15:chartTrackingRefBased/>
  <w15:docId w15:val="{ADD0B871-C557-4425-9C21-A4A9F3CB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1D1"/>
    <w:rPr>
      <w:rFonts w:eastAsiaTheme="majorEastAsia" w:cstheme="majorBidi"/>
      <w:color w:val="272727" w:themeColor="text1" w:themeTint="D8"/>
    </w:rPr>
  </w:style>
  <w:style w:type="paragraph" w:styleId="Title">
    <w:name w:val="Title"/>
    <w:basedOn w:val="Normal"/>
    <w:next w:val="Normal"/>
    <w:link w:val="TitleChar"/>
    <w:uiPriority w:val="10"/>
    <w:qFormat/>
    <w:rsid w:val="00C07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1D1"/>
    <w:pPr>
      <w:spacing w:before="160"/>
      <w:jc w:val="center"/>
    </w:pPr>
    <w:rPr>
      <w:i/>
      <w:iCs/>
      <w:color w:val="404040" w:themeColor="text1" w:themeTint="BF"/>
    </w:rPr>
  </w:style>
  <w:style w:type="character" w:customStyle="1" w:styleId="QuoteChar">
    <w:name w:val="Quote Char"/>
    <w:basedOn w:val="DefaultParagraphFont"/>
    <w:link w:val="Quote"/>
    <w:uiPriority w:val="29"/>
    <w:rsid w:val="00C071D1"/>
    <w:rPr>
      <w:i/>
      <w:iCs/>
      <w:color w:val="404040" w:themeColor="text1" w:themeTint="BF"/>
    </w:rPr>
  </w:style>
  <w:style w:type="paragraph" w:styleId="ListParagraph">
    <w:name w:val="List Paragraph"/>
    <w:basedOn w:val="Normal"/>
    <w:uiPriority w:val="34"/>
    <w:qFormat/>
    <w:rsid w:val="00C071D1"/>
    <w:pPr>
      <w:ind w:left="720"/>
      <w:contextualSpacing/>
    </w:pPr>
  </w:style>
  <w:style w:type="character" w:styleId="IntenseEmphasis">
    <w:name w:val="Intense Emphasis"/>
    <w:basedOn w:val="DefaultParagraphFont"/>
    <w:uiPriority w:val="21"/>
    <w:qFormat/>
    <w:rsid w:val="00C071D1"/>
    <w:rPr>
      <w:i/>
      <w:iCs/>
      <w:color w:val="2F5496" w:themeColor="accent1" w:themeShade="BF"/>
    </w:rPr>
  </w:style>
  <w:style w:type="paragraph" w:styleId="IntenseQuote">
    <w:name w:val="Intense Quote"/>
    <w:basedOn w:val="Normal"/>
    <w:next w:val="Normal"/>
    <w:link w:val="IntenseQuoteChar"/>
    <w:uiPriority w:val="30"/>
    <w:qFormat/>
    <w:rsid w:val="00C07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1D1"/>
    <w:rPr>
      <w:i/>
      <w:iCs/>
      <w:color w:val="2F5496" w:themeColor="accent1" w:themeShade="BF"/>
    </w:rPr>
  </w:style>
  <w:style w:type="character" w:styleId="IntenseReference">
    <w:name w:val="Intense Reference"/>
    <w:basedOn w:val="DefaultParagraphFont"/>
    <w:uiPriority w:val="32"/>
    <w:qFormat/>
    <w:rsid w:val="00C071D1"/>
    <w:rPr>
      <w:b/>
      <w:bCs/>
      <w:smallCaps/>
      <w:color w:val="2F5496" w:themeColor="accent1" w:themeShade="BF"/>
      <w:spacing w:val="5"/>
    </w:rPr>
  </w:style>
  <w:style w:type="character" w:styleId="PlaceholderText">
    <w:name w:val="Placeholder Text"/>
    <w:basedOn w:val="DefaultParagraphFont"/>
    <w:uiPriority w:val="99"/>
    <w:semiHidden/>
    <w:rsid w:val="00AB39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6B3415CAD25249B159D7C2487EFB77" ma:contentTypeVersion="15" ma:contentTypeDescription="Create a new document." ma:contentTypeScope="" ma:versionID="9a31e2964d335317989c71f9e5db083a">
  <xsd:schema xmlns:xsd="http://www.w3.org/2001/XMLSchema" xmlns:xs="http://www.w3.org/2001/XMLSchema" xmlns:p="http://schemas.microsoft.com/office/2006/metadata/properties" xmlns:ns3="80498e85-f821-4d9e-af3a-1c8e2c2169e2" xmlns:ns4="28210247-a0e6-46d7-9d39-14bf60485813" targetNamespace="http://schemas.microsoft.com/office/2006/metadata/properties" ma:root="true" ma:fieldsID="dc146f015f613be17181c3d0eb991e03" ns3:_="" ns4:_="">
    <xsd:import namespace="80498e85-f821-4d9e-af3a-1c8e2c2169e2"/>
    <xsd:import namespace="28210247-a0e6-46d7-9d39-14bf60485813"/>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98e85-f821-4d9e-af3a-1c8e2c2169e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210247-a0e6-46d7-9d39-14bf60485813"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0498e85-f821-4d9e-af3a-1c8e2c2169e2" xsi:nil="true"/>
  </documentManagement>
</p:properties>
</file>

<file path=customXml/itemProps1.xml><?xml version="1.0" encoding="utf-8"?>
<ds:datastoreItem xmlns:ds="http://schemas.openxmlformats.org/officeDocument/2006/customXml" ds:itemID="{6D19CE9B-1A36-42F7-86DB-8671221BA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98e85-f821-4d9e-af3a-1c8e2c2169e2"/>
    <ds:schemaRef ds:uri="28210247-a0e6-46d7-9d39-14bf604858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AA849-0B3A-4523-A541-15256D830E48}">
  <ds:schemaRefs>
    <ds:schemaRef ds:uri="http://schemas.microsoft.com/sharepoint/v3/contenttype/forms"/>
  </ds:schemaRefs>
</ds:datastoreItem>
</file>

<file path=customXml/itemProps3.xml><?xml version="1.0" encoding="utf-8"?>
<ds:datastoreItem xmlns:ds="http://schemas.openxmlformats.org/officeDocument/2006/customXml" ds:itemID="{2B0DD490-BD5D-4A44-B9C7-4A4086EC79B7}">
  <ds:schemaRefs>
    <ds:schemaRef ds:uri="http://schemas.microsoft.com/office/2006/metadata/properties"/>
    <ds:schemaRef ds:uri="http://schemas.microsoft.com/office/infopath/2007/PartnerControls"/>
    <ds:schemaRef ds:uri="80498e85-f821-4d9e-af3a-1c8e2c2169e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364</Words>
  <Characters>2431</Characters>
  <Application>Microsoft Office Word</Application>
  <DocSecurity>0</DocSecurity>
  <Lines>60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 Chanwong</dc:creator>
  <cp:keywords/>
  <dc:description/>
  <cp:lastModifiedBy>Krit Chanwong</cp:lastModifiedBy>
  <cp:revision>2</cp:revision>
  <dcterms:created xsi:type="dcterms:W3CDTF">2026-06-04T05:55:00Z</dcterms:created>
  <dcterms:modified xsi:type="dcterms:W3CDTF">2026-06-04T05:55:00Z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0x0101002B6B3415CAD25249B159D7C2487EFB77</vt:lpwstr>
  </property>
</Properties>
</file>