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9990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4f55a0-0390-46c3-926a-c254daa33b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9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機場 WMS API 介接技術規格書</w:t>
      </w:r>
    </w:p>
    <w:p>
      <w:pPr>
        <w:jc w:val="center"/>
      </w:pPr>
      <w:r>
        <w:t>Airport WMS API Integration Specification</w:t>
      </w:r>
    </w:p>
    <w:p/>
    <w:p>
      <w:r>
        <w:t>公司名稱：啟善</w:t>
      </w:r>
    </w:p>
    <w:p>
      <w:r>
        <w:t>文件版本：v1.01</w:t>
      </w:r>
    </w:p>
    <w:p>
      <w:r>
        <w:t>發布日期：2024-12-10</w:t>
      </w:r>
    </w:p>
    <w:p>
      <w:r>
        <w:rPr>
          <w:b/>
        </w:rPr>
        <w:t>文件屬性：Confidential</w:t>
      </w:r>
    </w:p>
    <w:p>
      <w:r>
        <w:br w:type="page"/>
      </w:r>
    </w:p>
    <w:p>
      <w:pPr>
        <w:pStyle w:val="Heading1"/>
      </w:pPr>
      <w:r>
        <w:t>目錄</w:t>
      </w:r>
    </w:p>
    <w:p>
      <w:r>
        <w:t>1. 文件目的</w:t>
      </w:r>
    </w:p>
    <w:p>
      <w:r>
        <w:t>2. 系統架構說明</w:t>
      </w:r>
    </w:p>
    <w:p>
      <w:r>
        <w:t>3. API 一覽表</w:t>
      </w:r>
    </w:p>
    <w:p>
      <w:r>
        <w:t>4. 共通規範</w:t>
      </w:r>
    </w:p>
    <w:p>
      <w:r>
        <w:t>5. API 詳細規格</w:t>
      </w:r>
    </w:p>
    <w:p>
      <w:r>
        <w:t>6. 錯誤代碼說明</w:t>
      </w:r>
    </w:p>
    <w:p>
      <w:r>
        <w:br w:type="page"/>
      </w:r>
    </w:p>
    <w:p>
      <w:pPr>
        <w:pStyle w:val="Heading1"/>
      </w:pPr>
      <w:r>
        <w:t>1. 文件目的</w:t>
      </w:r>
    </w:p>
    <w:p>
      <w:r>
        <w:t>本文件說明機場 APP 與 WMS 系統之 API 介接技術規格，提供合作廠商進行系統整合與開發依據。</w:t>
      </w:r>
    </w:p>
    <w:p>
      <w:pPr>
        <w:pStyle w:val="Heading1"/>
      </w:pPr>
      <w:r>
        <w:t>2. 系統架構說明</w:t>
      </w:r>
    </w:p>
    <w:p>
      <w:r>
        <w:t>Android APP ⇄ API Gateway ⇄ WMS System</w:t>
      </w:r>
    </w:p>
    <w:p>
      <w:r>
        <w:t>• 通訊協定：HTTPS</w:t>
      </w:r>
    </w:p>
    <w:p>
      <w:r>
        <w:t>• 資料格式：JSON</w:t>
      </w:r>
    </w:p>
    <w:p>
      <w:r>
        <w:t>• 驗證方式：Bearer Token</w:t>
      </w:r>
    </w:p>
    <w:p>
      <w:pPr>
        <w:pStyle w:val="Heading1"/>
      </w:pPr>
      <w:r>
        <w:t>3. API 一覽表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代號</w:t>
            </w:r>
          </w:p>
        </w:tc>
        <w:tc>
          <w:tcPr>
            <w:tcW w:type="dxa" w:w="3135"/>
          </w:tcPr>
          <w:p>
            <w:r>
              <w:t>名稱</w:t>
            </w:r>
          </w:p>
        </w:tc>
        <w:tc>
          <w:tcPr>
            <w:tcW w:type="dxa" w:w="3135"/>
          </w:tcPr>
          <w:p>
            <w:r>
              <w:t>說明</w:t>
            </w:r>
          </w:p>
        </w:tc>
      </w:tr>
      <w:tr>
        <w:tc>
          <w:tcPr>
            <w:tcW w:type="dxa" w:w="3135"/>
          </w:tcPr>
          <w:p>
            <w:r>
              <w:t>A1</w:t>
            </w:r>
          </w:p>
        </w:tc>
        <w:tc>
          <w:tcPr>
            <w:tcW w:type="dxa" w:w="3135"/>
          </w:tcPr>
          <w:p>
            <w:r>
              <w:t>Login</w:t>
            </w:r>
          </w:p>
        </w:tc>
        <w:tc>
          <w:tcPr>
            <w:tcW w:type="dxa" w:w="3135"/>
          </w:tcPr>
          <w:p>
            <w:r>
              <w:t>使用者登入驗證</w:t>
            </w:r>
          </w:p>
        </w:tc>
      </w:tr>
      <w:tr>
        <w:tc>
          <w:tcPr>
            <w:tcW w:type="dxa" w:w="3135"/>
          </w:tcPr>
          <w:p>
            <w:r>
              <w:t>R1</w:t>
            </w:r>
          </w:p>
        </w:tc>
        <w:tc>
          <w:tcPr>
            <w:tcW w:type="dxa" w:w="3135"/>
          </w:tcPr>
          <w:p>
            <w:r>
              <w:t>Get PO Header</w:t>
            </w:r>
          </w:p>
        </w:tc>
        <w:tc>
          <w:tcPr>
            <w:tcW w:type="dxa" w:w="3135"/>
          </w:tcPr>
          <w:p>
            <w:r>
              <w:t>取得預期收貨清單</w:t>
            </w:r>
          </w:p>
        </w:tc>
      </w:tr>
      <w:tr>
        <w:tc>
          <w:tcPr>
            <w:tcW w:type="dxa" w:w="3135"/>
          </w:tcPr>
          <w:p>
            <w:r>
              <w:t>R2</w:t>
            </w:r>
          </w:p>
        </w:tc>
        <w:tc>
          <w:tcPr>
            <w:tcW w:type="dxa" w:w="3135"/>
          </w:tcPr>
          <w:p>
            <w:r>
              <w:t>Get PO Detail</w:t>
            </w:r>
          </w:p>
        </w:tc>
        <w:tc>
          <w:tcPr>
            <w:tcW w:type="dxa" w:w="3135"/>
          </w:tcPr>
          <w:p>
            <w:r>
              <w:t>取得收貨明細</w:t>
            </w:r>
          </w:p>
        </w:tc>
      </w:tr>
      <w:tr>
        <w:tc>
          <w:tcPr>
            <w:tcW w:type="dxa" w:w="3135"/>
          </w:tcPr>
          <w:p>
            <w:r>
              <w:t>R3</w:t>
            </w:r>
          </w:p>
        </w:tc>
        <w:tc>
          <w:tcPr>
            <w:tcW w:type="dxa" w:w="3135"/>
          </w:tcPr>
          <w:p>
            <w:r>
              <w:t>Submit Receiving</w:t>
            </w:r>
          </w:p>
        </w:tc>
        <w:tc>
          <w:tcPr>
            <w:tcW w:type="dxa" w:w="3135"/>
          </w:tcPr>
          <w:p>
            <w:r>
              <w:t>回傳收貨資料</w:t>
            </w:r>
          </w:p>
        </w:tc>
      </w:tr>
      <w:tr>
        <w:tc>
          <w:tcPr>
            <w:tcW w:type="dxa" w:w="3135"/>
          </w:tcPr>
          <w:p>
            <w:r>
              <w:t>R4</w:t>
            </w:r>
          </w:p>
        </w:tc>
        <w:tc>
          <w:tcPr>
            <w:tcW w:type="dxa" w:w="3135"/>
          </w:tcPr>
          <w:p>
            <w:r>
              <w:t>Get Verifying Data</w:t>
            </w:r>
          </w:p>
        </w:tc>
        <w:tc>
          <w:tcPr>
            <w:tcW w:type="dxa" w:w="3135"/>
          </w:tcPr>
          <w:p>
            <w:r>
              <w:t>取得核對資料</w:t>
            </w:r>
          </w:p>
        </w:tc>
      </w:tr>
      <w:tr>
        <w:tc>
          <w:tcPr>
            <w:tcW w:type="dxa" w:w="3135"/>
          </w:tcPr>
          <w:p>
            <w:r>
              <w:t>R5</w:t>
            </w:r>
          </w:p>
        </w:tc>
        <w:tc>
          <w:tcPr>
            <w:tcW w:type="dxa" w:w="3135"/>
          </w:tcPr>
          <w:p>
            <w:r>
              <w:t>Confirm Receipt</w:t>
            </w:r>
          </w:p>
        </w:tc>
        <w:tc>
          <w:tcPr>
            <w:tcW w:type="dxa" w:w="3135"/>
          </w:tcPr>
          <w:p>
            <w:r>
              <w:t>收貨確認過帳</w:t>
            </w:r>
          </w:p>
        </w:tc>
      </w:tr>
    </w:tbl>
    <w:p>
      <w:pPr>
        <w:pStyle w:val="Heading1"/>
      </w:pPr>
      <w:r>
        <w:t>4. 共通規範</w:t>
      </w:r>
    </w:p>
    <w:p>
      <w:pPr>
        <w:pStyle w:val="Heading2"/>
      </w:pPr>
      <w:r>
        <w:t>4.1 HTTP Header</w:t>
      </w:r>
    </w:p>
    <w:p>
      <w:r>
        <w:t>Content-Type: application/json</w:t>
      </w:r>
    </w:p>
    <w:p>
      <w:r>
        <w:t>Authorization: Bearer {accessToken}</w:t>
      </w:r>
    </w:p>
    <w:p>
      <w:pPr>
        <w:pStyle w:val="Heading2"/>
      </w:pPr>
      <w:r>
        <w:t>4.2 標準回應格式</w:t>
      </w:r>
    </w:p>
    <w:p>
      <w:r>
        <w:t>{ "requestId": "GUID", "status": "S|F", "message": "說明訊息", "data": {}, "errors": [] }</w:t>
      </w:r>
    </w:p>
    <w:p>
      <w:r>
        <w:br w:type="page"/>
      </w:r>
    </w:p>
    <w:p>
      <w:pPr>
        <w:pStyle w:val="Heading1"/>
      </w:pPr>
      <w:r>
        <w:t>5. API 詳細規格</w:t>
      </w:r>
    </w:p>
    <w:p>
      <w:pPr>
        <w:pStyle w:val="Heading2"/>
      </w:pPr>
      <w:r>
        <w:t>A1 – Login</w:t>
      </w:r>
    </w:p>
    <w:p>
      <w:r>
        <w:t>Endpoint: POST /wmService/v1/Login</w:t>
      </w:r>
    </w:p>
    <w:p>
      <w:r>
        <w:t>說明：請參照完整技術規格文件定義之請求與回應參數。</w:t>
      </w:r>
    </w:p>
    <w:p/>
    <w:p>
      <w:pPr>
        <w:pStyle w:val="Heading2"/>
      </w:pPr>
      <w:r>
        <w:t>R1 – Get PO Header</w:t>
      </w:r>
    </w:p>
    <w:p>
      <w:r>
        <w:t>Endpoint: POST /wmService/v1/PO/PoHeaderData</w:t>
      </w:r>
    </w:p>
    <w:p>
      <w:r>
        <w:t>說明：請參照完整技術規格文件定義之請求與回應參數。</w:t>
      </w:r>
    </w:p>
    <w:p/>
    <w:p>
      <w:pPr>
        <w:pStyle w:val="Heading2"/>
      </w:pPr>
      <w:r>
        <w:t>R2 – Get PO Detail</w:t>
      </w:r>
    </w:p>
    <w:p>
      <w:r>
        <w:t>Endpoint: POST /wmService/v1/PO/PoDetailData</w:t>
      </w:r>
    </w:p>
    <w:p>
      <w:r>
        <w:t>說明：請參照完整技術規格文件定義之請求與回應參數。</w:t>
      </w:r>
    </w:p>
    <w:p/>
    <w:p>
      <w:pPr>
        <w:pStyle w:val="Heading2"/>
      </w:pPr>
      <w:r>
        <w:t>R3 – Submit Receiving</w:t>
      </w:r>
    </w:p>
    <w:p>
      <w:r>
        <w:t>Endpoint: POST /wmService/v1/PO/PoReceivingItem</w:t>
      </w:r>
    </w:p>
    <w:p>
      <w:r>
        <w:t>說明：請參照完整技術規格文件定義之請求與回應參數。</w:t>
      </w:r>
    </w:p>
    <w:p/>
    <w:p>
      <w:pPr>
        <w:pStyle w:val="Heading2"/>
      </w:pPr>
      <w:r>
        <w:t>R4 – Get Verifying Data</w:t>
      </w:r>
    </w:p>
    <w:p>
      <w:r>
        <w:t>Endpoint: POST /wmService/v1/PO/PoVerifying</w:t>
      </w:r>
    </w:p>
    <w:p>
      <w:r>
        <w:t>說明：請參照完整技術規格文件定義之請求與回應參數。</w:t>
      </w:r>
    </w:p>
    <w:p/>
    <w:p>
      <w:pPr>
        <w:pStyle w:val="Heading2"/>
      </w:pPr>
      <w:r>
        <w:t>R5 – Confirm Receipt</w:t>
      </w:r>
    </w:p>
    <w:p>
      <w:r>
        <w:t>Endpoint: POST /wmService/v1/PO/PoCfmReceipt</w:t>
      </w:r>
    </w:p>
    <w:p>
      <w:r>
        <w:t>說明：請參照完整技術規格文件定義之請求與回應參數。</w:t>
      </w:r>
    </w:p>
    <w:p/>
    <w:p>
      <w:r>
        <w:br w:type="page"/>
      </w:r>
    </w:p>
    <w:p>
      <w:pPr>
        <w:pStyle w:val="Heading1"/>
      </w:pPr>
      <w:r>
        <w:t>6. 錯誤代碼說明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Code</w:t>
            </w:r>
          </w:p>
        </w:tc>
        <w:tc>
          <w:tcPr>
            <w:tcW w:type="dxa" w:w="2351"/>
          </w:tcPr>
          <w:p>
            <w:r>
              <w:t>HTTP</w:t>
            </w:r>
          </w:p>
        </w:tc>
        <w:tc>
          <w:tcPr>
            <w:tcW w:type="dxa" w:w="2351"/>
          </w:tcPr>
          <w:p>
            <w:r>
              <w:t>說明</w:t>
            </w:r>
          </w:p>
        </w:tc>
        <w:tc>
          <w:tcPr>
            <w:tcW w:type="dxa" w:w="2351"/>
          </w:tcPr>
          <w:p>
            <w:r>
              <w:t>建議處理方式</w:t>
            </w:r>
          </w:p>
        </w:tc>
      </w:tr>
      <w:tr>
        <w:tc>
          <w:tcPr>
            <w:tcW w:type="dxa" w:w="2351"/>
          </w:tcPr>
          <w:p>
            <w:r>
              <w:t>F119</w:t>
            </w:r>
          </w:p>
        </w:tc>
        <w:tc>
          <w:tcPr>
            <w:tcW w:type="dxa" w:w="2351"/>
          </w:tcPr>
          <w:p>
            <w:r>
              <w:t>401</w:t>
            </w:r>
          </w:p>
        </w:tc>
        <w:tc>
          <w:tcPr>
            <w:tcW w:type="dxa" w:w="2351"/>
          </w:tcPr>
          <w:p>
            <w:r>
              <w:t>Token 失效</w:t>
            </w:r>
          </w:p>
        </w:tc>
        <w:tc>
          <w:tcPr>
            <w:tcW w:type="dxa" w:w="2351"/>
          </w:tcPr>
          <w:p>
            <w:r>
              <w:t>重新登入</w:t>
            </w:r>
          </w:p>
        </w:tc>
      </w:tr>
      <w:tr>
        <w:tc>
          <w:tcPr>
            <w:tcW w:type="dxa" w:w="2351"/>
          </w:tcPr>
          <w:p>
            <w:r>
              <w:t>F981</w:t>
            </w:r>
          </w:p>
        </w:tc>
        <w:tc>
          <w:tcPr>
            <w:tcW w:type="dxa" w:w="2351"/>
          </w:tcPr>
          <w:p>
            <w:r>
              <w:t>400</w:t>
            </w:r>
          </w:p>
        </w:tc>
        <w:tc>
          <w:tcPr>
            <w:tcW w:type="dxa" w:w="2351"/>
          </w:tcPr>
          <w:p>
            <w:r>
              <w:t>必填欄位缺失</w:t>
            </w:r>
          </w:p>
        </w:tc>
        <w:tc>
          <w:tcPr>
            <w:tcW w:type="dxa" w:w="2351"/>
          </w:tcPr>
          <w:p>
            <w:r>
              <w:t>檢查請求資料</w:t>
            </w:r>
          </w:p>
        </w:tc>
      </w:tr>
      <w:tr>
        <w:tc>
          <w:tcPr>
            <w:tcW w:type="dxa" w:w="2351"/>
          </w:tcPr>
          <w:p>
            <w:r>
              <w:t>F982</w:t>
            </w:r>
          </w:p>
        </w:tc>
        <w:tc>
          <w:tcPr>
            <w:tcW w:type="dxa" w:w="2351"/>
          </w:tcPr>
          <w:p>
            <w:r>
              <w:t>404</w:t>
            </w:r>
          </w:p>
        </w:tc>
        <w:tc>
          <w:tcPr>
            <w:tcW w:type="dxa" w:w="2351"/>
          </w:tcPr>
          <w:p>
            <w:r>
              <w:t>資料不存在</w:t>
            </w:r>
          </w:p>
        </w:tc>
        <w:tc>
          <w:tcPr>
            <w:tcW w:type="dxa" w:w="2351"/>
          </w:tcPr>
          <w:p>
            <w:r>
              <w:t>確認代碼</w:t>
            </w:r>
          </w:p>
        </w:tc>
      </w:tr>
      <w:tr>
        <w:tc>
          <w:tcPr>
            <w:tcW w:type="dxa" w:w="2351"/>
          </w:tcPr>
          <w:p>
            <w:r>
              <w:t>F983</w:t>
            </w:r>
          </w:p>
        </w:tc>
        <w:tc>
          <w:tcPr>
            <w:tcW w:type="dxa" w:w="2351"/>
          </w:tcPr>
          <w:p>
            <w:r>
              <w:t>400</w:t>
            </w:r>
          </w:p>
        </w:tc>
        <w:tc>
          <w:tcPr>
            <w:tcW w:type="dxa" w:w="2351"/>
          </w:tcPr>
          <w:p>
            <w:r>
              <w:t>業務邏輯錯誤</w:t>
            </w:r>
          </w:p>
        </w:tc>
        <w:tc>
          <w:tcPr>
            <w:tcW w:type="dxa" w:w="2351"/>
          </w:tcPr>
          <w:p>
            <w:r>
              <w:t>檢查流程</w:t>
            </w:r>
          </w:p>
        </w:tc>
      </w:tr>
      <w:tr>
        <w:tc>
          <w:tcPr>
            <w:tcW w:type="dxa" w:w="2351"/>
          </w:tcPr>
          <w:p>
            <w:r>
              <w:t>F997</w:t>
            </w:r>
          </w:p>
        </w:tc>
        <w:tc>
          <w:tcPr>
            <w:tcW w:type="dxa" w:w="2351"/>
          </w:tcPr>
          <w:p>
            <w:r>
              <w:t>500</w:t>
            </w:r>
          </w:p>
        </w:tc>
        <w:tc>
          <w:tcPr>
            <w:tcW w:type="dxa" w:w="2351"/>
          </w:tcPr>
          <w:p>
            <w:r>
              <w:t>系統忙碌</w:t>
            </w:r>
          </w:p>
        </w:tc>
        <w:tc>
          <w:tcPr>
            <w:tcW w:type="dxa" w:w="2351"/>
          </w:tcPr>
          <w:p>
            <w:r>
              <w:t>稍後重試</w:t>
            </w:r>
          </w:p>
        </w:tc>
      </w:tr>
      <w:tr>
        <w:tc>
          <w:tcPr>
            <w:tcW w:type="dxa" w:w="2351"/>
          </w:tcPr>
          <w:p>
            <w:r>
              <w:t>F999</w:t>
            </w:r>
          </w:p>
        </w:tc>
        <w:tc>
          <w:tcPr>
            <w:tcW w:type="dxa" w:w="2351"/>
          </w:tcPr>
          <w:p>
            <w:r>
              <w:t>500</w:t>
            </w:r>
          </w:p>
        </w:tc>
        <w:tc>
          <w:tcPr>
            <w:tcW w:type="dxa" w:w="2351"/>
          </w:tcPr>
          <w:p>
            <w:r>
              <w:t>未處理例外</w:t>
            </w:r>
          </w:p>
        </w:tc>
        <w:tc>
          <w:tcPr>
            <w:tcW w:type="dxa" w:w="2351"/>
          </w:tcPr>
          <w:p>
            <w:r>
              <w:t>聯繫技術支援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