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API 技術規格 - 靜態檔</w:t>
      </w:r>
    </w:p>
    <w:p>
      <w:pPr>
        <w:pStyle w:val="Heading1"/>
      </w:pPr>
      <w:r>
        <w:t xml:space="preserve">API 技術規格文件</w:t>
      </w:r>
    </w:p>
    <w:p>
      <w:pPr>
        <w:pStyle w:val="Heading2"/>
      </w:pPr>
      <w:r>
        <w:t xml:space="preserve">概述</w:t>
      </w:r>
    </w:p>
    <w:p>
      <w:r>
        <w:t xml:space="preserve">本文档定義機場 WMS（倉儲管理系統）的 API 技術規格，供 Android App 客戶端進行整合開發。</w:t>
      </w:r>
    </w:p>
    <w:p>
      <w:r>
        <w:t xml:space="preserve">版本 : v1.01 更新日期 : 2024-12-10</w:t>
      </w:r>
    </w:p>
    <w:p>
      <w:pPr>
        <w:pStyle w:val="Heading2"/>
      </w:pPr>
      <w:r>
        <w:t xml:space="preserve">目錄</w:t>
      </w:r>
    </w:p>
    <w:p>
      <w:pPr>
        <w:pStyle w:val="Heading2"/>
      </w:pPr>
      <w:r>
        <w:t xml:space="preserve">通用規範</w:t>
      </w:r>
    </w:p>
    <w:p>
      <w:pPr>
        <w:pStyle w:val="Heading3"/>
      </w:pPr>
      <w:r>
        <w:t xml:space="preserve">基礎資訊</w:t>
      </w:r>
    </w:p>
    <w:p>
      <w:r>
        <w:rPr>
          <w:rFonts w:ascii="Courier New" w:cs="Courier New" w:eastAsia="Courier New" w:hAnsi="Courier New"/>
        </w:rPr>
        <w:t xml:space="preserve">http://192.168.x.x/wmService/v1</w:t>
      </w:r>
    </w:p>
    <w:p>
      <w:pPr>
        <w:pStyle w:val="Heading3"/>
      </w:pPr>
      <w:r>
        <w:t xml:space="preserve">全域回應格式標準</w:t>
      </w:r>
    </w:p>
    <w:p>
      <w:r>
        <w:t xml:space="preserve">所有 API 統一使用 JSON 格式回應：</w:t>
      </w:r>
    </w:p>
    <w:p>
      <w:r>
        <w:t xml:space="preserve">成功回應 :</w:t>
      </w:r>
    </w:p>
    <w:p>
      <w:r>
        <w:rPr>
          <w:rFonts w:ascii="Courier New" w:cs="Courier New" w:eastAsia="Courier New" w:hAnsi="Courier New"/>
        </w:rPr>
        <w:t xml:space="preserve">&lt;code class="language-json"&gt;{
  &amp;quot;requestId&amp;quot;: &amp;quot;請求編號 (GUID)&amp;quot;,
  &amp;quot;status&amp;quot;: &amp;quot;S&amp;quot;,
  &amp;quot;message&amp;quot;: &amp;quot;成功訊息描述&amp;quot;,
  &amp;quot;data&amp;quot;: { ... },
  &amp;quot;errors&amp;quot;: null
}
&lt;/code&gt;</w:t>
      </w:r>
    </w:p>
    <w:p>
      <w:r>
        <w:t xml:space="preserve">失敗回應 :</w:t>
      </w:r>
    </w:p>
    <w:p>
      <w:r>
        <w:rPr>
          <w:rFonts w:ascii="Courier New" w:cs="Courier New" w:eastAsia="Courier New" w:hAnsi="Courier New"/>
        </w:rPr>
        <w:t xml:space="preserve">&lt;code class="language-json"&gt;{
  &amp;quot;requestId&amp;quot;: &amp;quot;請求編號 (GUID)&amp;quot;,
  &amp;quot;status&amp;quot;: &amp;quot;F&amp;quot;,
  &amp;quot;message&amp;quot;: &amp;quot;失敗訊息描述&amp;quot;,
  &amp;quot;data&amp;quot;: null,
  &amp;quot;errors&amp;quot;: [
    {
      &amp;quot;code&amp;quot;: &amp;quot;錯誤代碼&amp;quot;,
      &amp;quot;message&amp;quot;: &amp;quot;錯誤說明&amp;quot;
    }
  ]
}
&lt;/code&gt;</w:t>
      </w:r>
    </w:p>
    <w:p>
      <w:pPr>
        <w:pStyle w:val="Heading3"/>
      </w:pPr>
      <w:r>
        <w:t xml:space="preserve">HTTP 狀態碼</w:t>
      </w:r>
    </w:p>
    <w:p>
      <w:pPr>
        <w:pStyle w:val="Heading3"/>
      </w:pPr>
      <w:r>
        <w:t xml:space="preserve">錯誤代碼體系</w:t>
      </w:r>
    </w:p>
    <w:p>
      <w:pPr>
        <w:pStyle w:val="Heading3"/>
      </w:pPr>
      <w:r>
        <w:t xml:space="preserve">認證機制</w:t>
      </w:r>
    </w:p>
    <w:p>
      <w:r>
        <w:t xml:space="preserve">所有 API 請求（除登入接口外）均需在 HTTP Header 中傳遞 Token：</w:t>
      </w:r>
    </w:p>
    <w:p>
      <w:r>
        <w:rPr>
          <w:rFonts w:ascii="Courier New" w:cs="Courier New" w:eastAsia="Courier New" w:hAnsi="Courier New"/>
        </w:rPr>
        <w:t xml:space="preserve">&lt;code&gt;Authorization: Bearer {accessToken}
&lt;/code&gt;</w:t>
      </w:r>
    </w:p>
    <w:p>
      <w:r>
        <w:t xml:space="preserve">Token 透過 A1 登入驗證 接口取得，有效期建議為 24 小時。</w:t>
      </w:r>
    </w:p>
    <w:p>
      <w:r>
        <w:t xml:space="preserve">詳細請參考： 認證機制 (A1)</w:t>
      </w:r>
    </w:p>
    <w:p>
      <w:pPr>
        <w:pStyle w:val="Heading3"/>
      </w:pPr>
      <w:r>
        <w:t xml:space="preserve">通用請求參數</w:t>
      </w:r>
    </w:p>
    <w:p>
      <w:r>
        <w:t xml:space="preserve">重要 : 同一個請求若重複提交，必須使用相同的 requestId，方便伺服端進行重複請求防護。</w:t>
      </w:r>
    </w:p>
    <w:p>
      <w:pPr>
        <w:pStyle w:val="Heading3"/>
      </w:pPr>
      <w:r>
        <w:t xml:space="preserve">資料型別說明</w:t>
      </w:r>
    </w:p>
    <w:p>
      <w:pPr>
        <w:pStyle w:val="Heading3"/>
      </w:pPr>
      <w:r>
        <w:t xml:space="preserve">檢核規則</w:t>
      </w:r>
    </w:p>
    <w:p>
      <w:r>
        <w:t xml:space="preserve">伺服端會依序執行以下檢核：</w:t>
      </w:r>
    </w:p>
    <w:p>
      <w:r>
        <w:t xml:space="preserve">• 安全驗證 驗證 Headers 中的 Authorization 參數是否合法</w:t>
      </w:r>
    </w:p>
    <w:p>
      <w:r>
        <w:t xml:space="preserve">• 未傳輸或 Token 失效視為非合法呼叫 (F119)</w:t>
      </w:r>
    </w:p>
    <w:p>
      <w:r>
        <w:t xml:space="preserve">• 資料檢驗 驗證請求數據是否可解析 (F009)</w:t>
      </w:r>
    </w:p>
    <w:p>
      <w:r>
        <w:t xml:space="preserve">• 驗證必要欄位是否缺漏 (F981)</w:t>
      </w:r>
    </w:p>
    <w:p>
      <w:r>
        <w:t xml:space="preserve">• 驗證資料類型與格式是否正確 (F981)</w:t>
      </w:r>
    </w:p>
    <w:p>
      <w:r>
        <w:t xml:space="preserve">• 驗證規格書中定義的代碼是否存在 (F982)</w:t>
      </w:r>
    </w:p>
    <w:p>
      <w:r>
        <w:t xml:space="preserve">• 驗證資料主檔是否存在 (F982)</w:t>
      </w:r>
    </w:p>
    <w:p>
      <w:r>
        <w:t xml:space="preserve">• 業務邏輯驗證 (F983)</w:t>
      </w:r>
    </w:p>
    <w:p>
      <w:r>
        <w:t xml:space="preserve">• 異常處理 資料庫逾時 (F997)</w:t>
      </w:r>
    </w:p>
    <w:p>
      <w:r>
        <w:t xml:space="preserve">• 系統例外狀況 (F999)</w:t>
      </w:r>
    </w:p>
    <w:p>
      <w:pPr>
        <w:pStyle w:val="Heading2"/>
      </w:pPr>
      <w:r>
        <w:t xml:space="preserve">接口列表</w:t>
      </w:r>
    </w:p>
    <w:p>
      <w:pPr>
        <w:pStyle w:val="Heading3"/>
      </w:pPr>
      <w:r>
        <w:t xml:space="preserve">進貨作業 (Receiving)</w:t>
      </w:r>
    </w:p>
    <w:p>
      <w:pPr>
        <w:pStyle w:val="Heading3"/>
      </w:pPr>
      <w:r>
        <w:t xml:space="preserve">出貨作業 (Shipping)</w:t>
      </w:r>
    </w:p>
    <w:p>
      <w:r>
        <w:t xml:space="preserve">出貨作業接口預留給未來開發使用</w:t>
      </w:r>
    </w:p>
    <w:p>
      <w:pPr>
        <w:pStyle w:val="Heading2"/>
      </w:pPr>
      <w:r>
        <w:t xml:space="preserve">版本紀錄</w:t>
      </w:r>
    </w:p>
    <w:p>
      <w:pPr>
        <w:pStyle w:val="Heading2"/>
      </w:pPr>
      <w:r>
        <w:t xml:space="preserve">聯絡資訊</w:t>
      </w:r>
    </w:p>
    <w:p>
      <w:r>
        <w:t xml:space="preserve">如有技術問題，請聯繫：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2026-02-25T02:14:14.687Z</dcterms:created>
  <dcterms:modified xsi:type="dcterms:W3CDTF">2026-02-25T02:14:14.687Z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