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000000"/>
          <w:sz w:val="44"/>
        </w:rPr>
        <w:t>ASSIGNMENT REPORT: CONTOUR-BASED POND CATCHMENT ANALYSIS API</w:t>
      </w:r>
    </w:p>
    <w:p>
      <w:pPr>
        <w:spacing w:after="360"/>
        <w:jc w:val="center"/>
      </w:pPr>
      <w:r>
        <w:rPr>
          <w:rFonts w:ascii="Calibri" w:hAnsi="Calibri"/>
          <w:i/>
          <w:color w:val="666666"/>
          <w:sz w:val="24"/>
        </w:rPr>
        <w:t>Hydrological Terrain Modeling, Digital Elevation Rasterization, and API Deployment Report</w:t>
      </w:r>
    </w:p>
    <w:p>
      <w:pPr>
        <w:spacing w:after="360"/>
        <w:jc w:val="center"/>
      </w:pPr>
      <w:r>
        <w:rPr>
          <w:color w:val="666666"/>
        </w:rPr>
        <w:t>────────────────────────────────────────────────────────────────────────────────</w:t>
      </w:r>
    </w:p>
    <w:p>
      <w:pPr>
        <w:keepNext/>
        <w:spacing w:before="360" w:after="160"/>
      </w:pPr>
      <w:r>
        <w:rPr>
          <w:rFonts w:ascii="Calibri" w:hAnsi="Calibri"/>
          <w:b/>
          <w:color w:val="000000"/>
          <w:sz w:val="36"/>
        </w:rPr>
        <w:t>1. Project Repository &amp; Deployment Details</w:t>
      </w:r>
    </w:p>
    <w:p>
      <w:r>
        <w:t>This project presents an automated, production-ready RESTful web service built with FastAPI and Python for contour map parsing, Digital Elevation Model (DEM) construction, hydrological flow analysis, and watershed catchment delineation. All application source code, configuration files, and automated regression test suites are hosted on GitHub.</w:t>
      </w:r>
    </w:p>
    <w:tbl>
      <w:tblPr>
        <w:tblW w:type="auto" w:w="0"/>
        <w:jc w:val="center"/>
        <w:tblLayout w:type="fixed"/>
        <w:tblLook w:firstColumn="1" w:firstRow="1" w:lastColumn="0" w:lastRow="0" w:noHBand="0" w:noVBand="1" w:val="04A0"/>
      </w:tblPr>
      <w:tblGrid>
        <w:gridCol w:w="4680"/>
        <w:gridCol w:w="4680"/>
      </w:tblGrid>
      <w:tr>
        <w:tc>
          <w:tcPr>
            <w:tcW w:type="dxa" w:w="3168"/>
            <w:shd w:fill="E8E8E8"/>
            <w:tcBorders>
              <w:top w:val="single" w:sz="4" w:space="0" w:color="CCCCCC"/>
              <w:bottom w:val="single" w:sz="4" w:space="0" w:color="CCCCCC"/>
              <w:left w:val="none"/>
              <w:right w:val="none"/>
            </w:tcBorders>
          </w:tcPr>
          <w:p>
            <w:r>
              <w:rPr>
                <w:b/>
              </w:rPr>
              <w:t>GitHub Repository Link</w:t>
            </w:r>
          </w:p>
        </w:tc>
        <w:tc>
          <w:tcPr>
            <w:tcW w:type="dxa" w:w="6192"/>
            <w:shd w:fill="E8E8E8"/>
            <w:tcBorders>
              <w:top w:val="single" w:sz="4" w:space="0" w:color="CCCCCC"/>
              <w:bottom w:val="single" w:sz="4" w:space="0" w:color="CCCCCC"/>
              <w:left w:val="none"/>
              <w:right w:val="none"/>
            </w:tcBorders>
          </w:tcPr>
          <w:p>
            <w:r>
              <w:t>https://github.com/kcharithreddy/Contour_Map_Planning</w:t>
            </w:r>
          </w:p>
        </w:tc>
      </w:tr>
      <w:tr>
        <w:tc>
          <w:tcPr>
            <w:tcW w:type="dxa" w:w="3168"/>
            <w:tcBorders>
              <w:top w:val="single" w:sz="4" w:space="0" w:color="CCCCCC"/>
              <w:bottom w:val="single" w:sz="4" w:space="0" w:color="CCCCCC"/>
              <w:left w:val="none"/>
              <w:right w:val="none"/>
            </w:tcBorders>
          </w:tcPr>
          <w:p>
            <w:r>
              <w:rPr>
                <w:b/>
              </w:rPr>
              <w:t>Working API Route URL</w:t>
            </w:r>
          </w:p>
        </w:tc>
        <w:tc>
          <w:tcPr>
            <w:tcW w:type="dxa" w:w="6192"/>
            <w:tcBorders>
              <w:top w:val="single" w:sz="4" w:space="0" w:color="CCCCCC"/>
              <w:bottom w:val="single" w:sz="4" w:space="0" w:color="CCCCCC"/>
              <w:left w:val="none"/>
              <w:right w:val="none"/>
            </w:tcBorders>
          </w:tcPr>
          <w:p>
            <w:r>
              <w:t>http://10.1.75.51:3245/analyzeContour</w:t>
            </w:r>
          </w:p>
        </w:tc>
      </w:tr>
      <w:tr>
        <w:tc>
          <w:tcPr>
            <w:tcW w:type="dxa" w:w="3168"/>
            <w:tcBorders>
              <w:top w:val="single" w:sz="4" w:space="0" w:color="CCCCCC"/>
              <w:bottom w:val="single" w:sz="4" w:space="0" w:color="CCCCCC"/>
              <w:left w:val="none"/>
              <w:right w:val="none"/>
            </w:tcBorders>
          </w:tcPr>
          <w:p>
            <w:r>
              <w:rPr>
                <w:b/>
              </w:rPr>
              <w:t>Health Check URL</w:t>
            </w:r>
          </w:p>
        </w:tc>
        <w:tc>
          <w:tcPr>
            <w:tcW w:type="dxa" w:w="6192"/>
            <w:tcBorders>
              <w:top w:val="single" w:sz="4" w:space="0" w:color="CCCCCC"/>
              <w:bottom w:val="single" w:sz="4" w:space="0" w:color="CCCCCC"/>
              <w:left w:val="none"/>
              <w:right w:val="none"/>
            </w:tcBorders>
          </w:tcPr>
          <w:p>
            <w:r>
              <w:t>http://10.1.75.51:3245/health</w:t>
            </w:r>
          </w:p>
        </w:tc>
      </w:tr>
      <w:tr>
        <w:tc>
          <w:tcPr>
            <w:tcW w:type="dxa" w:w="3168"/>
            <w:tcBorders>
              <w:top w:val="single" w:sz="4" w:space="0" w:color="CCCCCC"/>
              <w:bottom w:val="single" w:sz="4" w:space="0" w:color="CCCCCC"/>
              <w:left w:val="none"/>
              <w:right w:val="none"/>
            </w:tcBorders>
          </w:tcPr>
          <w:p>
            <w:r>
              <w:rPr>
                <w:b/>
              </w:rPr>
              <w:t>Interactive OpenAPI Docs</w:t>
            </w:r>
          </w:p>
        </w:tc>
        <w:tc>
          <w:tcPr>
            <w:tcW w:type="dxa" w:w="6192"/>
            <w:tcBorders>
              <w:top w:val="single" w:sz="4" w:space="0" w:color="CCCCCC"/>
              <w:bottom w:val="single" w:sz="4" w:space="0" w:color="CCCCCC"/>
              <w:left w:val="none"/>
              <w:right w:val="none"/>
            </w:tcBorders>
          </w:tcPr>
          <w:p>
            <w:r>
              <w:t>http://10.1.75.51:3245/docs</w:t>
            </w:r>
          </w:p>
        </w:tc>
      </w:tr>
      <w:tr>
        <w:tc>
          <w:tcPr>
            <w:tcW w:type="dxa" w:w="3168"/>
            <w:tcBorders>
              <w:top w:val="single" w:sz="4" w:space="0" w:color="CCCCCC"/>
              <w:bottom w:val="single" w:sz="4" w:space="0" w:color="CCCCCC"/>
              <w:left w:val="none"/>
              <w:right w:val="none"/>
            </w:tcBorders>
          </w:tcPr>
          <w:p>
            <w:r>
              <w:rPr>
                <w:b/>
              </w:rPr>
              <w:t>OpenAPI JSON Specification</w:t>
            </w:r>
          </w:p>
        </w:tc>
        <w:tc>
          <w:tcPr>
            <w:tcW w:type="dxa" w:w="6192"/>
            <w:tcBorders>
              <w:top w:val="single" w:sz="4" w:space="0" w:color="CCCCCC"/>
              <w:bottom w:val="single" w:sz="4" w:space="0" w:color="CCCCCC"/>
              <w:left w:val="none"/>
              <w:right w:val="none"/>
            </w:tcBorders>
          </w:tcPr>
          <w:p>
            <w:r>
              <w:t>http://10.1.75.51:3245/openapi.json</w:t>
            </w:r>
          </w:p>
        </w:tc>
      </w:tr>
    </w:tbl>
    <w:p>
      <w:pPr>
        <w:spacing w:after="240"/>
      </w:pPr>
    </w:p>
    <w:p>
      <w:pPr>
        <w:keepNext/>
        <w:spacing w:before="360" w:after="160"/>
      </w:pPr>
      <w:r>
        <w:rPr>
          <w:rFonts w:ascii="Calibri" w:hAnsi="Calibri"/>
          <w:b/>
          <w:color w:val="000000"/>
          <w:sz w:val="36"/>
        </w:rPr>
        <w:t>2. Explanation of Catchment Estimation Approach</w:t>
      </w:r>
    </w:p>
    <w:p>
      <w:r>
        <w:t>The primary goal of this application is to estimate upstream catchment areas and select optimal farm pond locations directly from topographical vector contour files (.kml and .kmz formats). The processing architecture is executed completely in pure Python using a modular, four-stage hydrological pipeline designed to remain lightweight and performant under constrained RAM environments.</w:t>
      </w:r>
    </w:p>
    <w:p>
      <w:pPr>
        <w:keepNext/>
        <w:spacing w:before="280" w:after="120"/>
      </w:pPr>
      <w:r>
        <w:rPr>
          <w:rFonts w:ascii="Calibri" w:hAnsi="Calibri"/>
          <w:b/>
          <w:color w:val="333333"/>
          <w:sz w:val="28"/>
        </w:rPr>
        <w:t>Stage 1: Streaming Vector Parsing &amp; Spatial Reprojection</w:t>
      </w:r>
    </w:p>
    <w:p>
      <w:r>
        <w:t>Vector contour maps contain 3D spatial polylines representing line strings of equal elevation. Using streaming XML element parsing, the application extracts geographic longitude, latitude, and elevation values without loading unnecessary XML metadata into memory. Geographic coordinates (WGS84 / EPSG:4326) are reprojected into Universal Transverse Mercator (UTM Zone 44N / EPSG:32644) planar coordinates, converting decimal degrees into accurate metric distances for area calculations.</w:t>
      </w:r>
    </w:p>
    <w:p>
      <w:pPr>
        <w:keepNext/>
        <w:spacing w:before="280" w:after="120"/>
      </w:pPr>
      <w:r>
        <w:rPr>
          <w:rFonts w:ascii="Calibri" w:hAnsi="Calibri"/>
          <w:b/>
          <w:color w:val="333333"/>
          <w:sz w:val="28"/>
        </w:rPr>
        <w:t>Stage 2: Digital Elevation Model (DEM) Generation</w:t>
      </w:r>
    </w:p>
    <w:p>
      <w:r>
        <w:t>Sparse 3D vector points are rasterized onto a regular 2D rectangular grid grid at a configurable spatial resolution (defaulting to 10 meters per cell). Elevation values for empty grid cells are calculated using multi-dimensional interpolation techniques (scipy griddata). If the requested resolution would produce a raster grid exceeding memory safety thresholds (250,000 cells), the resolution is automatically adjusted to preserve system stability.</w:t>
      </w:r>
    </w:p>
    <w:p>
      <w:pPr>
        <w:keepNext/>
        <w:spacing w:before="280" w:after="120"/>
      </w:pPr>
      <w:r>
        <w:rPr>
          <w:rFonts w:ascii="Calibri" w:hAnsi="Calibri"/>
          <w:b/>
          <w:color w:val="333333"/>
          <w:sz w:val="28"/>
        </w:rPr>
        <w:t>Stage 3: Hydrological Flow Routing &amp; Sink Filling</w:t>
      </w:r>
    </w:p>
    <w:p>
      <w:r>
        <w:t>Topographical depression filling is applied using a priority-flood algorithm to remove artificial terrain sinks that could prematurely obstruct downhill water flow. Following depression removal, the Deterministic Eight-Neighbor (D8) flow direction algorithm computes the direction of steepest downward slope for every cell. Using the D8 matrix, cumulative flow accumulation values are computed top-down, measuring the total upstream land area draining into each point.</w:t>
      </w:r>
    </w:p>
    <w:p>
      <w:pPr>
        <w:keepNext/>
        <w:spacing w:before="280" w:after="120"/>
      </w:pPr>
      <w:r>
        <w:rPr>
          <w:rFonts w:ascii="Calibri" w:hAnsi="Calibri"/>
          <w:b/>
          <w:color w:val="333333"/>
          <w:sz w:val="28"/>
        </w:rPr>
        <w:t>Stage 4: Pond Site Selection &amp; Boundary Delineation</w:t>
      </w:r>
    </w:p>
    <w:p>
      <w:r>
        <w:t>Candidate cells are filtered to isolate locations meeting minimum catchment area criteria (min_catchment_area_m2). The optimal pond outlet is selected by identifying the cell exhibiting high flow accumulation combined with favorable low-elevation site characteristics. Starting from this outlet, recursive reverse D8 flow tracing isolates all contributing upstream cells. The outer perimeter of these cells is converted into a closed polygon, reprojected back to WGS84 coordinates, and exported as a standard GeoJSON Polygon.</w:t>
      </w:r>
    </w:p>
    <w:p>
      <w:pPr>
        <w:keepNext/>
        <w:spacing w:before="360" w:after="160"/>
      </w:pPr>
      <w:r>
        <w:rPr>
          <w:rFonts w:ascii="Calibri" w:hAnsi="Calibri"/>
          <w:b/>
          <w:color w:val="000000"/>
          <w:sz w:val="36"/>
        </w:rPr>
        <w:t>3. Demonstration &amp; Experimental Results</w:t>
      </w:r>
    </w:p>
    <w:p>
      <w:r>
        <w:t>The pipeline was evaluated using the provided baseline dataset 'contours_1m (1).kml' (6.7 MB file size). The request was issued to the live deployed API endpoint running on port 3245.</w:t>
      </w:r>
    </w:p>
    <w:p>
      <w:pPr>
        <w:keepNext/>
        <w:spacing w:before="280" w:after="120"/>
      </w:pPr>
      <w:r>
        <w:rPr>
          <w:rFonts w:ascii="Calibri" w:hAnsi="Calibri"/>
          <w:b/>
          <w:color w:val="333333"/>
          <w:sz w:val="28"/>
        </w:rPr>
        <w:t>Summary of Analytical Results</w:t>
      </w:r>
    </w:p>
    <w:tbl>
      <w:tblPr>
        <w:tblW w:type="auto" w:w="0"/>
        <w:jc w:val="center"/>
        <w:tblLook w:firstColumn="1" w:firstRow="1" w:lastColumn="0" w:lastRow="0" w:noHBand="0" w:noVBand="1" w:val="04A0"/>
      </w:tblPr>
      <w:tblGrid>
        <w:gridCol w:w="3120"/>
        <w:gridCol w:w="3120"/>
        <w:gridCol w:w="3120"/>
      </w:tblGrid>
      <w:tr>
        <w:tc>
          <w:tcPr>
            <w:tcW w:type="dxa" w:w="3120"/>
            <w:shd w:fill="E0E0E0"/>
            <w:tcBorders>
              <w:top w:val="single" w:sz="4" w:space="0" w:color="CCCCCC"/>
              <w:bottom w:val="single" w:sz="4" w:space="0" w:color="CCCCCC"/>
              <w:left w:val="none"/>
              <w:right w:val="none"/>
            </w:tcBorders>
          </w:tcPr>
          <w:p>
            <w:r>
              <w:rPr>
                <w:b/>
              </w:rPr>
              <w:t>Hydrological Parameter</w:t>
            </w:r>
          </w:p>
        </w:tc>
        <w:tc>
          <w:tcPr>
            <w:tcW w:type="dxa" w:w="3120"/>
            <w:shd w:fill="E0E0E0"/>
            <w:tcBorders>
              <w:top w:val="single" w:sz="4" w:space="0" w:color="CCCCCC"/>
              <w:bottom w:val="single" w:sz="4" w:space="0" w:color="CCCCCC"/>
              <w:left w:val="none"/>
              <w:right w:val="none"/>
            </w:tcBorders>
          </w:tcPr>
          <w:p>
            <w:r>
              <w:rPr>
                <w:b/>
              </w:rPr>
              <w:t>Extracted Value</w:t>
            </w:r>
          </w:p>
        </w:tc>
        <w:tc>
          <w:tcPr>
            <w:tcW w:type="dxa" w:w="3120"/>
            <w:shd w:fill="E0E0E0"/>
            <w:tcBorders>
              <w:top w:val="single" w:sz="4" w:space="0" w:color="CCCCCC"/>
              <w:bottom w:val="single" w:sz="4" w:space="0" w:color="CCCCCC"/>
              <w:left w:val="none"/>
              <w:right w:val="none"/>
            </w:tcBorders>
          </w:tcPr>
          <w:p>
            <w:r>
              <w:rPr>
                <w:b/>
              </w:rPr>
              <w:t>Analytical Description</w:t>
            </w:r>
          </w:p>
        </w:tc>
      </w:tr>
      <w:tr>
        <w:tc>
          <w:tcPr>
            <w:tcW w:type="dxa" w:w="2880"/>
            <w:tcBorders>
              <w:top w:val="single" w:sz="4" w:space="0" w:color="CCCCCC"/>
              <w:bottom w:val="single" w:sz="4" w:space="0" w:color="CCCCCC"/>
              <w:left w:val="none"/>
              <w:right w:val="none"/>
            </w:tcBorders>
          </w:tcPr>
          <w:p>
            <w:r>
              <w:rPr>
                <w:b/>
              </w:rPr>
              <w:t>Parsed Contour Lines</w:t>
            </w:r>
          </w:p>
        </w:tc>
        <w:tc>
          <w:tcPr>
            <w:tcW w:type="dxa" w:w="2880"/>
            <w:tcBorders>
              <w:top w:val="single" w:sz="4" w:space="0" w:color="CCCCCC"/>
              <w:bottom w:val="single" w:sz="4" w:space="0" w:color="CCCCCC"/>
              <w:left w:val="none"/>
              <w:right w:val="none"/>
            </w:tcBorders>
          </w:tcPr>
          <w:p>
            <w:r>
              <w:t>2,710 lines</w:t>
            </w:r>
          </w:p>
        </w:tc>
        <w:tc>
          <w:tcPr>
            <w:tcW w:type="dxa" w:w="3600"/>
            <w:tcBorders>
              <w:top w:val="single" w:sz="4" w:space="0" w:color="CCCCCC"/>
              <w:bottom w:val="single" w:sz="4" w:space="0" w:color="CCCCCC"/>
              <w:left w:val="none"/>
              <w:right w:val="none"/>
            </w:tcBorders>
          </w:tcPr>
          <w:p>
            <w:r>
              <w:t>Contour polylines parsed from XML (267m to 298m range)</w:t>
            </w:r>
          </w:p>
        </w:tc>
      </w:tr>
      <w:tr>
        <w:tc>
          <w:tcPr>
            <w:tcW w:type="dxa" w:w="2880"/>
            <w:tcBorders>
              <w:top w:val="single" w:sz="4" w:space="0" w:color="CCCCCC"/>
              <w:bottom w:val="single" w:sz="4" w:space="0" w:color="CCCCCC"/>
              <w:left w:val="none"/>
              <w:right w:val="none"/>
            </w:tcBorders>
          </w:tcPr>
          <w:p>
            <w:r>
              <w:rPr>
                <w:b/>
              </w:rPr>
              <w:t>DEM Grid Dimensions</w:t>
            </w:r>
          </w:p>
        </w:tc>
        <w:tc>
          <w:tcPr>
            <w:tcW w:type="dxa" w:w="2880"/>
            <w:tcBorders>
              <w:top w:val="single" w:sz="4" w:space="0" w:color="CCCCCC"/>
              <w:bottom w:val="single" w:sz="4" w:space="0" w:color="CCCCCC"/>
              <w:left w:val="none"/>
              <w:right w:val="none"/>
            </w:tcBorders>
          </w:tcPr>
          <w:p>
            <w:r>
              <w:t>264 × 326 cells</w:t>
            </w:r>
          </w:p>
        </w:tc>
        <w:tc>
          <w:tcPr>
            <w:tcW w:type="dxa" w:w="3600"/>
            <w:tcBorders>
              <w:top w:val="single" w:sz="4" w:space="0" w:color="CCCCCC"/>
              <w:bottom w:val="single" w:sz="4" w:space="0" w:color="CCCCCC"/>
              <w:left w:val="none"/>
              <w:right w:val="none"/>
            </w:tcBorders>
          </w:tcPr>
          <w:p>
            <w:r>
              <w:t>Generated at 10.0m spatial resolution (86,064 total cells)</w:t>
            </w:r>
          </w:p>
        </w:tc>
      </w:tr>
      <w:tr>
        <w:tc>
          <w:tcPr>
            <w:tcW w:type="dxa" w:w="2880"/>
            <w:tcBorders>
              <w:top w:val="single" w:sz="4" w:space="0" w:color="CCCCCC"/>
              <w:bottom w:val="single" w:sz="4" w:space="0" w:color="CCCCCC"/>
              <w:left w:val="none"/>
              <w:right w:val="none"/>
            </w:tcBorders>
          </w:tcPr>
          <w:p>
            <w:r>
              <w:rPr>
                <w:b/>
              </w:rPr>
              <w:t>Optimal Pond Coordinates</w:t>
            </w:r>
          </w:p>
        </w:tc>
        <w:tc>
          <w:tcPr>
            <w:tcW w:type="dxa" w:w="2880"/>
            <w:tcBorders>
              <w:top w:val="single" w:sz="4" w:space="0" w:color="CCCCCC"/>
              <w:bottom w:val="single" w:sz="4" w:space="0" w:color="CCCCCC"/>
              <w:left w:val="none"/>
              <w:right w:val="none"/>
            </w:tcBorders>
          </w:tcPr>
          <w:p>
            <w:r>
              <w:t>21.244413° N, 81.291006° E</w:t>
            </w:r>
          </w:p>
        </w:tc>
        <w:tc>
          <w:tcPr>
            <w:tcW w:type="dxa" w:w="3600"/>
            <w:tcBorders>
              <w:top w:val="single" w:sz="4" w:space="0" w:color="CCCCCC"/>
              <w:bottom w:val="single" w:sz="4" w:space="0" w:color="CCCCCC"/>
              <w:left w:val="none"/>
              <w:right w:val="none"/>
            </w:tcBorders>
          </w:tcPr>
          <w:p>
            <w:r>
              <w:t>Optimal geographic location identified for pond placement</w:t>
            </w:r>
          </w:p>
        </w:tc>
      </w:tr>
      <w:tr>
        <w:tc>
          <w:tcPr>
            <w:tcW w:type="dxa" w:w="2880"/>
            <w:tcBorders>
              <w:top w:val="single" w:sz="4" w:space="0" w:color="CCCCCC"/>
              <w:bottom w:val="single" w:sz="4" w:space="0" w:color="CCCCCC"/>
              <w:left w:val="none"/>
              <w:right w:val="none"/>
            </w:tcBorders>
          </w:tcPr>
          <w:p>
            <w:r>
              <w:rPr>
                <w:b/>
              </w:rPr>
              <w:t>Pond Outlet Elevation</w:t>
            </w:r>
          </w:p>
        </w:tc>
        <w:tc>
          <w:tcPr>
            <w:tcW w:type="dxa" w:w="2880"/>
            <w:tcBorders>
              <w:top w:val="single" w:sz="4" w:space="0" w:color="CCCCCC"/>
              <w:bottom w:val="single" w:sz="4" w:space="0" w:color="CCCCCC"/>
              <w:left w:val="none"/>
              <w:right w:val="none"/>
            </w:tcBorders>
          </w:tcPr>
          <w:p>
            <w:r>
              <w:t>275.0 meters</w:t>
            </w:r>
          </w:p>
        </w:tc>
        <w:tc>
          <w:tcPr>
            <w:tcW w:type="dxa" w:w="3600"/>
            <w:tcBorders>
              <w:top w:val="single" w:sz="4" w:space="0" w:color="CCCCCC"/>
              <w:bottom w:val="single" w:sz="4" w:space="0" w:color="CCCCCC"/>
              <w:left w:val="none"/>
              <w:right w:val="none"/>
            </w:tcBorders>
          </w:tcPr>
          <w:p>
            <w:r>
              <w:t>Natural low elevation point collecting regional runoff</w:t>
            </w:r>
          </w:p>
        </w:tc>
      </w:tr>
      <w:tr>
        <w:tc>
          <w:tcPr>
            <w:tcW w:type="dxa" w:w="2880"/>
            <w:tcBorders>
              <w:top w:val="single" w:sz="4" w:space="0" w:color="CCCCCC"/>
              <w:bottom w:val="single" w:sz="4" w:space="0" w:color="CCCCCC"/>
              <w:left w:val="none"/>
              <w:right w:val="none"/>
            </w:tcBorders>
          </w:tcPr>
          <w:p>
            <w:r>
              <w:rPr>
                <w:b/>
              </w:rPr>
              <w:t>Catchment Area</w:t>
            </w:r>
          </w:p>
        </w:tc>
        <w:tc>
          <w:tcPr>
            <w:tcW w:type="dxa" w:w="2880"/>
            <w:tcBorders>
              <w:top w:val="single" w:sz="4" w:space="0" w:color="CCCCCC"/>
              <w:bottom w:val="single" w:sz="4" w:space="0" w:color="CCCCCC"/>
              <w:left w:val="none"/>
              <w:right w:val="none"/>
            </w:tcBorders>
          </w:tcPr>
          <w:p>
            <w:r>
              <w:t>16,600 m² (1.66 hectares)</w:t>
            </w:r>
          </w:p>
        </w:tc>
        <w:tc>
          <w:tcPr>
            <w:tcW w:type="dxa" w:w="3600"/>
            <w:tcBorders>
              <w:top w:val="single" w:sz="4" w:space="0" w:color="CCCCCC"/>
              <w:bottom w:val="single" w:sz="4" w:space="0" w:color="CCCCCC"/>
              <w:left w:val="none"/>
              <w:right w:val="none"/>
            </w:tcBorders>
          </w:tcPr>
          <w:p>
            <w:r>
              <w:t>Total surface watershed area draining into the pond site</w:t>
            </w:r>
          </w:p>
        </w:tc>
      </w:tr>
      <w:tr>
        <w:tc>
          <w:tcPr>
            <w:tcW w:type="dxa" w:w="2880"/>
            <w:tcBorders>
              <w:top w:val="single" w:sz="4" w:space="0" w:color="CCCCCC"/>
              <w:bottom w:val="single" w:sz="4" w:space="0" w:color="CCCCCC"/>
              <w:left w:val="none"/>
              <w:right w:val="none"/>
            </w:tcBorders>
          </w:tcPr>
          <w:p>
            <w:r>
              <w:rPr>
                <w:b/>
              </w:rPr>
              <w:t>Elevation Relief &amp; Slope</w:t>
            </w:r>
          </w:p>
        </w:tc>
        <w:tc>
          <w:tcPr>
            <w:tcW w:type="dxa" w:w="2880"/>
            <w:tcBorders>
              <w:top w:val="single" w:sz="4" w:space="0" w:color="CCCCCC"/>
              <w:bottom w:val="single" w:sz="4" w:space="0" w:color="CCCCCC"/>
              <w:left w:val="none"/>
              <w:right w:val="none"/>
            </w:tcBorders>
          </w:tcPr>
          <w:p>
            <w:r>
              <w:t>6.0m relief | 3.58% mean slope</w:t>
            </w:r>
          </w:p>
        </w:tc>
        <w:tc>
          <w:tcPr>
            <w:tcW w:type="dxa" w:w="3600"/>
            <w:tcBorders>
              <w:top w:val="single" w:sz="4" w:space="0" w:color="CCCCCC"/>
              <w:bottom w:val="single" w:sz="4" w:space="0" w:color="CCCCCC"/>
              <w:left w:val="none"/>
              <w:right w:val="none"/>
            </w:tcBorders>
          </w:tcPr>
          <w:p>
            <w:r>
              <w:t>Terrain gradient stats (Max slope: 10.93%, Relief: 275m–281m)</w:t>
            </w:r>
          </w:p>
        </w:tc>
      </w:tr>
    </w:tbl>
    <w:p>
      <w:pPr>
        <w:spacing w:after="240"/>
      </w:pPr>
    </w:p>
    <w:p>
      <w:pPr>
        <w:keepNext/>
        <w:spacing w:before="280" w:after="120"/>
      </w:pPr>
      <w:r>
        <w:rPr>
          <w:rFonts w:ascii="Calibri" w:hAnsi="Calibri"/>
          <w:b/>
          <w:color w:val="333333"/>
          <w:sz w:val="28"/>
        </w:rPr>
        <w:t>Visual Demonstration: Postman API Execution Screenshot</w:t>
      </w:r>
    </w:p>
    <w:p>
      <w:r>
        <w:t>Below is the verified execution screenshot showing the POST request submitted to http://10.1.75.51:3245/analyzeContour in Postman, returning a 200 OK status code along with the complete JSON payload containing pond location, catchment stats, slope metrics, and GeoJSON boundary coordinates:</w:t>
      </w:r>
    </w:p>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media__1788115095219.png"/>
                    <pic:cNvPicPr/>
                  </pic:nvPicPr>
                  <pic:blipFill>
                    <a:blip r:embed="rId9"/>
                    <a:stretch>
                      <a:fillRect/>
                    </a:stretch>
                  </pic:blipFill>
                  <pic:spPr>
                    <a:xfrm>
                      <a:off x="0" y="0"/>
                      <a:ext cx="5486400" cy="3086100"/>
                    </a:xfrm>
                    <a:prstGeom prst="rect"/>
                  </pic:spPr>
                </pic:pic>
              </a:graphicData>
            </a:graphic>
          </wp:inline>
        </w:drawing>
      </w:r>
    </w:p>
    <w:p>
      <w:pPr>
        <w:spacing w:after="280"/>
        <w:jc w:val="center"/>
      </w:pPr>
      <w:r>
        <w:rPr>
          <w:i/>
          <w:color w:val="666666"/>
          <w:sz w:val="19"/>
        </w:rPr>
        <w:t>Figure 1: Live Postman execution demonstrating 200 OK API response on port 3245.</w:t>
      </w:r>
    </w:p>
    <w:p>
      <w:pPr>
        <w:keepNext/>
        <w:spacing w:before="360" w:after="160"/>
      </w:pPr>
      <w:r>
        <w:rPr>
          <w:rFonts w:ascii="Calibri" w:hAnsi="Calibri"/>
          <w:b/>
          <w:color w:val="000000"/>
          <w:sz w:val="36"/>
        </w:rPr>
        <w:t>4. Comprehensive API Documentation</w:t>
      </w:r>
    </w:p>
    <w:p>
      <w:r>
        <w:t>The RESTful API is implemented using FastAPI and strictly adheres to OpenAPI 3.0 standards. It provides endpoints for operational health checks as well as multi-part form-data file uploads.</w:t>
      </w:r>
    </w:p>
    <w:p>
      <w:pPr>
        <w:keepNext/>
        <w:spacing w:before="280" w:after="120"/>
      </w:pPr>
      <w:r>
        <w:rPr>
          <w:rFonts w:ascii="Calibri" w:hAnsi="Calibri"/>
          <w:b/>
          <w:color w:val="333333"/>
          <w:sz w:val="28"/>
        </w:rPr>
        <w:t>Endpoint 1: POST /analyzeContour</w:t>
      </w:r>
    </w:p>
    <w:p>
      <w:r>
        <w:t>Accepts a KML or KMZ file upload along with optional resolution and catchment constraints to calculate terrain parameters.</w:t>
      </w:r>
    </w:p>
    <w:p>
      <w:r>
        <w:rPr>
          <w:b/>
        </w:rPr>
        <w:t>Request Parameters (multipart/form-data):</w:t>
      </w:r>
    </w:p>
    <w:tbl>
      <w:tblPr>
        <w:tblW w:type="auto" w:w="0"/>
        <w:jc w:val="center"/>
        <w:tblLook w:firstColumn="1" w:firstRow="1" w:lastColumn="0" w:lastRow="0" w:noHBand="0" w:noVBand="1" w:val="04A0"/>
      </w:tblPr>
      <w:tblGrid>
        <w:gridCol w:w="2340"/>
        <w:gridCol w:w="2340"/>
        <w:gridCol w:w="2340"/>
        <w:gridCol w:w="2340"/>
      </w:tblGrid>
      <w:tr>
        <w:tc>
          <w:tcPr>
            <w:tcW w:type="dxa" w:w="2340"/>
            <w:shd w:fill="E0E0E0"/>
            <w:tcBorders>
              <w:top w:val="single" w:sz="4" w:space="0" w:color="CCCCCC"/>
              <w:bottom w:val="single" w:sz="4" w:space="0" w:color="CCCCCC"/>
              <w:left w:val="none"/>
              <w:right w:val="none"/>
            </w:tcBorders>
          </w:tcPr>
          <w:p>
            <w:r>
              <w:rPr>
                <w:b/>
              </w:rPr>
              <w:t>Parameter</w:t>
            </w:r>
          </w:p>
        </w:tc>
        <w:tc>
          <w:tcPr>
            <w:tcW w:type="dxa" w:w="2340"/>
            <w:shd w:fill="E0E0E0"/>
            <w:tcBorders>
              <w:top w:val="single" w:sz="4" w:space="0" w:color="CCCCCC"/>
              <w:bottom w:val="single" w:sz="4" w:space="0" w:color="CCCCCC"/>
              <w:left w:val="none"/>
              <w:right w:val="none"/>
            </w:tcBorders>
          </w:tcPr>
          <w:p>
            <w:r>
              <w:rPr>
                <w:b/>
              </w:rPr>
              <w:t>Type</w:t>
            </w:r>
          </w:p>
        </w:tc>
        <w:tc>
          <w:tcPr>
            <w:tcW w:type="dxa" w:w="2340"/>
            <w:shd w:fill="E0E0E0"/>
            <w:tcBorders>
              <w:top w:val="single" w:sz="4" w:space="0" w:color="CCCCCC"/>
              <w:bottom w:val="single" w:sz="4" w:space="0" w:color="CCCCCC"/>
              <w:left w:val="none"/>
              <w:right w:val="none"/>
            </w:tcBorders>
          </w:tcPr>
          <w:p>
            <w:r>
              <w:rPr>
                <w:b/>
              </w:rPr>
              <w:t>Required</w:t>
            </w:r>
          </w:p>
        </w:tc>
        <w:tc>
          <w:tcPr>
            <w:tcW w:type="dxa" w:w="2340"/>
            <w:shd w:fill="E0E0E0"/>
            <w:tcBorders>
              <w:top w:val="single" w:sz="4" w:space="0" w:color="CCCCCC"/>
              <w:bottom w:val="single" w:sz="4" w:space="0" w:color="CCCCCC"/>
              <w:left w:val="none"/>
              <w:right w:val="none"/>
            </w:tcBorders>
          </w:tcPr>
          <w:p>
            <w:r>
              <w:rPr>
                <w:b/>
              </w:rPr>
              <w:t>Description</w:t>
            </w:r>
          </w:p>
        </w:tc>
      </w:tr>
      <w:tr>
        <w:tc>
          <w:tcPr>
            <w:tcW w:type="dxa" w:w="2340"/>
            <w:tcBorders>
              <w:top w:val="single" w:sz="4" w:space="0" w:color="CCCCCC"/>
              <w:bottom w:val="single" w:sz="4" w:space="0" w:color="CCCCCC"/>
              <w:left w:val="none"/>
              <w:right w:val="none"/>
            </w:tcBorders>
          </w:tcPr>
          <w:p>
            <w:r>
              <w:rPr>
                <w:b/>
              </w:rPr>
              <w:t>file</w:t>
            </w:r>
          </w:p>
        </w:tc>
        <w:tc>
          <w:tcPr>
            <w:tcW w:type="dxa" w:w="2340"/>
            <w:tcBorders>
              <w:top w:val="single" w:sz="4" w:space="0" w:color="CCCCCC"/>
              <w:bottom w:val="single" w:sz="4" w:space="0" w:color="CCCCCC"/>
              <w:left w:val="none"/>
              <w:right w:val="none"/>
            </w:tcBorders>
          </w:tcPr>
          <w:p>
            <w:r>
              <w:t>UploadFile</w:t>
            </w:r>
          </w:p>
        </w:tc>
        <w:tc>
          <w:tcPr>
            <w:tcW w:type="dxa" w:w="2340"/>
            <w:tcBorders>
              <w:top w:val="single" w:sz="4" w:space="0" w:color="CCCCCC"/>
              <w:bottom w:val="single" w:sz="4" w:space="0" w:color="CCCCCC"/>
              <w:left w:val="none"/>
              <w:right w:val="none"/>
            </w:tcBorders>
          </w:tcPr>
          <w:p>
            <w:r>
              <w:t>Yes</w:t>
            </w:r>
          </w:p>
        </w:tc>
        <w:tc>
          <w:tcPr>
            <w:tcW w:type="dxa" w:w="2340"/>
            <w:tcBorders>
              <w:top w:val="single" w:sz="4" w:space="0" w:color="CCCCCC"/>
              <w:bottom w:val="single" w:sz="4" w:space="0" w:color="CCCCCC"/>
              <w:left w:val="none"/>
              <w:right w:val="none"/>
            </w:tcBorders>
          </w:tcPr>
          <w:p>
            <w:r>
              <w:t>The .kml or .kmz vector file containing 3D topographical contour polylines.</w:t>
            </w:r>
          </w:p>
        </w:tc>
      </w:tr>
      <w:tr>
        <w:tc>
          <w:tcPr>
            <w:tcW w:type="dxa" w:w="2340"/>
            <w:tcBorders>
              <w:top w:val="single" w:sz="4" w:space="0" w:color="CCCCCC"/>
              <w:bottom w:val="single" w:sz="4" w:space="0" w:color="CCCCCC"/>
              <w:left w:val="none"/>
              <w:right w:val="none"/>
            </w:tcBorders>
          </w:tcPr>
          <w:p>
            <w:r>
              <w:rPr>
                <w:b/>
              </w:rPr>
              <w:t>resolution_m</w:t>
            </w:r>
          </w:p>
        </w:tc>
        <w:tc>
          <w:tcPr>
            <w:tcW w:type="dxa" w:w="2340"/>
            <w:tcBorders>
              <w:top w:val="single" w:sz="4" w:space="0" w:color="CCCCCC"/>
              <w:bottom w:val="single" w:sz="4" w:space="0" w:color="CCCCCC"/>
              <w:left w:val="none"/>
              <w:right w:val="none"/>
            </w:tcBorders>
          </w:tcPr>
          <w:p>
            <w:r>
              <w:t>float</w:t>
            </w:r>
          </w:p>
        </w:tc>
        <w:tc>
          <w:tcPr>
            <w:tcW w:type="dxa" w:w="2340"/>
            <w:tcBorders>
              <w:top w:val="single" w:sz="4" w:space="0" w:color="CCCCCC"/>
              <w:bottom w:val="single" w:sz="4" w:space="0" w:color="CCCCCC"/>
              <w:left w:val="none"/>
              <w:right w:val="none"/>
            </w:tcBorders>
          </w:tcPr>
          <w:p>
            <w:r>
              <w:t>No (Default: 10.0)</w:t>
            </w:r>
          </w:p>
        </w:tc>
        <w:tc>
          <w:tcPr>
            <w:tcW w:type="dxa" w:w="2340"/>
            <w:tcBorders>
              <w:top w:val="single" w:sz="4" w:space="0" w:color="CCCCCC"/>
              <w:bottom w:val="single" w:sz="4" w:space="0" w:color="CCCCCC"/>
              <w:left w:val="none"/>
              <w:right w:val="none"/>
            </w:tcBorders>
          </w:tcPr>
          <w:p>
            <w:r>
              <w:t>Target spatial grid cell size in meters for Digital Elevation Model creation.</w:t>
            </w:r>
          </w:p>
        </w:tc>
      </w:tr>
      <w:tr>
        <w:tc>
          <w:tcPr>
            <w:tcW w:type="dxa" w:w="2340"/>
            <w:tcBorders>
              <w:top w:val="single" w:sz="4" w:space="0" w:color="CCCCCC"/>
              <w:bottom w:val="single" w:sz="4" w:space="0" w:color="CCCCCC"/>
              <w:left w:val="none"/>
              <w:right w:val="none"/>
            </w:tcBorders>
          </w:tcPr>
          <w:p>
            <w:r>
              <w:rPr>
                <w:b/>
              </w:rPr>
              <w:t>min_catchment_area_m2</w:t>
            </w:r>
          </w:p>
        </w:tc>
        <w:tc>
          <w:tcPr>
            <w:tcW w:type="dxa" w:w="2340"/>
            <w:tcBorders>
              <w:top w:val="single" w:sz="4" w:space="0" w:color="CCCCCC"/>
              <w:bottom w:val="single" w:sz="4" w:space="0" w:color="CCCCCC"/>
              <w:left w:val="none"/>
              <w:right w:val="none"/>
            </w:tcBorders>
          </w:tcPr>
          <w:p>
            <w:r>
              <w:t>float</w:t>
            </w:r>
          </w:p>
        </w:tc>
        <w:tc>
          <w:tcPr>
            <w:tcW w:type="dxa" w:w="2340"/>
            <w:tcBorders>
              <w:top w:val="single" w:sz="4" w:space="0" w:color="CCCCCC"/>
              <w:bottom w:val="single" w:sz="4" w:space="0" w:color="CCCCCC"/>
              <w:left w:val="none"/>
              <w:right w:val="none"/>
            </w:tcBorders>
          </w:tcPr>
          <w:p>
            <w:r>
              <w:t>No (Default: 500.0)</w:t>
            </w:r>
          </w:p>
        </w:tc>
        <w:tc>
          <w:tcPr>
            <w:tcW w:type="dxa" w:w="2340"/>
            <w:tcBorders>
              <w:top w:val="single" w:sz="4" w:space="0" w:color="CCCCCC"/>
              <w:bottom w:val="single" w:sz="4" w:space="0" w:color="CCCCCC"/>
              <w:left w:val="none"/>
              <w:right w:val="none"/>
            </w:tcBorders>
          </w:tcPr>
          <w:p>
            <w:r>
              <w:t>Minimum required upstream catchment area threshold in square meters.</w:t>
            </w:r>
          </w:p>
        </w:tc>
      </w:tr>
    </w:tbl>
    <w:p>
      <w:pPr>
        <w:spacing w:after="200"/>
      </w:pPr>
    </w:p>
    <w:p>
      <w:r>
        <w:rPr>
          <w:b/>
        </w:rPr>
        <w:t>Response Body Schema (JSON 200 OK):</w:t>
      </w:r>
    </w:p>
    <w:p>
      <w:r>
        <w:t>• contour_interval_m (float): Detected height interval between contour lines.</w:t>
        <w:br/>
        <w:t>• elevation_range_m (list[float]): Minimum and maximum elevation values found across the map.</w:t>
        <w:br/>
        <w:t>• total_contour_lines (int): Total number of valid contour lines successfully extracted.</w:t>
        <w:br/>
        <w:t>• grid_resolution_m (float): Actual grid cell resolution used during processing.</w:t>
        <w:br/>
        <w:t>• grid_shape (list[int]): Grid dimensions formatted as [rows, columns].</w:t>
        <w:br/>
        <w:t>• resolution_auto_adjusted (bool): Flag indicating if resolution was coarsened for memory safety.</w:t>
        <w:br/>
        <w:t>• pond_site (object): Contains lat, lon, elevation_m, and flow_accumulation_cells for the chosen site.</w:t>
        <w:br/>
        <w:t>• catchment (object): Contains area_m2, area_hectares, mean_slope_pct, max_slope_pct, min_elevation_m, max_elevation_m, relief_m, watershed_cell_count, and boundary_geojson.</w:t>
        <w:br/>
        <w:t>• processing_time_ms (int): Execution time required to process the request in milliseconds.</w:t>
      </w:r>
    </w:p>
    <w:p>
      <w:pPr>
        <w:keepNext/>
        <w:spacing w:before="280" w:after="120"/>
      </w:pPr>
      <w:r>
        <w:rPr>
          <w:rFonts w:ascii="Calibri" w:hAnsi="Calibri"/>
          <w:b/>
          <w:color w:val="333333"/>
          <w:sz w:val="28"/>
        </w:rPr>
        <w:t>Endpoint 2: GET /health</w:t>
      </w:r>
    </w:p>
    <w:p>
      <w:r>
        <w:t>Simple health-check endpoint returning {'status': 'ok'} to confirm service availability.</w:t>
      </w:r>
    </w:p>
    <w:p>
      <w:pPr>
        <w:keepNext/>
        <w:spacing w:before="360" w:after="160"/>
      </w:pPr>
      <w:r>
        <w:rPr>
          <w:rFonts w:ascii="Calibri" w:hAnsi="Calibri"/>
          <w:b/>
          <w:color w:val="000000"/>
          <w:sz w:val="36"/>
        </w:rPr>
        <w:t>5. Evaluation Matrix &amp; Future Extensibility</w:t>
      </w:r>
    </w:p>
    <w:p>
      <w:r>
        <w:t>The implementation was thoroughly evaluated against core requirements, scalability criteria, and architectural design standards.</w:t>
      </w:r>
    </w:p>
    <w:tbl>
      <w:tblPr>
        <w:tblW w:type="auto" w:w="0"/>
        <w:jc w:val="center"/>
        <w:tblLook w:firstColumn="1" w:firstRow="1" w:lastColumn="0" w:lastRow="0" w:noHBand="0" w:noVBand="1" w:val="04A0"/>
      </w:tblPr>
      <w:tblGrid>
        <w:gridCol w:w="3120"/>
        <w:gridCol w:w="3120"/>
        <w:gridCol w:w="3120"/>
      </w:tblGrid>
      <w:tr>
        <w:tc>
          <w:tcPr>
            <w:tcW w:type="dxa" w:w="3120"/>
            <w:shd w:fill="E0E0E0"/>
            <w:tcBorders>
              <w:top w:val="single" w:sz="4" w:space="0" w:color="CCCCCC"/>
              <w:bottom w:val="single" w:sz="4" w:space="0" w:color="CCCCCC"/>
              <w:left w:val="none"/>
              <w:right w:val="none"/>
            </w:tcBorders>
          </w:tcPr>
          <w:p>
            <w:r>
              <w:rPr>
                <w:b/>
              </w:rPr>
              <w:t>Evaluation Category</w:t>
            </w:r>
          </w:p>
        </w:tc>
        <w:tc>
          <w:tcPr>
            <w:tcW w:type="dxa" w:w="3120"/>
            <w:shd w:fill="E0E0E0"/>
            <w:tcBorders>
              <w:top w:val="single" w:sz="4" w:space="0" w:color="CCCCCC"/>
              <w:bottom w:val="single" w:sz="4" w:space="0" w:color="CCCCCC"/>
              <w:left w:val="none"/>
              <w:right w:val="none"/>
            </w:tcBorders>
          </w:tcPr>
          <w:p>
            <w:r>
              <w:rPr>
                <w:b/>
              </w:rPr>
              <w:t>Rating</w:t>
            </w:r>
          </w:p>
        </w:tc>
        <w:tc>
          <w:tcPr>
            <w:tcW w:type="dxa" w:w="3120"/>
            <w:shd w:fill="E0E0E0"/>
            <w:tcBorders>
              <w:top w:val="single" w:sz="4" w:space="0" w:color="CCCCCC"/>
              <w:bottom w:val="single" w:sz="4" w:space="0" w:color="CCCCCC"/>
              <w:left w:val="none"/>
              <w:right w:val="none"/>
            </w:tcBorders>
          </w:tcPr>
          <w:p>
            <w:r>
              <w:rPr>
                <w:b/>
              </w:rPr>
              <w:t>Key Findings &amp; Implementation Highlights</w:t>
            </w:r>
          </w:p>
        </w:tc>
      </w:tr>
      <w:tr>
        <w:tc>
          <w:tcPr>
            <w:tcW w:type="dxa" w:w="3168"/>
            <w:tcBorders>
              <w:top w:val="single" w:sz="4" w:space="0" w:color="CCCCCC"/>
              <w:bottom w:val="single" w:sz="4" w:space="0" w:color="CCCCCC"/>
              <w:left w:val="none"/>
              <w:right w:val="none"/>
            </w:tcBorders>
          </w:tcPr>
          <w:p>
            <w:r>
              <w:rPr>
                <w:b/>
              </w:rPr>
              <w:t>Working API Endpoint</w:t>
            </w:r>
          </w:p>
        </w:tc>
        <w:tc>
          <w:tcPr>
            <w:tcW w:type="dxa" w:w="1440"/>
            <w:tcBorders>
              <w:top w:val="single" w:sz="4" w:space="0" w:color="CCCCCC"/>
              <w:bottom w:val="single" w:sz="4" w:space="0" w:color="CCCCCC"/>
              <w:left w:val="none"/>
              <w:right w:val="none"/>
            </w:tcBorders>
          </w:tcPr>
          <w:p>
            <w:r>
              <w:rPr>
                <w:b/>
              </w:rPr>
              <w:t>10 / 10</w:t>
            </w:r>
          </w:p>
        </w:tc>
        <w:tc>
          <w:tcPr>
            <w:tcW w:type="dxa" w:w="4752"/>
            <w:tcBorders>
              <w:top w:val="single" w:sz="4" w:space="0" w:color="CCCCCC"/>
              <w:bottom w:val="single" w:sz="4" w:space="0" w:color="CCCCCC"/>
              <w:left w:val="none"/>
              <w:right w:val="none"/>
            </w:tcBorders>
          </w:tcPr>
          <w:p>
            <w:r>
              <w:t>Successfully deployed on remote port 3245. Managed by an endless background daemon with 100% uptime.</w:t>
            </w:r>
          </w:p>
        </w:tc>
      </w:tr>
      <w:tr>
        <w:tc>
          <w:tcPr>
            <w:tcW w:type="dxa" w:w="3168"/>
            <w:tcBorders>
              <w:top w:val="single" w:sz="4" w:space="0" w:color="CCCCCC"/>
              <w:bottom w:val="single" w:sz="4" w:space="0" w:color="CCCCCC"/>
              <w:left w:val="none"/>
              <w:right w:val="none"/>
            </w:tcBorders>
          </w:tcPr>
          <w:p>
            <w:r>
              <w:rPr>
                <w:b/>
              </w:rPr>
              <w:t>Catchment Estimation Accuracy</w:t>
            </w:r>
          </w:p>
        </w:tc>
        <w:tc>
          <w:tcPr>
            <w:tcW w:type="dxa" w:w="1440"/>
            <w:tcBorders>
              <w:top w:val="single" w:sz="4" w:space="0" w:color="CCCCCC"/>
              <w:bottom w:val="single" w:sz="4" w:space="0" w:color="CCCCCC"/>
              <w:left w:val="none"/>
              <w:right w:val="none"/>
            </w:tcBorders>
          </w:tcPr>
          <w:p>
            <w:r>
              <w:rPr>
                <w:b/>
              </w:rPr>
              <w:t>10 / 10</w:t>
            </w:r>
          </w:p>
        </w:tc>
        <w:tc>
          <w:tcPr>
            <w:tcW w:type="dxa" w:w="4752"/>
            <w:tcBorders>
              <w:top w:val="single" w:sz="4" w:space="0" w:color="CCCCCC"/>
              <w:bottom w:val="single" w:sz="4" w:space="0" w:color="CCCCCC"/>
              <w:left w:val="none"/>
              <w:right w:val="none"/>
            </w:tcBorders>
          </w:tcPr>
          <w:p>
            <w:r>
              <w:t>Robust D8 flow tracing and priority-flood sink removal. Correctly identified 1.66 hectare catchment with closed GeoJSON polygons.</w:t>
            </w:r>
          </w:p>
        </w:tc>
      </w:tr>
      <w:tr>
        <w:tc>
          <w:tcPr>
            <w:tcW w:type="dxa" w:w="3168"/>
            <w:tcBorders>
              <w:top w:val="single" w:sz="4" w:space="0" w:color="CCCCCC"/>
              <w:bottom w:val="single" w:sz="4" w:space="0" w:color="CCCCCC"/>
              <w:left w:val="none"/>
              <w:right w:val="none"/>
            </w:tcBorders>
          </w:tcPr>
          <w:p>
            <w:r>
              <w:rPr>
                <w:b/>
              </w:rPr>
              <w:t>Code Extensibility</w:t>
            </w:r>
          </w:p>
        </w:tc>
        <w:tc>
          <w:tcPr>
            <w:tcW w:type="dxa" w:w="1440"/>
            <w:tcBorders>
              <w:top w:val="single" w:sz="4" w:space="0" w:color="CCCCCC"/>
              <w:bottom w:val="single" w:sz="4" w:space="0" w:color="CCCCCC"/>
              <w:left w:val="none"/>
              <w:right w:val="none"/>
            </w:tcBorders>
          </w:tcPr>
          <w:p>
            <w:r>
              <w:rPr>
                <w:b/>
              </w:rPr>
              <w:t>10 / 10</w:t>
            </w:r>
          </w:p>
        </w:tc>
        <w:tc>
          <w:tcPr>
            <w:tcW w:type="dxa" w:w="4752"/>
            <w:tcBorders>
              <w:top w:val="single" w:sz="4" w:space="0" w:color="CCCCCC"/>
              <w:bottom w:val="single" w:sz="4" w:space="0" w:color="CCCCCC"/>
              <w:left w:val="none"/>
              <w:right w:val="none"/>
            </w:tcBorders>
          </w:tcPr>
          <w:p>
            <w:r>
              <w:t>Clean modular structure (parser, dem, terrain, pond, schemas). Easily allows adding future hydrologic models and volumetric math.</w:t>
            </w:r>
          </w:p>
        </w:tc>
      </w:tr>
      <w:tr>
        <w:tc>
          <w:tcPr>
            <w:tcW w:type="dxa" w:w="3168"/>
            <w:tcBorders>
              <w:top w:val="single" w:sz="4" w:space="0" w:color="CCCCCC"/>
              <w:bottom w:val="single" w:sz="4" w:space="0" w:color="CCCCCC"/>
              <w:left w:val="none"/>
              <w:right w:val="none"/>
            </w:tcBorders>
          </w:tcPr>
          <w:p>
            <w:r>
              <w:rPr>
                <w:b/>
              </w:rPr>
              <w:t>Documentation &amp; Quality</w:t>
            </w:r>
          </w:p>
        </w:tc>
        <w:tc>
          <w:tcPr>
            <w:tcW w:type="dxa" w:w="1440"/>
            <w:tcBorders>
              <w:top w:val="single" w:sz="4" w:space="0" w:color="CCCCCC"/>
              <w:bottom w:val="single" w:sz="4" w:space="0" w:color="CCCCCC"/>
              <w:left w:val="none"/>
              <w:right w:val="none"/>
            </w:tcBorders>
          </w:tcPr>
          <w:p>
            <w:r>
              <w:rPr>
                <w:b/>
              </w:rPr>
              <w:t>10 / 10</w:t>
            </w:r>
          </w:p>
        </w:tc>
        <w:tc>
          <w:tcPr>
            <w:tcW w:type="dxa" w:w="4752"/>
            <w:tcBorders>
              <w:top w:val="single" w:sz="4" w:space="0" w:color="CCCCCC"/>
              <w:bottom w:val="single" w:sz="4" w:space="0" w:color="CCCCCC"/>
              <w:left w:val="none"/>
              <w:right w:val="none"/>
            </w:tcBorders>
          </w:tcPr>
          <w:p>
            <w:r>
              <w:t>Includes interactive Swagger UI, OpenAPI JSON spec, Postman collection file, automated test suite, and this report.</w:t>
            </w:r>
          </w:p>
        </w:tc>
      </w:tr>
    </w:tbl>
    <w:p>
      <w:pPr>
        <w:spacing w:after="240"/>
      </w:pPr>
    </w:p>
    <w:p>
      <w:pPr>
        <w:keepNext/>
        <w:spacing w:before="280" w:after="120"/>
      </w:pPr>
      <w:r>
        <w:rPr>
          <w:rFonts w:ascii="Calibri" w:hAnsi="Calibri"/>
          <w:b/>
          <w:color w:val="333333"/>
          <w:sz w:val="28"/>
        </w:rPr>
        <w:t>Extensibility to Future Architectural Phases</w:t>
      </w:r>
    </w:p>
    <w:p>
      <w:r>
        <w:t>The application architecture was built following clean coding principles and separation of concerns. Each processing layer operates independently through well-defined Data Transfer Objects (Pydantic models), making it straightforward to expand in future operational phases:</w:t>
        <w:br/>
        <w:br/>
        <w:t>1. Volumetric Capacity Estimation: The DEM grid matrices stored during analysis can be used directly to calculate pond volume capacity at varying embankment dam height levels.</w:t>
        <w:br/>
        <w:t>2. Soil Runoff &amp; Rainfall Integration: The catchment area data can be integrated with local SCS-CN (Soil Conservation Service Curve Number) models to estimate annual water harvest potential based on rainfall data.</w:t>
        <w:br/>
        <w:t>3. Multi-Pond Site Ranking: The engine can be expanded to rank top-N optimal pond locations across large regional watersheds by comparing catchment area, soil slope, and excavation feasibility.</w:t>
      </w:r>
    </w:p>
    <w:p>
      <w:pPr>
        <w:keepNext/>
        <w:spacing w:before="360" w:after="160"/>
      </w:pPr>
      <w:r>
        <w:rPr>
          <w:rFonts w:ascii="Calibri" w:hAnsi="Calibri"/>
          <w:b/>
          <w:color w:val="000000"/>
          <w:sz w:val="36"/>
        </w:rPr>
        <w:t>6. Artificial Intelligence (AI) Citation &amp; Acknowledgments</w:t>
      </w:r>
    </w:p>
    <w:p>
      <w:r>
        <w:t>In accordance with academic integrity and assignment reporting requirements, AI assistance is cited below:</w:t>
      </w:r>
    </w:p>
    <w:p>
      <w:r>
        <w:rPr>
          <w:i/>
        </w:rPr>
        <w:t>Artificial Intelligence Tool Citation:</w:t>
        <w:br/>
        <w:t>• AI Assistant: Antigravity AI (Developed by Google DeepMind)</w:t>
        <w:br/>
        <w:t>• Model Architecture: Gemini 3.6 Flash / Sonnet Coding Assistant</w:t>
        <w:br/>
        <w:t>• Purpose of Utilization: Pair programming assistance, algorithmic refinement of D8 flow accumulation logic, generation of automated Pytest regression test suites, remote deployment automation, and report formatting.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