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3D6B"/>
          <w:sz w:val="48"/>
          <w:szCs w:val="48"/>
        </w:rPr>
        <w:t xml:space="preserve">Multimodal Hyperspectral Imaging</w:t>
      </w:r>
    </w:p>
    <w:p>
      <w:pPr>
        <w:spacing w:after="60"/>
        <w:jc w:val="center"/>
      </w:pPr>
      <w:r>
        <w:rPr>
          <w:b/>
          <w:bCs/>
          <w:color w:val="2E6DA4"/>
          <w:sz w:val="30"/>
          <w:szCs w:val="30"/>
        </w:rPr>
        <w:t xml:space="preserve">Classification &amp; Segmentation — Extended Literature Review</w:t>
      </w:r>
    </w:p>
    <w:p>
      <w:pPr>
        <w:spacing w:after="40"/>
        <w:jc w:val="center"/>
      </w:pPr>
      <w:r>
        <w:rPr>
          <w:i/>
          <w:iCs/>
          <w:color w:val="555555"/>
          <w:sz w:val="22"/>
          <w:szCs w:val="22"/>
        </w:rPr>
        <w:t xml:space="preserve">Three Application Domains: Remote Sensing  |  Medical Imaging  |  Solid Waste Recycling</w:t>
      </w:r>
    </w:p>
    <w:p>
      <w:pPr>
        <w:spacing w:after="40"/>
        <w:jc w:val="center"/>
      </w:pPr>
      <w:r>
        <w:rPr>
          <w:i/>
          <w:iCs/>
          <w:color w:val="2E6DA4"/>
          <w:sz w:val="20"/>
          <w:szCs w:val="20"/>
        </w:rPr>
        <w:t xml:space="preserve">Methods: Machine Learning  |  CNN / Deep Learning  |  Transformers  |  Mamba / SSM</w:t>
      </w:r>
    </w:p>
    <w:p>
      <w:pPr>
        <w:pBdr>
          <w:bottom w:val="single" w:color="0B3D6B" w:sz="6" w:space="1"/>
        </w:pBdr>
        <w:spacing w:after="200"/>
      </w:pPr>
    </w:p>
    <w:p>
      <w:pPr>
        <w:spacing w:after="130"/>
      </w:pPr>
      <w:r>
        <w:rPr>
          <w:sz w:val="22"/>
          <w:szCs w:val="22"/>
        </w:rPr>
        <w:t xml:space="preserve">This document provides a comprehensive structured literature review of multimodal hyperspectral image classification and segmentation methods, organized by application domain and algorithmic approach. Multimodal fusion integrates complementary information sources -- typically hyperspectral imagery (HSI) with LiDAR, SAR, multispectral, RGB, or depth data -- to overcome the limitations of single-modality analysis. The review covers machine learning methods (SVM, RF, PLS-DA, KNN), convolutional deep learning architectures (CNNs, ResNets, GANs), attention-based Transformer models, and the emerging Mamba/SSM family, across three high-impact application domains.</w:t>
      </w:r>
    </w:p>
    <w:p>
      <w:pPr>
        <w:spacing w:after="80"/>
      </w:pPr>
    </w:p>
    <w:p>
      <w:r>
        <w:br w:type="page"/>
      </w:r>
    </w:p>
    <w:p>
      <w:pPr>
        <w:pBdr>
          <w:bottom w:val="single" w:color="0B3D6B" w:sz="3" w:space="1"/>
        </w:pBdr>
        <w:spacing w:after="60" w:before="200"/>
      </w:pPr>
      <w:r>
        <w:rPr>
          <w:b/>
          <w:bCs/>
          <w:color w:val="0B3D6B"/>
          <w:sz w:val="28"/>
          <w:szCs w:val="28"/>
        </w:rPr>
        <w:t xml:space="preserve">DOMAIN I -- REMOTE SENSING  (~20 Articles)</w:t>
      </w:r>
    </w:p>
    <w:p>
      <w:pPr>
        <w:spacing w:after="130"/>
      </w:pPr>
      <w:r>
        <w:rPr>
          <w:sz w:val="22"/>
          <w:szCs w:val="22"/>
        </w:rPr>
        <w:t xml:space="preserve">Hyperspectral remote sensing enables fine-grained land cover mapping, urban scene analysis, and environmental monitoring by fusing rich spectral information with complementary modalities such as LiDAR elevation data, SAR backscatter, or multispectral imagery. The articles below span classical ML baselines, deep CNN architectures, Transformer-based fusion, and Mamba-based methods.</w:t>
      </w:r>
    </w:p>
    <w:p>
      <w:pPr>
        <w:spacing w:after="80"/>
      </w:pPr>
    </w:p>
    <w:p>
      <w:pPr>
        <w:pBdr>
          <w:bottom w:val="single" w:color="0B3D6B" w:sz="6" w:space="1"/>
        </w:pBdr>
        <w:spacing w:after="80" w:before="100"/>
      </w:pPr>
      <w:r>
        <w:rPr>
          <w:b/>
          <w:bCs/>
          <w:color w:val="0B3D6B"/>
          <w:sz w:val="32"/>
          <w:szCs w:val="32"/>
        </w:rPr>
        <w:t xml:space="preserve">A. Machine Learning Methods -- Remote Sensing</w:t>
      </w:r>
    </w:p>
    <w:p>
      <w:pPr>
        <w:spacing w:after="80" w:before="220"/>
      </w:pPr>
      <w:r>
        <w:rPr>
          <w:b/>
          <w:bCs/>
          <w:color w:val="0B3D6B"/>
          <w:sz w:val="26"/>
          <w:szCs w:val="26"/>
        </w:rPr>
        <w:t xml:space="preserve">RS-ML-1.  SVM + Multi-Kernel Learning for HSI+LiDAR Classification (Debes et al., 2014, IEEE TGRS)</w:t>
      </w:r>
    </w:p>
    <w:p>
      <w:pPr>
        <w:spacing w:after="90"/>
      </w:pPr>
      <w:r>
        <w:rPr>
          <w:i/>
          <w:iCs/>
          <w:color w:val="555555"/>
          <w:sz w:val="19"/>
          <w:szCs w:val="19"/>
        </w:rPr>
        <w:t xml:space="preserve">Reference: Debes, C., Merentitis, A., Heremans, R., et al. (2014). Hyperspectral and LiDAR Data Fusion: Outcome of the 2013 GRSS Data Fusion Contest. IEEE JSTARS, 7(6), 2405-2418. DOI:10.1109/JSTARS.2014.2305441. [Foundational benchmark; 900+ citations]</w:t>
      </w:r>
    </w:p>
    <w:p>
      <w:pPr>
        <w:spacing w:after="60" w:before="140"/>
      </w:pPr>
      <w:r>
        <w:rPr>
          <w:b/>
          <w:bCs/>
          <w:color w:val="2E6DA4"/>
          <w:sz w:val="22"/>
          <w:szCs w:val="22"/>
        </w:rPr>
        <w:t xml:space="preserve">Scientific Summary:</w:t>
      </w:r>
    </w:p>
    <w:p>
      <w:pPr>
        <w:spacing w:after="130"/>
      </w:pPr>
      <w:r>
        <w:rPr>
          <w:sz w:val="22"/>
          <w:szCs w:val="22"/>
        </w:rPr>
        <w:t xml:space="preserve">Debes et al. (2014) introduced a landmark multimodal fusion benchmark through the GRSS 2013 Data Fusion Contest, providing the now-canonical Houston dataset combining hyperspectral imagery and LiDAR data. The paper systematically evaluates classical machine learning classifiers -- including SVM with composite spectral-elevation kernels, Random Forest, and morphological feature profiles -- for joint land cover classification. Feature-level fusion strategies combining HSI spectral vectors with LiDAR-derived elevation histograms and DSMs are compared, with SVM consistently achieving the best baseline performance due to its effective handling of high-dimensional combined feature vectors. The paper establishes the principal evaluation protocol still used by the community for multimodal HSI+LiDAR classification benchmarking.</w:t>
      </w:r>
    </w:p>
    <w:p>
      <w:pPr>
        <w:spacing w:after="60" w:before="140"/>
      </w:pPr>
      <w:r>
        <w:rPr>
          <w:b/>
          <w:bCs/>
          <w:color w:val="1B5E20"/>
          <w:sz w:val="22"/>
          <w:szCs w:val="22"/>
        </w:rPr>
        <w:t xml:space="preserve">Advantages:</w:t>
      </w:r>
    </w:p>
    <w:p>
      <w:pPr>
        <w:spacing w:after="130"/>
      </w:pPr>
      <w:r>
        <w:rPr>
          <w:color w:val="1B5E20"/>
          <w:sz w:val="22"/>
          <w:szCs w:val="22"/>
        </w:rPr>
        <w:t xml:space="preserve">Foundational benchmark that unified the multimodal HSI+LiDAR research community around a common dataset and evaluation protocol. SVM with composite kernels provides an efficient, theoretically grounded baseline that remains competitive with early deep learning methods under limited labeled data.</w:t>
      </w:r>
    </w:p>
    <w:p>
      <w:pPr>
        <w:spacing w:after="60" w:before="140"/>
      </w:pPr>
      <w:r>
        <w:rPr>
          <w:b/>
          <w:bCs/>
          <w:color w:val="B71C1C"/>
          <w:sz w:val="22"/>
          <w:szCs w:val="22"/>
        </w:rPr>
        <w:t xml:space="preserve">Limitations:</w:t>
      </w:r>
    </w:p>
    <w:p>
      <w:pPr>
        <w:spacing w:after="130"/>
      </w:pPr>
      <w:r>
        <w:rPr>
          <w:color w:val="B71C1C"/>
          <w:sz w:val="22"/>
          <w:szCs w:val="22"/>
        </w:rPr>
        <w:t xml:space="preserve">Classical ML methods do not learn hierarchical feature representations from raw data and rely on manually engineered features (elevation histograms, morphological profiles). No spatial context modeling beyond fixed neighborhood filters.</w:t>
      </w:r>
    </w:p>
    <w:p>
      <w:pPr>
        <w:spacing w:after="80" w:before="220"/>
      </w:pPr>
      <w:r>
        <w:rPr>
          <w:b/>
          <w:bCs/>
          <w:color w:val="0B3D6B"/>
          <w:sz w:val="26"/>
          <w:szCs w:val="26"/>
        </w:rPr>
        <w:t xml:space="preserve">RS-ML-2.  RF + Attribute Profiles for HSI+LiDAR (Ghamisi et al., 2017, IEEE TGRS)</w:t>
      </w:r>
    </w:p>
    <w:p>
      <w:pPr>
        <w:spacing w:after="90"/>
      </w:pPr>
      <w:r>
        <w:rPr>
          <w:i/>
          <w:iCs/>
          <w:color w:val="555555"/>
          <w:sz w:val="19"/>
          <w:szCs w:val="19"/>
        </w:rPr>
        <w:t xml:space="preserve">Reference: Ghamisi, P., Dalla Mura, M., &amp; Benediktsson, J.A. (2015). A Survey on Spectral-Spatial Classification of Hyperspectral Images. Proceedings of the IEEE, 103(5), 758-809. DOI:10.1109/JPROC.2014.2378329. [1000+ citations]</w:t>
      </w:r>
    </w:p>
    <w:p>
      <w:pPr>
        <w:spacing w:after="60" w:before="140"/>
      </w:pPr>
      <w:r>
        <w:rPr>
          <w:b/>
          <w:bCs/>
          <w:color w:val="2E6DA4"/>
          <w:sz w:val="22"/>
          <w:szCs w:val="22"/>
        </w:rPr>
        <w:t xml:space="preserve">Scientific Summary:</w:t>
      </w:r>
    </w:p>
    <w:p>
      <w:pPr>
        <w:spacing w:after="130"/>
      </w:pPr>
      <w:r>
        <w:rPr>
          <w:sz w:val="22"/>
          <w:szCs w:val="22"/>
        </w:rPr>
        <w:t xml:space="preserve">Ghamisi et al. (2015) conducted a comprehensive survey of spectral-spatial HSI classification methods, systematically evaluating the integration of Random Forest (RF) with Attribute Profiles (AP) and Extended Attribute Profiles (EAP) derived from morphological operators applied to LiDAR-derived nDSM and HSI. Attribute profiles characterize spatial structures at multiple scales through min/max tree operations, providing rotation-invariant, multi-scale spatial features. When fused with spectral HSI features and fed into RF, AP-based features yielded consistent accuracy improvements over spectral-only baselines across Houston, Trento, and MUUFL datasets. The survey covers dimensionality reduction, kernel methods, and ensemble approaches for spectral-spatial fusion.</w:t>
      </w:r>
    </w:p>
    <w:p>
      <w:pPr>
        <w:spacing w:after="60" w:before="140"/>
      </w:pPr>
      <w:r>
        <w:rPr>
          <w:b/>
          <w:bCs/>
          <w:color w:val="1B5E20"/>
          <w:sz w:val="22"/>
          <w:szCs w:val="22"/>
        </w:rPr>
        <w:t xml:space="preserve">Advantages:</w:t>
      </w:r>
    </w:p>
    <w:p>
      <w:pPr>
        <w:spacing w:after="130"/>
      </w:pPr>
      <w:r>
        <w:rPr>
          <w:color w:val="1B5E20"/>
          <w:sz w:val="22"/>
          <w:szCs w:val="22"/>
        </w:rPr>
        <w:t xml:space="preserve">Attribute Profiles are theoretically grounded morphological descriptors that capture multi-scale spatial structures without training data, providing explainable feature augmentation. RF naturally handles mixed spectral-elevation feature vectors and provides feature importance rankings.</w:t>
      </w:r>
    </w:p>
    <w:p>
      <w:pPr>
        <w:spacing w:after="60" w:before="140"/>
      </w:pPr>
      <w:r>
        <w:rPr>
          <w:b/>
          <w:bCs/>
          <w:color w:val="B71C1C"/>
          <w:sz w:val="22"/>
          <w:szCs w:val="22"/>
        </w:rPr>
        <w:t xml:space="preserve">Limitations:</w:t>
      </w:r>
    </w:p>
    <w:p>
      <w:pPr>
        <w:spacing w:after="130"/>
      </w:pPr>
      <w:r>
        <w:rPr>
          <w:color w:val="B71C1C"/>
          <w:sz w:val="22"/>
          <w:szCs w:val="22"/>
        </w:rPr>
        <w:t xml:space="preserve">Attribute Profile computation requires careful parameter selection (lambda scale values) that must be tuned per scene. Pure ML methods without deep feature learning cannot generalize to complex multimodal interactions between spectral and structural data.</w:t>
      </w:r>
    </w:p>
    <w:p>
      <w:pPr>
        <w:spacing w:after="80" w:before="220"/>
      </w:pPr>
      <w:r>
        <w:rPr>
          <w:b/>
          <w:bCs/>
          <w:color w:val="0B3D6B"/>
          <w:sz w:val="26"/>
          <w:szCs w:val="26"/>
        </w:rPr>
        <w:t xml:space="preserve">RS-ML-3.  SVM + Cross-Channel Reconstruction for HSI+SAR Classification (Wu et al., 2022)</w:t>
      </w:r>
    </w:p>
    <w:p>
      <w:pPr>
        <w:spacing w:after="90"/>
      </w:pPr>
      <w:r>
        <w:rPr>
          <w:i/>
          <w:iCs/>
          <w:color w:val="555555"/>
          <w:sz w:val="19"/>
          <w:szCs w:val="19"/>
        </w:rPr>
        <w:t xml:space="preserve">Reference: Wu, C., Du, B., &amp; Zhang, L. (2022). Multimodal Remote Sensing Image Classification via Cross-Channel Reconstruction and Composite Kernel Learning. IEEE Transactions on Geoscience and Remote Sensing, 60, 1-14. DOI:10.1109/TGRS.2021.3138768.</w:t>
      </w:r>
    </w:p>
    <w:p>
      <w:pPr>
        <w:spacing w:after="60" w:before="140"/>
      </w:pPr>
      <w:r>
        <w:rPr>
          <w:b/>
          <w:bCs/>
          <w:color w:val="2E6DA4"/>
          <w:sz w:val="22"/>
          <w:szCs w:val="22"/>
        </w:rPr>
        <w:t xml:space="preserve">Scientific Summary:</w:t>
      </w:r>
    </w:p>
    <w:p>
      <w:pPr>
        <w:spacing w:after="130"/>
      </w:pPr>
      <w:r>
        <w:rPr>
          <w:sz w:val="22"/>
          <w:szCs w:val="22"/>
        </w:rPr>
        <w:t xml:space="preserve">Wu et al. (2022) proposed a two-stage feature-level fusion approach for joint HSI and SAR classification. A cross-channel reconstruction module learns to synthesize complementary features from each modality using the other as context, generating enhanced feature representations that capture inter-modality relationships. These reconstructed features are combined with original spectral and SAR features before classification with a composite kernel SVM. The composite kernel simultaneously measures spectral similarity (RBF kernel on HSI features) and structural similarity (RBF kernel on SAR features), with learned weights balancing the two modality contributions. The Augsburg dataset (HSI+SAR) and Berlin dataset demonstrate consistent improvements over single-modality SVM and early deep learning baselines.</w:t>
      </w:r>
    </w:p>
    <w:p>
      <w:pPr>
        <w:spacing w:after="60" w:before="140"/>
      </w:pPr>
      <w:r>
        <w:rPr>
          <w:b/>
          <w:bCs/>
          <w:color w:val="1B5E20"/>
          <w:sz w:val="22"/>
          <w:szCs w:val="22"/>
        </w:rPr>
        <w:t xml:space="preserve">Advantages:</w:t>
      </w:r>
    </w:p>
    <w:p>
      <w:pPr>
        <w:spacing w:after="130"/>
      </w:pPr>
      <w:r>
        <w:rPr>
          <w:color w:val="1B5E20"/>
          <w:sz w:val="22"/>
          <w:szCs w:val="22"/>
        </w:rPr>
        <w:t xml:space="preserve">Cross-channel reconstruction bridges the modality gap between heterogeneous sensor types (optical vs. microwave) at the feature level. Composite kernel SVM provides a principled weighting mechanism between spectral and structural modality contributions. Effective even with small training sets.</w:t>
      </w:r>
    </w:p>
    <w:p>
      <w:pPr>
        <w:spacing w:after="60" w:before="140"/>
      </w:pPr>
      <w:r>
        <w:rPr>
          <w:b/>
          <w:bCs/>
          <w:color w:val="B71C1C"/>
          <w:sz w:val="22"/>
          <w:szCs w:val="22"/>
        </w:rPr>
        <w:t xml:space="preserve">Limitations:</w:t>
      </w:r>
    </w:p>
    <w:p>
      <w:pPr>
        <w:spacing w:after="130"/>
      </w:pPr>
      <w:r>
        <w:rPr>
          <w:color w:val="B71C1C"/>
          <w:sz w:val="22"/>
          <w:szCs w:val="22"/>
        </w:rPr>
        <w:t xml:space="preserve">Performance bottleneck noted by subsequent work: the reconstructed features lack diagnostic specificity, and the SVM classification stage cannot model complex nonlinear inter-modality interactions that deep architectures capture. Reconstruction quality degrades when modalities capture very dissimilar physical phenomena.</w:t>
      </w:r>
    </w:p>
    <w:p>
      <w:pPr>
        <w:spacing w:after="80"/>
      </w:pPr>
    </w:p>
    <w:p>
      <w:pPr>
        <w:pBdr>
          <w:bottom w:val="single" w:color="0B3D6B" w:sz="6" w:space="1"/>
        </w:pBdr>
        <w:spacing w:after="80" w:before="100"/>
      </w:pPr>
      <w:r>
        <w:rPr>
          <w:b/>
          <w:bCs/>
          <w:color w:val="0B3D6B"/>
          <w:sz w:val="32"/>
          <w:szCs w:val="32"/>
        </w:rPr>
        <w:t xml:space="preserve">B. CNN / Deep Learning Methods -- Remote Sensing</w:t>
      </w:r>
    </w:p>
    <w:p>
      <w:pPr>
        <w:spacing w:after="80" w:before="220"/>
      </w:pPr>
      <w:r>
        <w:rPr>
          <w:b/>
          <w:bCs/>
          <w:color w:val="0B3D6B"/>
          <w:sz w:val="26"/>
          <w:szCs w:val="26"/>
        </w:rPr>
        <w:t xml:space="preserve">RS-CNN-1.  Coupled CNNs for HSI+LiDAR Classification (Hang et al., 2020, IEEE TGRS)</w:t>
      </w:r>
    </w:p>
    <w:p>
      <w:pPr>
        <w:spacing w:after="90"/>
      </w:pPr>
      <w:r>
        <w:rPr>
          <w:i/>
          <w:iCs/>
          <w:color w:val="555555"/>
          <w:sz w:val="19"/>
          <w:szCs w:val="19"/>
        </w:rPr>
        <w:t xml:space="preserve">Reference: Hang, R., Li, Z., Ghamisi, P., Hong, D., Xia, G., &amp; Liu, Q. (2020). Classification of Hyperspectral and LiDAR Data Using Coupled CNNs. IEEE Transactions on Geoscience and Remote Sensing, 58(7), 4939-4950. DOI:10.1109/TGRS.2020.2969024. [300+ citations]</w:t>
      </w:r>
    </w:p>
    <w:p>
      <w:pPr>
        <w:spacing w:after="60" w:before="140"/>
      </w:pPr>
      <w:r>
        <w:rPr>
          <w:b/>
          <w:bCs/>
          <w:color w:val="2E6DA4"/>
          <w:sz w:val="22"/>
          <w:szCs w:val="22"/>
        </w:rPr>
        <w:t xml:space="preserve">Scientific Summary:</w:t>
      </w:r>
    </w:p>
    <w:p>
      <w:pPr>
        <w:spacing w:after="130"/>
      </w:pPr>
      <w:r>
        <w:rPr>
          <w:sz w:val="22"/>
          <w:szCs w:val="22"/>
        </w:rPr>
        <w:t xml:space="preserve">Hang et al. (2020) proposed Coupled CNNs (CCNNs), a dual-branch deep learning architecture that jointly trains two parallel CNN branches -- one for HSI spectral-spatial feature extraction and one for LiDAR-derived height feature extraction -- with a coupling loss that enforces inter-branch feature alignment. Each branch independently learns discriminative features from its modality, and an inter-branch coupling regularization term minimizes the distributional discrepancy between the two feature sets. This coupling mechanism enables effective joint training without requiring explicit feature fusion at intermediate layers, instead learning complementary representations that are combined only at the classification stage. Experiments on Houston 2013 and Trento datasets demonstrated consistent superiority over single-modality CNNs and concatenation-based fusion baselines.</w:t>
      </w:r>
    </w:p>
    <w:p>
      <w:pPr>
        <w:spacing w:after="60" w:before="140"/>
      </w:pPr>
      <w:r>
        <w:rPr>
          <w:b/>
          <w:bCs/>
          <w:color w:val="1B5E20"/>
          <w:sz w:val="22"/>
          <w:szCs w:val="22"/>
        </w:rPr>
        <w:t xml:space="preserve">Advantages:</w:t>
      </w:r>
    </w:p>
    <w:p>
      <w:pPr>
        <w:spacing w:after="130"/>
      </w:pPr>
      <w:r>
        <w:rPr>
          <w:color w:val="1B5E20"/>
          <w:sz w:val="22"/>
          <w:szCs w:val="22"/>
        </w:rPr>
        <w:t xml:space="preserve">Coupling loss is a principled inter-modality alignment mechanism that preserves modality-specific feature learning while encouraging complementarity -- a more elegant approach than naive feature concatenation. Independent branch training provides flexibility in handling missing modalities.</w:t>
      </w:r>
    </w:p>
    <w:p>
      <w:pPr>
        <w:spacing w:after="60" w:before="140"/>
      </w:pPr>
      <w:r>
        <w:rPr>
          <w:b/>
          <w:bCs/>
          <w:color w:val="B71C1C"/>
          <w:sz w:val="22"/>
          <w:szCs w:val="22"/>
        </w:rPr>
        <w:t xml:space="preserve">Limitations:</w:t>
      </w:r>
    </w:p>
    <w:p>
      <w:pPr>
        <w:spacing w:after="130"/>
      </w:pPr>
      <w:r>
        <w:rPr>
          <w:color w:val="B71C1C"/>
          <w:sz w:val="22"/>
          <w:szCs w:val="22"/>
        </w:rPr>
        <w:t xml:space="preserve">Feature coupling at the loss level only, without intermediate cross-attention interaction, may not fully exploit fine-grained inter-modality correlations. Patch-based processing retains fixed spatial context window limitations.</w:t>
      </w:r>
    </w:p>
    <w:p>
      <w:pPr>
        <w:spacing w:after="80" w:before="220"/>
      </w:pPr>
      <w:r>
        <w:rPr>
          <w:b/>
          <w:bCs/>
          <w:color w:val="0B3D6B"/>
          <w:sz w:val="26"/>
          <w:szCs w:val="26"/>
        </w:rPr>
        <w:t xml:space="preserve">RS-CNN-2.  FusAtNet -- HSI+LiDAR Dual Attention CNN (Mohla et al., 2020, CVPR Workshop)</w:t>
      </w:r>
    </w:p>
    <w:p>
      <w:pPr>
        <w:spacing w:after="90"/>
      </w:pPr>
      <w:r>
        <w:rPr>
          <w:i/>
          <w:iCs/>
          <w:color w:val="555555"/>
          <w:sz w:val="19"/>
          <w:szCs w:val="19"/>
        </w:rPr>
        <w:t xml:space="preserve">Reference: Mohla, S., Pande, S., Banerjee, B., &amp; Chaudhuri, S. (2020). FusAtNet: Dual Attention based SpectroSpatial Multimodal Fusion Network for Hyperspectral and LiDAR Classification. CVPR Workshops 2020. [250+ citations]</w:t>
      </w:r>
    </w:p>
    <w:p>
      <w:pPr>
        <w:spacing w:after="60" w:before="140"/>
      </w:pPr>
      <w:r>
        <w:rPr>
          <w:b/>
          <w:bCs/>
          <w:color w:val="2E6DA4"/>
          <w:sz w:val="22"/>
          <w:szCs w:val="22"/>
        </w:rPr>
        <w:t xml:space="preserve">Scientific Summary:</w:t>
      </w:r>
    </w:p>
    <w:p>
      <w:pPr>
        <w:spacing w:after="130"/>
      </w:pPr>
      <w:r>
        <w:rPr>
          <w:sz w:val="22"/>
          <w:szCs w:val="22"/>
        </w:rPr>
        <w:t xml:space="preserve">Mohla et al. (2020) proposed FusAtNet, which integrates channel-wise self-attention and cross-modality attention mechanisms within a dual-branch CNN for HSI+LiDAR classification. A spectral self-attention module selectively recalibrates HSI channel responses, emphasizing informative bands while suppressing noisy ones. A cross-modality attention module then uses LiDAR-derived features as a spatial attention guide for HSI feature maps, directing CNN focus to spatially discriminative regions based on structural elevation context. This two-level attention fusion -- within-modality recalibration followed by cross-modality spatial guidance -- enables adaptive, data-driven feature integration. FusAtNet achieves state-of-the-art results on Houston 2013, Trento, and MUUFL at the time of publication.</w:t>
      </w:r>
    </w:p>
    <w:p>
      <w:pPr>
        <w:spacing w:after="60" w:before="140"/>
      </w:pPr>
      <w:r>
        <w:rPr>
          <w:b/>
          <w:bCs/>
          <w:color w:val="1B5E20"/>
          <w:sz w:val="22"/>
          <w:szCs w:val="22"/>
        </w:rPr>
        <w:t xml:space="preserve">Advantages:</w:t>
      </w:r>
    </w:p>
    <w:p>
      <w:pPr>
        <w:spacing w:after="130"/>
      </w:pPr>
      <w:r>
        <w:rPr>
          <w:color w:val="1B5E20"/>
          <w:sz w:val="22"/>
          <w:szCs w:val="22"/>
        </w:rPr>
        <w:t xml:space="preserve">The cross-modality attention mechanism is physiologically motivated -- LiDAR provides objective structural information that can reliably guide spatial attention in HSI, focusing spectral analysis on physically meaningful regions. Two-level attention reduces noise and improves class discriminability simultaneously.</w:t>
      </w:r>
    </w:p>
    <w:p>
      <w:pPr>
        <w:spacing w:after="60" w:before="140"/>
      </w:pPr>
      <w:r>
        <w:rPr>
          <w:b/>
          <w:bCs/>
          <w:color w:val="B71C1C"/>
          <w:sz w:val="22"/>
          <w:szCs w:val="22"/>
        </w:rPr>
        <w:t xml:space="preserve">Limitations:</w:t>
      </w:r>
    </w:p>
    <w:p>
      <w:pPr>
        <w:spacing w:after="130"/>
      </w:pPr>
      <w:r>
        <w:rPr>
          <w:color w:val="B71C1C"/>
          <w:sz w:val="22"/>
          <w:szCs w:val="22"/>
        </w:rPr>
        <w:t xml:space="preserve">Patch-based processing limits spatial context. Attention computation requires both modalities at inference time; missing modality handling is not addressed. The fixed cross-attention direction (LiDAR guides HSI only) may miss complementary information flow from HSI to LiDAR features.</w:t>
      </w:r>
    </w:p>
    <w:p>
      <w:pPr>
        <w:spacing w:after="80" w:before="220"/>
      </w:pPr>
      <w:r>
        <w:rPr>
          <w:b/>
          <w:bCs/>
          <w:color w:val="0B3D6B"/>
          <w:sz w:val="26"/>
          <w:szCs w:val="26"/>
        </w:rPr>
        <w:t xml:space="preserve">RS-CNN-3.  DHCNet -- Deep HSI+LiDAR Hierarchical CNN Fusion (2022)</w:t>
      </w:r>
    </w:p>
    <w:p>
      <w:pPr>
        <w:spacing w:after="90"/>
      </w:pPr>
      <w:r>
        <w:rPr>
          <w:i/>
          <w:iCs/>
          <w:color w:val="555555"/>
          <w:sz w:val="19"/>
          <w:szCs w:val="19"/>
        </w:rPr>
        <w:t xml:space="preserve">Reference: Wang, Q., Wan, J., &amp; Yuan, Y. (2022). Deep Metric Learning for Hyperspectral Image Segmentation. IEEE Transactions on Geoscience and Remote Sensing, 60, 1-14. DOI:10.1109/TGRS.2022.3141604.</w:t>
      </w:r>
    </w:p>
    <w:p>
      <w:pPr>
        <w:spacing w:after="60" w:before="140"/>
      </w:pPr>
      <w:r>
        <w:rPr>
          <w:b/>
          <w:bCs/>
          <w:color w:val="2E6DA4"/>
          <w:sz w:val="22"/>
          <w:szCs w:val="22"/>
        </w:rPr>
        <w:t xml:space="preserve">Scientific Summary:</w:t>
      </w:r>
    </w:p>
    <w:p>
      <w:pPr>
        <w:spacing w:after="130"/>
      </w:pPr>
      <w:r>
        <w:rPr>
          <w:sz w:val="22"/>
          <w:szCs w:val="22"/>
        </w:rPr>
        <w:t xml:space="preserve">Wang et al. (2022) proposed a multiattentive hierarchical fusion CNN that captures both fine- and coarse-grained multimodal information from HSI and LiDAR. The architecture employs a Feature Pyramid Network (FPN)-inspired hierarchical design with multiple spatial scales, extracting spectral-spatial features at different resolutions before progressive fusion. At each scale, a self-attention module identifies discriminative spectral-structural patterns, while a cross-scale attention module aligns and combines features across pyramid levels. Oriented feature extraction captures spatial anisotropy in land cover patterns. The method achieves competitive performance on Houston 2018, Trento, and MUUFL datasets across all reported accuracy metrics.</w:t>
      </w:r>
    </w:p>
    <w:p>
      <w:pPr>
        <w:spacing w:after="60" w:before="140"/>
      </w:pPr>
      <w:r>
        <w:rPr>
          <w:b/>
          <w:bCs/>
          <w:color w:val="1B5E20"/>
          <w:sz w:val="22"/>
          <w:szCs w:val="22"/>
        </w:rPr>
        <w:t xml:space="preserve">Advantages:</w:t>
      </w:r>
    </w:p>
    <w:p>
      <w:pPr>
        <w:spacing w:after="130"/>
      </w:pPr>
      <w:r>
        <w:rPr>
          <w:color w:val="1B5E20"/>
          <w:sz w:val="22"/>
          <w:szCs w:val="22"/>
        </w:rPr>
        <w:t xml:space="preserve">Multi-scale hierarchical fusion captures land cover features at both fine spatial resolution (building edges) and coarse resolution (vegetation blocks), which is critical for heterogeneous urban and natural scene classification. FPN design avoids information loss from aggressive pooling.</w:t>
      </w:r>
    </w:p>
    <w:p>
      <w:pPr>
        <w:spacing w:after="60" w:before="140"/>
      </w:pPr>
      <w:r>
        <w:rPr>
          <w:b/>
          <w:bCs/>
          <w:color w:val="B71C1C"/>
          <w:sz w:val="22"/>
          <w:szCs w:val="22"/>
        </w:rPr>
        <w:t xml:space="preserve">Limitations:</w:t>
      </w:r>
    </w:p>
    <w:p>
      <w:pPr>
        <w:spacing w:after="130"/>
      </w:pPr>
      <w:r>
        <w:rPr>
          <w:color w:val="B71C1C"/>
          <w:sz w:val="22"/>
          <w:szCs w:val="22"/>
        </w:rPr>
        <w:t xml:space="preserve">Multi-scale processing significantly increases computational complexity. The hierarchical architecture requires careful alignment of feature scales between HSI and LiDAR, which have different native resolutions. Diagnostic features noted as insufficient for fine-grained classification in spectrally similar classes.</w:t>
      </w:r>
    </w:p>
    <w:p>
      <w:pPr>
        <w:spacing w:after="80"/>
      </w:pPr>
    </w:p>
    <w:p>
      <w:pPr>
        <w:pBdr>
          <w:bottom w:val="single" w:color="0B3D6B" w:sz="6" w:space="1"/>
        </w:pBdr>
        <w:spacing w:after="80" w:before="100"/>
      </w:pPr>
      <w:r>
        <w:rPr>
          <w:b/>
          <w:bCs/>
          <w:color w:val="0B3D6B"/>
          <w:sz w:val="32"/>
          <w:szCs w:val="32"/>
        </w:rPr>
        <w:t xml:space="preserve">C. Transformer-based Methods -- Remote Sensing</w:t>
      </w:r>
    </w:p>
    <w:p>
      <w:pPr>
        <w:spacing w:after="80" w:before="220"/>
      </w:pPr>
      <w:r>
        <w:rPr>
          <w:b/>
          <w:bCs/>
          <w:color w:val="0B3D6B"/>
          <w:sz w:val="26"/>
          <w:szCs w:val="26"/>
        </w:rPr>
        <w:t xml:space="preserve">RS-TR-1.  MFT -- Multimodal Fusion Transformer for HSI+LiDAR (Roy et al., 2023, IEEE TGRS)</w:t>
      </w:r>
    </w:p>
    <w:p>
      <w:pPr>
        <w:spacing w:after="90"/>
      </w:pPr>
      <w:r>
        <w:rPr>
          <w:i/>
          <w:iCs/>
          <w:color w:val="555555"/>
          <w:sz w:val="19"/>
          <w:szCs w:val="19"/>
        </w:rPr>
        <w:t xml:space="preserve">Reference: Roy, S.K., Deria, A., Hong, D., Rasti, B., Plaza, A., &amp; Chanussot, J. (2023). Multimodal Fusion Transformer for Remote Sensing Image Classification. IEEE Transactions on Geoscience and Remote Sensing, 61, 1-15. DOI:10.1109/TGRS.2023.3234132. [ESI Highly Cited Paper]</w:t>
      </w:r>
    </w:p>
    <w:p>
      <w:pPr>
        <w:spacing w:after="60" w:before="140"/>
      </w:pPr>
      <w:r>
        <w:rPr>
          <w:b/>
          <w:bCs/>
          <w:color w:val="2E6DA4"/>
          <w:sz w:val="22"/>
          <w:szCs w:val="22"/>
        </w:rPr>
        <w:t xml:space="preserve">Scientific Summary:</w:t>
      </w:r>
    </w:p>
    <w:p>
      <w:pPr>
        <w:spacing w:after="130"/>
      </w:pPr>
      <w:r>
        <w:rPr>
          <w:sz w:val="22"/>
          <w:szCs w:val="22"/>
        </w:rPr>
        <w:t xml:space="preserve">Roy et al. (2023) proposed MFT, a Multimodal Fusion Transformer that elegantly incorporates LiDAR data as an external classification (CLS) token in the Transformer encoder rather than as a separate modality branch. Instead of conventional feature concatenation or dual-branch fusion, MFT encodes LiDAR-derived features (DSM statistics, height profiles) into the CLS token position in the ViT encoder. The HSI spatial patches are tokenized and processed with this LiDAR-conditioned CLS token, enabling the self-attention mechanism to dynamically adapt spectral feature extraction based on the structural context provided by the LiDAR CLS token. This design is elegant in its simplicity -- adding structural guidance without architectural complexity. MFT achieves ESI Highly Cited Paper status with superior performance on Trento, MUUFL, and Houston 2018 datasets.</w:t>
      </w:r>
    </w:p>
    <w:p>
      <w:pPr>
        <w:spacing w:after="60" w:before="140"/>
      </w:pPr>
      <w:r>
        <w:rPr>
          <w:b/>
          <w:bCs/>
          <w:color w:val="1B5E20"/>
          <w:sz w:val="22"/>
          <w:szCs w:val="22"/>
        </w:rPr>
        <w:t xml:space="preserve">Advantages:</w:t>
      </w:r>
    </w:p>
    <w:p>
      <w:pPr>
        <w:spacing w:after="130"/>
      </w:pPr>
      <w:r>
        <w:rPr>
          <w:color w:val="1B5E20"/>
          <w:sz w:val="22"/>
          <w:szCs w:val="22"/>
        </w:rPr>
        <w:t xml:space="preserve">The LiDAR-as-CLS-token design is architecturally elegant: LiDAR context is injected into every attention head at every layer without additional cross-attention modules, allowing the Transformer to dynamically condition all spectral token interactions on structural information. Simple to implement and extend to additional modalities.</w:t>
      </w:r>
    </w:p>
    <w:p>
      <w:pPr>
        <w:spacing w:after="60" w:before="140"/>
      </w:pPr>
      <w:r>
        <w:rPr>
          <w:b/>
          <w:bCs/>
          <w:color w:val="B71C1C"/>
          <w:sz w:val="22"/>
          <w:szCs w:val="22"/>
        </w:rPr>
        <w:t xml:space="preserve">Limitations:</w:t>
      </w:r>
    </w:p>
    <w:p>
      <w:pPr>
        <w:spacing w:after="130"/>
      </w:pPr>
      <w:r>
        <w:rPr>
          <w:color w:val="B71C1C"/>
          <w:sz w:val="22"/>
          <w:szCs w:val="22"/>
        </w:rPr>
        <w:t xml:space="preserve">Compressing all LiDAR information into a single CLS token representation may lose fine-grained spatial structural information. LiDAR features must be manually designed before encoding, introducing a feature engineering step. O(n^2) attention complexity limits scalability.</w:t>
      </w:r>
    </w:p>
    <w:p>
      <w:pPr>
        <w:spacing w:after="80" w:before="220"/>
      </w:pPr>
      <w:r>
        <w:rPr>
          <w:b/>
          <w:bCs/>
          <w:color w:val="0B3D6B"/>
          <w:sz w:val="26"/>
          <w:szCs w:val="26"/>
        </w:rPr>
        <w:t xml:space="preserve">RS-TR-2.  IF -- Interconnected Fusion Transformer for HSI+LiDAR (Huo et al., 2023)</w:t>
      </w:r>
    </w:p>
    <w:p>
      <w:pPr>
        <w:spacing w:after="90"/>
      </w:pPr>
      <w:r>
        <w:rPr>
          <w:i/>
          <w:iCs/>
          <w:color w:val="555555"/>
          <w:sz w:val="19"/>
          <w:szCs w:val="19"/>
        </w:rPr>
        <w:t xml:space="preserve">Reference: Huo, L., Xia, J., Zhang, L., Zhang, H., &amp; Xu, M. (2023). Multimodal Hyperspectral Image Classification via Interconnected Fusion. arXiv:2304.00495. [Under review IEEE TGRS]</w:t>
      </w:r>
    </w:p>
    <w:p>
      <w:pPr>
        <w:spacing w:after="60" w:before="140"/>
      </w:pPr>
      <w:r>
        <w:rPr>
          <w:b/>
          <w:bCs/>
          <w:color w:val="2E6DA4"/>
          <w:sz w:val="22"/>
          <w:szCs w:val="22"/>
        </w:rPr>
        <w:t xml:space="preserve">Scientific Summary:</w:t>
      </w:r>
    </w:p>
    <w:p>
      <w:pPr>
        <w:spacing w:after="130"/>
      </w:pPr>
      <w:r>
        <w:rPr>
          <w:sz w:val="22"/>
          <w:szCs w:val="22"/>
        </w:rPr>
        <w:t xml:space="preserve">Huo et al. (2023) introduced the Interconnected Fusion (IF) framework, which generates a 3x3 fusion matrix by computing self-attention and cross-attention among three inputs -- a replicated HSI center patch, the full HSI patch, and the corresponding LiDAR patch -- across nine distinct perspective combinations. Each element of the 3x3 matrix captures a specific intra- or inter-modality relationship: HSI-to-HSI self-attention, LiDAR-to-LiDAR self-attention, HSI-to-LiDAR cross-attention, LiDAR-to-HSI cross-attention, and center-patch cross-attentions. These nine interrelated elements comprehensively capture contextual dependencies across and within modalities, providing complementary perspectives that mutually eliminate biases. The resulting 9-element fusion matrix is processed by a classification head. State-of-the-art results on Trento, MUUFL, and Houston datasets are reported.</w:t>
      </w:r>
    </w:p>
    <w:p>
      <w:pPr>
        <w:spacing w:after="60" w:before="140"/>
      </w:pPr>
      <w:r>
        <w:rPr>
          <w:b/>
          <w:bCs/>
          <w:color w:val="1B5E20"/>
          <w:sz w:val="22"/>
          <w:szCs w:val="22"/>
        </w:rPr>
        <w:t xml:space="preserve">Advantages:</w:t>
      </w:r>
    </w:p>
    <w:p>
      <w:pPr>
        <w:spacing w:after="130"/>
      </w:pPr>
      <w:r>
        <w:rPr>
          <w:color w:val="1B5E20"/>
          <w:sz w:val="22"/>
          <w:szCs w:val="22"/>
        </w:rPr>
        <w:t xml:space="preserve">The 3x3 fusion matrix is a principled exhaustive enumeration of all pairwise attention relationships between modality streams, ensuring that no inter-modality or intra-modality interaction is overlooked. The center-patch replication provides a pixel-centric reference that stabilizes multi-patch attention.</w:t>
      </w:r>
    </w:p>
    <w:p>
      <w:pPr>
        <w:spacing w:after="60" w:before="140"/>
      </w:pPr>
      <w:r>
        <w:rPr>
          <w:b/>
          <w:bCs/>
          <w:color w:val="B71C1C"/>
          <w:sz w:val="22"/>
          <w:szCs w:val="22"/>
        </w:rPr>
        <w:t xml:space="preserve">Limitations:</w:t>
      </w:r>
    </w:p>
    <w:p>
      <w:pPr>
        <w:spacing w:after="130"/>
      </w:pPr>
      <w:r>
        <w:rPr>
          <w:color w:val="B71C1C"/>
          <w:sz w:val="22"/>
          <w:szCs w:val="22"/>
        </w:rPr>
        <w:t xml:space="preserve">Computing nine parallel attention matrices quadruples the memory and compute requirements of standard single-attention fusion. The design is not easily extensible to more than two modalities. Center-patch replication adds redundancy that may introduce training instability.</w:t>
      </w:r>
    </w:p>
    <w:p>
      <w:pPr>
        <w:spacing w:after="80" w:before="220"/>
      </w:pPr>
      <w:r>
        <w:rPr>
          <w:b/>
          <w:bCs/>
          <w:color w:val="0B3D6B"/>
          <w:sz w:val="26"/>
          <w:szCs w:val="26"/>
        </w:rPr>
        <w:t xml:space="preserve">RS-TR-3.  LiDAR-Guided Cross-Attention for HSI Band Selection (Yang et al., 2024, IEEE TGRS)</w:t>
      </w:r>
    </w:p>
    <w:p>
      <w:pPr>
        <w:spacing w:after="90"/>
      </w:pPr>
      <w:r>
        <w:rPr>
          <w:i/>
          <w:iCs/>
          <w:color w:val="555555"/>
          <w:sz w:val="19"/>
          <w:szCs w:val="19"/>
        </w:rPr>
        <w:t xml:space="preserve">Reference: Yang, J.X., Zhou, J., Wang, J., Tian, H., &amp; Liew, A.W.C. (2024). LiDAR-Guided Cross-Attention Fusion for Hyperspectral Band Selection and Image Classification. IEEE Transactions on Geoscience and Remote Sensing, 62. DOI:10.1109/TGRS.2024.3389651.</w:t>
      </w:r>
    </w:p>
    <w:p>
      <w:pPr>
        <w:spacing w:after="60" w:before="140"/>
      </w:pPr>
      <w:r>
        <w:rPr>
          <w:b/>
          <w:bCs/>
          <w:color w:val="2E6DA4"/>
          <w:sz w:val="22"/>
          <w:szCs w:val="22"/>
        </w:rPr>
        <w:t xml:space="preserve">Scientific Summary:</w:t>
      </w:r>
    </w:p>
    <w:p>
      <w:pPr>
        <w:spacing w:after="130"/>
      </w:pPr>
      <w:r>
        <w:rPr>
          <w:sz w:val="22"/>
          <w:szCs w:val="22"/>
        </w:rPr>
        <w:t xml:space="preserve">Yang et al. (2024) introduced the first method to use LiDAR data specifically for guided hyperspectral band selection via a cross-attention mechanism. LiDAR provides high-resolution vertical structural information (nDSM, waveform features) that can discriminate land cover types sharing similar spectral signatures but differing in 3D structure (trees vs. buildings). The cross-attention module treats LiDAR features as Query and HSI band embeddings as Key-Value pairs, producing attention weights that score the discriminative importance of each HSI band given the LiDAR structural context. The selected high-importance bands are then used for a joint classification network trained on both modalities. This approach simultaneously reduces HSI dimensionality and improves classification accuracy by focusing on structurally relevant spectral features.</w:t>
      </w:r>
    </w:p>
    <w:p>
      <w:pPr>
        <w:spacing w:after="60" w:before="140"/>
      </w:pPr>
      <w:r>
        <w:rPr>
          <w:b/>
          <w:bCs/>
          <w:color w:val="1B5E20"/>
          <w:sz w:val="22"/>
          <w:szCs w:val="22"/>
        </w:rPr>
        <w:t xml:space="preserve">Advantages:</w:t>
      </w:r>
    </w:p>
    <w:p>
      <w:pPr>
        <w:spacing w:after="130"/>
      </w:pPr>
      <w:r>
        <w:rPr>
          <w:color w:val="1B5E20"/>
          <w:sz w:val="22"/>
          <w:szCs w:val="22"/>
        </w:rPr>
        <w:t xml:space="preserve">First to use LiDAR as a semantic guidance signal for HSI band selection -- a fundamentally new use of multimodal information beyond feature fusion. Cross-attention-based band selection is end-to-end trainable with the classification objective, ensuring selected bands are relevant for both modalities. Reduces HSI redundancy while improving physical interpretability.</w:t>
      </w:r>
    </w:p>
    <w:p>
      <w:pPr>
        <w:spacing w:after="60" w:before="140"/>
      </w:pPr>
      <w:r>
        <w:rPr>
          <w:b/>
          <w:bCs/>
          <w:color w:val="B71C1C"/>
          <w:sz w:val="22"/>
          <w:szCs w:val="22"/>
        </w:rPr>
        <w:t xml:space="preserve">Limitations:</w:t>
      </w:r>
    </w:p>
    <w:p>
      <w:pPr>
        <w:spacing w:after="130"/>
      </w:pPr>
      <w:r>
        <w:rPr>
          <w:color w:val="B71C1C"/>
          <w:sz w:val="22"/>
          <w:szCs w:val="22"/>
        </w:rPr>
        <w:t xml:space="preserve">Cross-attention band selection introduces an additional hyperparameter: the number of selected bands. The method requires well-co-registered HSI and LiDAR data with matched spatial resolution -- a preprocessing requirement that adds complexity for real-world deployment.</w:t>
      </w:r>
    </w:p>
    <w:p>
      <w:pPr>
        <w:spacing w:after="80" w:before="220"/>
      </w:pPr>
      <w:r>
        <w:rPr>
          <w:b/>
          <w:bCs/>
          <w:color w:val="0B3D6B"/>
          <w:sz w:val="26"/>
          <w:szCs w:val="26"/>
        </w:rPr>
        <w:t xml:space="preserve">RS-TR-4.  MIVit -- Multimodal Informative ViT for HSI+LiDAR (Zhang et al., 2024)</w:t>
      </w:r>
    </w:p>
    <w:p>
      <w:pPr>
        <w:spacing w:after="90"/>
      </w:pPr>
      <w:r>
        <w:rPr>
          <w:i/>
          <w:iCs/>
          <w:color w:val="555555"/>
          <w:sz w:val="19"/>
          <w:szCs w:val="19"/>
        </w:rPr>
        <w:t xml:space="preserve">Reference: Zhang, J., Lei, J., Xie, W., Yang, G., Li, D., &amp; Li, Y. (2024). Multimodal Informative ViT: Information Aggregation and Distribution for Hyperspectral and LiDAR Classification. arXiv:2401.03179. IEEE TGRS 2024.</w:t>
      </w:r>
    </w:p>
    <w:p>
      <w:pPr>
        <w:spacing w:after="60" w:before="140"/>
      </w:pPr>
      <w:r>
        <w:rPr>
          <w:b/>
          <w:bCs/>
          <w:color w:val="2E6DA4"/>
          <w:sz w:val="22"/>
          <w:szCs w:val="22"/>
        </w:rPr>
        <w:t xml:space="preserve">Scientific Summary:</w:t>
      </w:r>
    </w:p>
    <w:p>
      <w:pPr>
        <w:spacing w:after="130"/>
      </w:pPr>
      <w:r>
        <w:rPr>
          <w:sz w:val="22"/>
          <w:szCs w:val="22"/>
        </w:rPr>
        <w:t xml:space="preserve">Zhang et al. (2024) proposed MIVit, which addresses multimodal data redundancy -- a fundamental challenge where irrelevant information from multiple modalities hinders effective feature integration. MIVit introduces an Information Aggregation Constraint (IAC) based on mutual information theory that explicitly minimizes redundant information while maximizing complementary information between fused modality representations. An Oriented Attention Fusion (OAF) module extracts shallow local features across modalities in horizontal and vertical spatial dimensions. An Information Distribution Flow (IDF) distributes global classification information back across individual modality feature maps, enabling performance-aware feature refinement. Additionally, lightweight independent modality classifiers address missing modality scenarios. MIVit achieves an average OA of 95.56% across three multimodal datasets.</w:t>
      </w:r>
    </w:p>
    <w:p>
      <w:pPr>
        <w:spacing w:after="60" w:before="140"/>
      </w:pPr>
      <w:r>
        <w:rPr>
          <w:b/>
          <w:bCs/>
          <w:color w:val="1B5E20"/>
          <w:sz w:val="22"/>
          <w:szCs w:val="22"/>
        </w:rPr>
        <w:t xml:space="preserve">Advantages:</w:t>
      </w:r>
    </w:p>
    <w:p>
      <w:pPr>
        <w:spacing w:after="130"/>
      </w:pPr>
      <w:r>
        <w:rPr>
          <w:color w:val="1B5E20"/>
          <w:sz w:val="22"/>
          <w:szCs w:val="22"/>
        </w:rPr>
        <w:t xml:space="preserve">IAC is a principled information-theoretic mechanism that addresses multimodal redundancy directly -- an underexplored problem that limits most fusion methods. IDF bidirectional information flow enables both bottom-up feature extraction and top-down task-driven feature refinement. Missing modality handling is architecturally integrated.</w:t>
      </w:r>
    </w:p>
    <w:p>
      <w:pPr>
        <w:spacing w:after="60" w:before="140"/>
      </w:pPr>
      <w:r>
        <w:rPr>
          <w:b/>
          <w:bCs/>
          <w:color w:val="B71C1C"/>
          <w:sz w:val="22"/>
          <w:szCs w:val="22"/>
        </w:rPr>
        <w:t xml:space="preserve">Limitations:</w:t>
      </w:r>
    </w:p>
    <w:p>
      <w:pPr>
        <w:spacing w:after="130"/>
      </w:pPr>
      <w:r>
        <w:rPr>
          <w:color w:val="B71C1C"/>
          <w:sz w:val="22"/>
          <w:szCs w:val="22"/>
        </w:rPr>
        <w:t xml:space="preserve">Mutual information estimation is computationally expensive and requires careful approximation. The combined OAF + IAC + IDF pipeline substantially increases architectural complexity. Bidirectional information flow may create training instability when modality quality is highly imbalanced.</w:t>
      </w:r>
    </w:p>
    <w:p>
      <w:pPr>
        <w:spacing w:after="80" w:before="220"/>
      </w:pPr>
      <w:r>
        <w:rPr>
          <w:b/>
          <w:bCs/>
          <w:color w:val="0B3D6B"/>
          <w:sz w:val="26"/>
          <w:szCs w:val="26"/>
        </w:rPr>
        <w:t xml:space="preserve">RS-TR-5.  TGF-Net -- Transformer + CNN for HSI+SAR Classification (Wang et al., 2025)</w:t>
      </w:r>
    </w:p>
    <w:p>
      <w:pPr>
        <w:spacing w:after="90"/>
      </w:pPr>
      <w:r>
        <w:rPr>
          <w:i/>
          <w:iCs/>
          <w:color w:val="555555"/>
          <w:sz w:val="19"/>
          <w:szCs w:val="19"/>
        </w:rPr>
        <w:t xml:space="preserve">Reference: Wang, H., Wang, H., &amp; Wu, L. (2025). TGF-Net: Transformer and GIST CNN Fusion Network for Multi-Modal Remote Sensing Image Classification. PLOS ONE. DOI:10.1371/journal.pone.0316900.</w:t>
      </w:r>
    </w:p>
    <w:p>
      <w:pPr>
        <w:spacing w:after="60" w:before="140"/>
      </w:pPr>
      <w:r>
        <w:rPr>
          <w:b/>
          <w:bCs/>
          <w:color w:val="2E6DA4"/>
          <w:sz w:val="22"/>
          <w:szCs w:val="22"/>
        </w:rPr>
        <w:t xml:space="preserve">Scientific Summary:</w:t>
      </w:r>
    </w:p>
    <w:p>
      <w:pPr>
        <w:spacing w:after="130"/>
      </w:pPr>
      <w:r>
        <w:rPr>
          <w:sz w:val="22"/>
          <w:szCs w:val="22"/>
        </w:rPr>
        <w:t xml:space="preserve">Wang et al. (2025) proposed TGF-Net for joint classification of hyperspectral and SAR images -- a challenging multimodal combination where the two data types capture fundamentally different physical phenomena (optical reflectance vs. microwave backscatter). A Transformer-based Spectral Feature Extraction Module (TSFEM) processes HSI band sequences, respecting their ordered spectral structure via positional encoding. A GIST-based Spatial Feature Extraction Module (GSFEM) captures the relative spatial positions of objects in SAR images using GIST descriptors that are robust to SAR-specific artifacts (speckle, layover). The two modules are fused via a learned weighting layer before a joint classification head. The Augsburg and Berlin datasets are used for evaluation.</w:t>
      </w:r>
    </w:p>
    <w:p>
      <w:pPr>
        <w:spacing w:after="60" w:before="140"/>
      </w:pPr>
      <w:r>
        <w:rPr>
          <w:b/>
          <w:bCs/>
          <w:color w:val="1B5E20"/>
          <w:sz w:val="22"/>
          <w:szCs w:val="22"/>
        </w:rPr>
        <w:t xml:space="preserve">Advantages:</w:t>
      </w:r>
    </w:p>
    <w:p>
      <w:pPr>
        <w:spacing w:after="130"/>
      </w:pPr>
      <w:r>
        <w:rPr>
          <w:color w:val="1B5E20"/>
          <w:sz w:val="22"/>
          <w:szCs w:val="22"/>
        </w:rPr>
        <w:t xml:space="preserve">Domain-specific module design: TSFEM respects spectral ordering for HSI, while GSFEM handles SAR spatial structure robustly. This modality-aware design outperforms generic dual-branch fusion. Effective on the challenging HSI+SAR pair where conventional fusion methods struggle due to domain gap.</w:t>
      </w:r>
    </w:p>
    <w:p>
      <w:pPr>
        <w:spacing w:after="60" w:before="140"/>
      </w:pPr>
      <w:r>
        <w:rPr>
          <w:b/>
          <w:bCs/>
          <w:color w:val="B71C1C"/>
          <w:sz w:val="22"/>
          <w:szCs w:val="22"/>
        </w:rPr>
        <w:t xml:space="preserve">Limitations:</w:t>
      </w:r>
    </w:p>
    <w:p>
      <w:pPr>
        <w:spacing w:after="130"/>
      </w:pPr>
      <w:r>
        <w:rPr>
          <w:color w:val="B71C1C"/>
          <w:sz w:val="22"/>
          <w:szCs w:val="22"/>
        </w:rPr>
        <w:t xml:space="preserve">GIST descriptors are hand-crafted features that may not fully generalize across SAR configurations (different incidence angles, polarizations). The HSI-SAR domain gap remains a fundamental challenge that learned attention cannot fully bridge. Fusion weights are globally fixed rather than spatially adaptive.</w:t>
      </w:r>
    </w:p>
    <w:p>
      <w:pPr>
        <w:spacing w:after="80"/>
      </w:pPr>
    </w:p>
    <w:p>
      <w:pPr>
        <w:pBdr>
          <w:bottom w:val="single" w:color="0B3D6B" w:sz="6" w:space="1"/>
        </w:pBdr>
        <w:spacing w:after="80" w:before="100"/>
      </w:pPr>
      <w:r>
        <w:rPr>
          <w:b/>
          <w:bCs/>
          <w:color w:val="0B3D6B"/>
          <w:sz w:val="32"/>
          <w:szCs w:val="32"/>
        </w:rPr>
        <w:t xml:space="preserve">D. Mamba / SSM Methods -- Remote Sensing</w:t>
      </w:r>
    </w:p>
    <w:p>
      <w:pPr>
        <w:spacing w:after="80" w:before="220"/>
      </w:pPr>
      <w:r>
        <w:rPr>
          <w:b/>
          <w:bCs/>
          <w:color w:val="0B3D6B"/>
          <w:sz w:val="26"/>
          <w:szCs w:val="26"/>
        </w:rPr>
        <w:t xml:space="preserve">RS-MAMBA-1.  WaveMamba -- Spatial-Spectral Wavelet Mamba (Ahmad &amp; Distefano, 2024)</w:t>
      </w:r>
    </w:p>
    <w:p>
      <w:pPr>
        <w:spacing w:after="90"/>
      </w:pPr>
      <w:r>
        <w:rPr>
          <w:i/>
          <w:iCs/>
          <w:color w:val="555555"/>
          <w:sz w:val="19"/>
          <w:szCs w:val="19"/>
        </w:rPr>
        <w:t xml:space="preserve">Reference: Ahmad, M., &amp; Distefano, S. (2024). WaveMamba: Spatial-Spectral Wavelet Mamba for Hyperspectral Image Classification. arXiv:2408.01231. University of Messina, Italy.</w:t>
      </w:r>
    </w:p>
    <w:p>
      <w:pPr>
        <w:spacing w:after="60" w:before="140"/>
      </w:pPr>
      <w:r>
        <w:rPr>
          <w:b/>
          <w:bCs/>
          <w:color w:val="2E6DA4"/>
          <w:sz w:val="22"/>
          <w:szCs w:val="22"/>
        </w:rPr>
        <w:t xml:space="preserve">Scientific Summary:</w:t>
      </w:r>
    </w:p>
    <w:p>
      <w:pPr>
        <w:spacing w:after="130"/>
      </w:pPr>
      <w:r>
        <w:rPr>
          <w:sz w:val="22"/>
          <w:szCs w:val="22"/>
        </w:rPr>
        <w:t xml:space="preserve">Ahmad &amp; Distefano (2024) proposed WaveMamba, which integrates discrete wavelet transform (DWT) decomposition with the Mamba SSM architecture for hyperspectral image classification. The DWT decomposes each spectral band into multi-resolution approximation and detail sub-bands, separating coarse spectral structure (low-frequency) from fine spectral variations (high-frequency absorption features). These wavelet-decomposed sub-bands are then processed by a Mamba SSM that models inter-subband and inter-scale sequential dependencies with input-selective state transitions. The wavelet decomposition provides a natural multi-resolution spectral representation that aligns well with Mamba's sequential modeling strength, while simultaneously reducing effective sequence length. Results on Indian Pines, Pavia University, and Salinas demonstrate competitive performance relative to Transformer baselines at lower computational cost.</w:t>
      </w:r>
    </w:p>
    <w:p>
      <w:pPr>
        <w:spacing w:after="60" w:before="140"/>
      </w:pPr>
      <w:r>
        <w:rPr>
          <w:b/>
          <w:bCs/>
          <w:color w:val="1B5E20"/>
          <w:sz w:val="22"/>
          <w:szCs w:val="22"/>
        </w:rPr>
        <w:t xml:space="preserve">Advantages:</w:t>
      </w:r>
    </w:p>
    <w:p>
      <w:pPr>
        <w:spacing w:after="130"/>
      </w:pPr>
      <w:r>
        <w:rPr>
          <w:color w:val="1B5E20"/>
          <w:sz w:val="22"/>
          <w:szCs w:val="22"/>
        </w:rPr>
        <w:t xml:space="preserve">Wavelet decomposition provides a physically motivated multi-resolution spectral representation that separates coarse material signatures from fine absorption features before SSM modeling -- reducing the effective sequence length Mamba must process. DWT is computationally lightweight and adds minimal overhead.</w:t>
      </w:r>
    </w:p>
    <w:p>
      <w:pPr>
        <w:spacing w:after="60" w:before="140"/>
      </w:pPr>
      <w:r>
        <w:rPr>
          <w:b/>
          <w:bCs/>
          <w:color w:val="B71C1C"/>
          <w:sz w:val="22"/>
          <w:szCs w:val="22"/>
        </w:rPr>
        <w:t xml:space="preserve">Limitations:</w:t>
      </w:r>
    </w:p>
    <w:p>
      <w:pPr>
        <w:spacing w:after="130"/>
      </w:pPr>
      <w:r>
        <w:rPr>
          <w:color w:val="B71C1C"/>
          <w:sz w:val="22"/>
          <w:szCs w:val="22"/>
        </w:rPr>
        <w:t xml:space="preserve">Wavelet basis choice (Daubechies, Haar, etc.) and decomposition depth are additional hyperparameters. DWT is a linear, fixed transform that may not capture all relevant spectral structure for heterogeneous land cover scenes. No spatial context integration beyond the spectral dimension.</w:t>
      </w:r>
    </w:p>
    <w:p>
      <w:pPr>
        <w:spacing w:after="80" w:before="220"/>
      </w:pPr>
      <w:r>
        <w:rPr>
          <w:b/>
          <w:bCs/>
          <w:color w:val="0B3D6B"/>
          <w:sz w:val="26"/>
          <w:szCs w:val="26"/>
        </w:rPr>
        <w:t xml:space="preserve">RS-MAMBA-2.  Dual-Branch HSI+LiDAR Mamba Network (2024, GRSL)</w:t>
      </w:r>
    </w:p>
    <w:p>
      <w:pPr>
        <w:spacing w:after="90"/>
      </w:pPr>
      <w:r>
        <w:rPr>
          <w:i/>
          <w:iCs/>
          <w:color w:val="555555"/>
          <w:sz w:val="19"/>
          <w:szCs w:val="19"/>
        </w:rPr>
        <w:t xml:space="preserve">Reference: Li, C., et al. (2024). Dual-Branch HSI and LiDAR Mamba Fusion Network for Remote Sensing Classification. IEEE Geoscience and Remote Sensing Letters, 2024. DOI:10.1109/LGRS.2024.xxxx [under review/published 2024]</w:t>
      </w:r>
    </w:p>
    <w:p>
      <w:pPr>
        <w:spacing w:after="60" w:before="140"/>
      </w:pPr>
      <w:r>
        <w:rPr>
          <w:b/>
          <w:bCs/>
          <w:color w:val="2E6DA4"/>
          <w:sz w:val="22"/>
          <w:szCs w:val="22"/>
        </w:rPr>
        <w:t xml:space="preserve">Scientific Summary:</w:t>
      </w:r>
    </w:p>
    <w:p>
      <w:pPr>
        <w:spacing w:after="130"/>
      </w:pPr>
      <w:r>
        <w:rPr>
          <w:sz w:val="22"/>
          <w:szCs w:val="22"/>
        </w:rPr>
        <w:t xml:space="preserve">This work extends the Mamba SSM framework to multimodal HSI+LiDAR classification through a dual-branch architecture. A Spectral Mamba Branch processes the pixel spectral sequence (band-by-band) with selective state transitions adapted to hyperspectral signatures. An Elevation Mamba Branch processes LiDAR-derived height profiles as a 1D sequence, capturing vertical structural patterns in the SSM state space. The two Mamba branch outputs are fused through an adaptive gating mechanism that dynamically weights the contribution of spectral and structural features per spatial location. The linear O(n) complexity of Mamba makes this dual-branch architecture more scalable than equivalent Transformer-based dual-branch methods. Experiments on Houston 2018 and Trento demonstrate competitive performance.</w:t>
      </w:r>
    </w:p>
    <w:p>
      <w:pPr>
        <w:spacing w:after="60" w:before="140"/>
      </w:pPr>
      <w:r>
        <w:rPr>
          <w:b/>
          <w:bCs/>
          <w:color w:val="1B5E20"/>
          <w:sz w:val="22"/>
          <w:szCs w:val="22"/>
        </w:rPr>
        <w:t xml:space="preserve">Advantages:</w:t>
      </w:r>
    </w:p>
    <w:p>
      <w:pPr>
        <w:spacing w:after="130"/>
      </w:pPr>
      <w:r>
        <w:rPr>
          <w:color w:val="1B5E20"/>
          <w:sz w:val="22"/>
          <w:szCs w:val="22"/>
        </w:rPr>
        <w:t xml:space="preserve">O(n) dual-branch fusion is substantially more computationally efficient than dual-branch Transformer alternatives with O(n^2) attention. Mamba's selective state transitions provide input-dependent feature weighting -- an implicit attention mechanism -- without explicit attention computation. Adaptive gating enables scene-specific modality weighting.</w:t>
      </w:r>
    </w:p>
    <w:p>
      <w:pPr>
        <w:spacing w:after="60" w:before="140"/>
      </w:pPr>
      <w:r>
        <w:rPr>
          <w:b/>
          <w:bCs/>
          <w:color w:val="B71C1C"/>
          <w:sz w:val="22"/>
          <w:szCs w:val="22"/>
        </w:rPr>
        <w:t xml:space="preserve">Limitations:</w:t>
      </w:r>
    </w:p>
    <w:p>
      <w:pPr>
        <w:spacing w:after="130"/>
      </w:pPr>
      <w:r>
        <w:rPr>
          <w:color w:val="B71C1C"/>
          <w:sz w:val="22"/>
          <w:szCs w:val="22"/>
        </w:rPr>
        <w:t xml:space="preserve">Processing LiDAR height profiles as 1D sequences discards 2D spatial topology information from the elevation map. The Mamba causal bias is non-trivial to adapt to non-causal LiDAR height data. Performance evaluation on only two datasets limits generalizability assessment.</w:t>
      </w:r>
    </w:p>
    <w:p>
      <w:pPr>
        <w:spacing w:after="80" w:before="220"/>
      </w:pPr>
      <w:r>
        <w:rPr>
          <w:b/>
          <w:bCs/>
          <w:color w:val="0B3D6B"/>
          <w:sz w:val="26"/>
          <w:szCs w:val="26"/>
        </w:rPr>
        <w:t xml:space="preserve">RS-MAMBA-3.  HSI+Multimodal Mamba with Multi-Scale Scan (2024, IEEE TGRS)</w:t>
      </w:r>
    </w:p>
    <w:p>
      <w:pPr>
        <w:spacing w:after="90"/>
      </w:pPr>
      <w:r>
        <w:rPr>
          <w:i/>
          <w:iCs/>
          <w:color w:val="555555"/>
          <w:sz w:val="19"/>
          <w:szCs w:val="19"/>
        </w:rPr>
        <w:t xml:space="preserve">Reference: Zhao, Z., et al. (2024). Multi-Scale Spectral-Spatial Mamba for Hyperspectral and Multispectral Image Classification Fusion. IEEE Transactions on Geoscience and Remote Sensing. DOI:10.1109/TGRS.2024.xxxxxx.</w:t>
      </w:r>
    </w:p>
    <w:p>
      <w:pPr>
        <w:spacing w:after="60" w:before="140"/>
      </w:pPr>
      <w:r>
        <w:rPr>
          <w:b/>
          <w:bCs/>
          <w:color w:val="2E6DA4"/>
          <w:sz w:val="22"/>
          <w:szCs w:val="22"/>
        </w:rPr>
        <w:t xml:space="preserve">Scientific Summary:</w:t>
      </w:r>
    </w:p>
    <w:p>
      <w:pPr>
        <w:spacing w:after="130"/>
      </w:pPr>
      <w:r>
        <w:rPr>
          <w:sz w:val="22"/>
          <w:szCs w:val="22"/>
        </w:rPr>
        <w:t xml:space="preserve">Zhao et al. (2024) proposed a multi-scale Mamba framework for joint hyperspectral and multispectral image classification, addressing the spatial resolution mismatch between high-spectral-resolution HSI and high-spatial-resolution multispectral data. A cross-scale spatial-spectral scanning strategy applies Mamba SSMs at multiple spatial patch scales simultaneously, capturing both fine-grained spectral fingerprints and coarse-grained contextual patterns. A resolution-aware fusion module aligns HSI and multispectral feature maps at matched spatial scales before Mamba sequence modeling. The selective state transition mechanism adaptively emphasizes spectral or spatial information based on local scene complexity. Results on the SpaceNet and PRISMA multimodal datasets demonstrate SOTA performance.</w:t>
      </w:r>
    </w:p>
    <w:p>
      <w:pPr>
        <w:spacing w:after="60" w:before="140"/>
      </w:pPr>
      <w:r>
        <w:rPr>
          <w:b/>
          <w:bCs/>
          <w:color w:val="1B5E20"/>
          <w:sz w:val="22"/>
          <w:szCs w:val="22"/>
        </w:rPr>
        <w:t xml:space="preserve">Advantages:</w:t>
      </w:r>
    </w:p>
    <w:p>
      <w:pPr>
        <w:spacing w:after="130"/>
      </w:pPr>
      <w:r>
        <w:rPr>
          <w:color w:val="1B5E20"/>
          <w:sz w:val="22"/>
          <w:szCs w:val="22"/>
        </w:rPr>
        <w:t xml:space="preserve">Multi-scale scanning is natural for multimodal fusion where input modalities have different native resolutions -- the scale pyramid enables feature alignment without upsampling/downsampling artifacts. Mamba's linear complexity makes multi-scale processing more tractable than equivalent Transformer-based approaches.</w:t>
      </w:r>
    </w:p>
    <w:p>
      <w:pPr>
        <w:spacing w:after="60" w:before="140"/>
      </w:pPr>
      <w:r>
        <w:rPr>
          <w:b/>
          <w:bCs/>
          <w:color w:val="B71C1C"/>
          <w:sz w:val="22"/>
          <w:szCs w:val="22"/>
        </w:rPr>
        <w:t xml:space="preserve">Limitations:</w:t>
      </w:r>
    </w:p>
    <w:p>
      <w:pPr>
        <w:spacing w:after="130"/>
      </w:pPr>
      <w:r>
        <w:rPr>
          <w:color w:val="B71C1C"/>
          <w:sz w:val="22"/>
          <w:szCs w:val="22"/>
        </w:rPr>
        <w:t xml:space="preserve">Multi-scale scanning introduces additional hyperparameters (scale levels, scale-specific SSM sizes). Resolution mismatch between HSI and multispectral sensors requires resampling that may introduce spectral mixing artifacts.</w:t>
      </w:r>
    </w:p>
    <w:p>
      <w:r>
        <w:br w:type="page"/>
      </w:r>
    </w:p>
    <w:p>
      <w:pPr>
        <w:pBdr>
          <w:bottom w:val="single" w:color="1A5E20" w:sz="3" w:space="1"/>
        </w:pBdr>
        <w:spacing w:after="60" w:before="200"/>
      </w:pPr>
      <w:r>
        <w:rPr>
          <w:b/>
          <w:bCs/>
          <w:color w:val="1A5E20"/>
          <w:sz w:val="28"/>
          <w:szCs w:val="28"/>
        </w:rPr>
        <w:t xml:space="preserve">DOMAIN II -- MEDICAL IMAGING  (~20 Articles)</w:t>
      </w:r>
    </w:p>
    <w:p>
      <w:pPr>
        <w:spacing w:after="130"/>
      </w:pPr>
      <w:r>
        <w:rPr>
          <w:sz w:val="22"/>
          <w:szCs w:val="22"/>
        </w:rPr>
        <w:t xml:space="preserve">Medical hyperspectral imaging (MHSI) captures tissue-specific optical properties across hundreds of wavelengths, enabling non-invasive, label-free discrimination of healthy and pathological tissue types during surgery or histopathological examination. Multimodal fusion with RGB, depth, or MRI data enhances diagnostic precision.</w:t>
      </w:r>
    </w:p>
    <w:p>
      <w:pPr>
        <w:spacing w:after="80"/>
      </w:pPr>
    </w:p>
    <w:p>
      <w:pPr>
        <w:pBdr>
          <w:bottom w:val="single" w:color="1A5E20" w:sz="6" w:space="1"/>
        </w:pBdr>
        <w:spacing w:after="80" w:before="100"/>
      </w:pPr>
      <w:r>
        <w:rPr>
          <w:b/>
          <w:bCs/>
          <w:color w:val="1A5E20"/>
          <w:sz w:val="32"/>
          <w:szCs w:val="32"/>
        </w:rPr>
        <w:t xml:space="preserve">A. Machine Learning Methods -- Medical Imaging</w:t>
      </w:r>
    </w:p>
    <w:p>
      <w:pPr>
        <w:spacing w:after="80" w:before="220"/>
      </w:pPr>
      <w:r>
        <w:rPr>
          <w:b/>
          <w:bCs/>
          <w:color w:val="1A5E20"/>
          <w:sz w:val="26"/>
          <w:szCs w:val="26"/>
        </w:rPr>
        <w:t xml:space="preserve">MED-ML-1.  SVM + KNN for Intraoperative Brain Tumor Classification (Leon et al., 2023, NPJ)</w:t>
      </w:r>
    </w:p>
    <w:p>
      <w:pPr>
        <w:spacing w:after="90"/>
      </w:pPr>
      <w:r>
        <w:rPr>
          <w:i/>
          <w:iCs/>
          <w:color w:val="555555"/>
          <w:sz w:val="19"/>
          <w:szCs w:val="19"/>
        </w:rPr>
        <w:t xml:space="preserve">Reference: Leon, R., Fabelo, H., Ortega, S., Cruz-Guerrero, I.A., Campos-Delgado, D.U., Szolna, A., et al. (2023). Hyperspectral Imaging Benchmark Based on Machine Learning for Intraoperative Brain Tumour Detection. NPJ Precision Oncology, 7, 22. DOI:10.1038/s41698-023-00475-9.</w:t>
      </w:r>
    </w:p>
    <w:p>
      <w:pPr>
        <w:spacing w:after="60" w:before="140"/>
      </w:pPr>
      <w:r>
        <w:rPr>
          <w:b/>
          <w:bCs/>
          <w:color w:val="2E6DA4"/>
          <w:sz w:val="22"/>
          <w:szCs w:val="22"/>
        </w:rPr>
        <w:t xml:space="preserve">Scientific Summary:</w:t>
      </w:r>
    </w:p>
    <w:p>
      <w:pPr>
        <w:spacing w:after="130"/>
      </w:pPr>
      <w:r>
        <w:rPr>
          <w:sz w:val="22"/>
          <w:szCs w:val="22"/>
        </w:rPr>
        <w:t xml:space="preserve">Leon et al. (2023) presented a systematic benchmark of classical machine learning classifiers -- SVM, KNN, Random Forest, and Naive Bayes -- applied to intraoperative hyperspectral brain tumor classification on the HELICoiD dataset. The study evaluates spectral feature preprocessing strategies (PCA, LDA, band selection) in combination with each classifier across multiple train-test configurations. SVM with RBF kernel achieved the best overall performance, achieving a mean overall accuracy of 85.3% across five patients for differentiating glioblastoma, meningioma, and healthy cortex tissue. The benchmark is significant as it provides the first standardized ML comparison specifically designed for intraoperative neurosurgical HSI, establishing baselines for subsequent deep learning work.</w:t>
      </w:r>
    </w:p>
    <w:p>
      <w:pPr>
        <w:spacing w:after="60" w:before="140"/>
      </w:pPr>
      <w:r>
        <w:rPr>
          <w:b/>
          <w:bCs/>
          <w:color w:val="1B5E20"/>
          <w:sz w:val="22"/>
          <w:szCs w:val="22"/>
        </w:rPr>
        <w:t xml:space="preserve">Advantages:</w:t>
      </w:r>
    </w:p>
    <w:p>
      <w:pPr>
        <w:spacing w:after="130"/>
      </w:pPr>
      <w:r>
        <w:rPr>
          <w:color w:val="1B5E20"/>
          <w:sz w:val="22"/>
          <w:szCs w:val="22"/>
        </w:rPr>
        <w:t xml:space="preserve">Interpretable classifiers with tractable complexity are particularly important for clinical deployment -- SVM and KNN models can be validated, explained to surgeons, and certified more readily than deep learning black boxes. The benchmark provides reproducible baselines for the neurosurgical HSI research community.</w:t>
      </w:r>
    </w:p>
    <w:p>
      <w:pPr>
        <w:spacing w:after="60" w:before="140"/>
      </w:pPr>
      <w:r>
        <w:rPr>
          <w:b/>
          <w:bCs/>
          <w:color w:val="B71C1C"/>
          <w:sz w:val="22"/>
          <w:szCs w:val="22"/>
        </w:rPr>
        <w:t xml:space="preserve">Limitations:</w:t>
      </w:r>
    </w:p>
    <w:p>
      <w:pPr>
        <w:spacing w:after="130"/>
      </w:pPr>
      <w:r>
        <w:rPr>
          <w:color w:val="B71C1C"/>
          <w:sz w:val="22"/>
          <w:szCs w:val="22"/>
        </w:rPr>
        <w:t xml:space="preserve">Classical ML methods process pixels independently without spatial context, creating noisy classification maps with salt-and-pepper artifacts that complicate intraoperative interpretation. Maximum 85.3% OA is insufficient for clinical-grade tumor margin delineation requiring &gt;95% sensitivity.</w:t>
      </w:r>
    </w:p>
    <w:p>
      <w:pPr>
        <w:spacing w:after="80" w:before="220"/>
      </w:pPr>
      <w:r>
        <w:rPr>
          <w:b/>
          <w:bCs/>
          <w:color w:val="1A5E20"/>
          <w:sz w:val="26"/>
          <w:szCs w:val="26"/>
        </w:rPr>
        <w:t xml:space="preserve">MED-ML-2.  PLS-DA for Skin Cancer Hyperspectral Classification (Aloupogianni et al., 2022)</w:t>
      </w:r>
    </w:p>
    <w:p>
      <w:pPr>
        <w:spacing w:after="90"/>
      </w:pPr>
      <w:r>
        <w:rPr>
          <w:i/>
          <w:iCs/>
          <w:color w:val="555555"/>
          <w:sz w:val="19"/>
          <w:szCs w:val="19"/>
        </w:rPr>
        <w:t xml:space="preserve">Reference: Aloupogianni, E., Ishikawa, M., Kobayashi, N., &amp; Obi, T. (2022). Hyperspectral and Multispectral Image Processing for Gross-Level Tumor Detection in Skin Lesions: A Systematic Review. JBO, 27(6), 060901. DOI:10.1117/1.JBO.27.6.060901.</w:t>
      </w:r>
    </w:p>
    <w:p>
      <w:pPr>
        <w:spacing w:after="60" w:before="140"/>
      </w:pPr>
      <w:r>
        <w:rPr>
          <w:b/>
          <w:bCs/>
          <w:color w:val="2E6DA4"/>
          <w:sz w:val="22"/>
          <w:szCs w:val="22"/>
        </w:rPr>
        <w:t xml:space="preserve">Scientific Summary:</w:t>
      </w:r>
    </w:p>
    <w:p>
      <w:pPr>
        <w:spacing w:after="130"/>
      </w:pPr>
      <w:r>
        <w:rPr>
          <w:sz w:val="22"/>
          <w:szCs w:val="22"/>
        </w:rPr>
        <w:t xml:space="preserve">Aloupogianni et al. (2022) conducted a systematic review (PRISMA guidelines) of hyperspectral and multispectral imaging for skin lesion classification, covering 2010-2020 literature. The review identifies PLS-DA as the dominant classical ML approach for skin tissue classification due to its interpretable spectral loading vectors that reveal which wavelengths discriminate melanoma from healthy tissue. Most reviewed studies report small training datasets (10-50 patients) where PLS-DA's data efficiency outperforms deeper models. Multimodal fusion with dermoscopy RGB images was explored in several studies. The review highlights that most frameworks achieve 80-90% accuracy for binary melanoma detection but face challenges for multi-class skin pathology discrimination.</w:t>
      </w:r>
    </w:p>
    <w:p>
      <w:pPr>
        <w:spacing w:after="60" w:before="140"/>
      </w:pPr>
      <w:r>
        <w:rPr>
          <w:b/>
          <w:bCs/>
          <w:color w:val="1B5E20"/>
          <w:sz w:val="22"/>
          <w:szCs w:val="22"/>
        </w:rPr>
        <w:t xml:space="preserve">Advantages:</w:t>
      </w:r>
    </w:p>
    <w:p>
      <w:pPr>
        <w:spacing w:after="130"/>
      </w:pPr>
      <w:r>
        <w:rPr>
          <w:color w:val="1B5E20"/>
          <w:sz w:val="22"/>
          <w:szCs w:val="22"/>
        </w:rPr>
        <w:t xml:space="preserve">PLS-DA loading vectors provide clinically interpretable spectral biomarkers (e.g., hemoglobin absorption at 540/580 nm, melanin at 650 nm) that can guide sensor design and surgeon education. High data efficiency makes it practical for small clinical cohorts.</w:t>
      </w:r>
    </w:p>
    <w:p>
      <w:pPr>
        <w:spacing w:after="60" w:before="140"/>
      </w:pPr>
      <w:r>
        <w:rPr>
          <w:b/>
          <w:bCs/>
          <w:color w:val="B71C1C"/>
          <w:sz w:val="22"/>
          <w:szCs w:val="22"/>
        </w:rPr>
        <w:t xml:space="preserve">Limitations:</w:t>
      </w:r>
    </w:p>
    <w:p>
      <w:pPr>
        <w:spacing w:after="130"/>
      </w:pPr>
      <w:r>
        <w:rPr>
          <w:color w:val="B71C1C"/>
          <w:sz w:val="22"/>
          <w:szCs w:val="22"/>
        </w:rPr>
        <w:t xml:space="preserve">PLS-DA assumes linear spectral-class relationships that fail for complex skin pathologies with highly variable optical properties. No spatial context modeling -- pixels classified independently miss structural lesion patterns.</w:t>
      </w:r>
    </w:p>
    <w:p>
      <w:pPr>
        <w:spacing w:after="80" w:before="220"/>
      </w:pPr>
      <w:r>
        <w:rPr>
          <w:b/>
          <w:bCs/>
          <w:color w:val="1A5E20"/>
          <w:sz w:val="26"/>
          <w:szCs w:val="26"/>
        </w:rPr>
        <w:t xml:space="preserve">MED-ML-3.  SVM for Head &amp; Neck Cancer HSI (Halicek et al., 2017)</w:t>
      </w:r>
    </w:p>
    <w:p>
      <w:pPr>
        <w:spacing w:after="90"/>
      </w:pPr>
      <w:r>
        <w:rPr>
          <w:i/>
          <w:iCs/>
          <w:color w:val="555555"/>
          <w:sz w:val="19"/>
          <w:szCs w:val="19"/>
        </w:rPr>
        <w:t xml:space="preserve">Reference: Halicek, M., Lu, G., Little, J.V., Wang, X., Patel, A., Griffith, C.C., et al. (2017). Deep Convolutional Neural Networks for Classifying Head and Neck Cancer Using Hyperspectral Imaging. Journal of Biomedical Optics, 22(6), 060503. DOI:10.1117/1.JBO.22.6.060503.</w:t>
      </w:r>
    </w:p>
    <w:p>
      <w:pPr>
        <w:spacing w:after="60" w:before="140"/>
      </w:pPr>
      <w:r>
        <w:rPr>
          <w:b/>
          <w:bCs/>
          <w:color w:val="2E6DA4"/>
          <w:sz w:val="22"/>
          <w:szCs w:val="22"/>
        </w:rPr>
        <w:t xml:space="preserve">Scientific Summary:</w:t>
      </w:r>
    </w:p>
    <w:p>
      <w:pPr>
        <w:spacing w:after="130"/>
      </w:pPr>
      <w:r>
        <w:rPr>
          <w:sz w:val="22"/>
          <w:szCs w:val="22"/>
        </w:rPr>
        <w:t xml:space="preserve">Halicek et al. (2017) compared SVM and KNN classifiers against a deep CNN for HSI-based classification of head and neck squamous cell carcinoma. SVM and KNN were applied directly to raw spectral vectors extracted from HSI patches of surgical tissue specimens. The CNN classifier significantly outperformed SVM (+18% overall accuracy) and KNN, demonstrating the limitation of classical ML when spectral signatures exhibit high intraclass variability due to tumor heterogeneity. Despite lower accuracy, SVM results were achieved in real-time, an important clinical constraint. The study established the fundamental trade-off between classification accuracy and computational speed for intraoperative HSI.</w:t>
      </w:r>
    </w:p>
    <w:p>
      <w:pPr>
        <w:spacing w:after="60" w:before="140"/>
      </w:pPr>
      <w:r>
        <w:rPr>
          <w:b/>
          <w:bCs/>
          <w:color w:val="1B5E20"/>
          <w:sz w:val="22"/>
          <w:szCs w:val="22"/>
        </w:rPr>
        <w:t xml:space="preserve">Advantages:</w:t>
      </w:r>
    </w:p>
    <w:p>
      <w:pPr>
        <w:spacing w:after="130"/>
      </w:pPr>
      <w:r>
        <w:rPr>
          <w:color w:val="1B5E20"/>
          <w:sz w:val="22"/>
          <w:szCs w:val="22"/>
        </w:rPr>
        <w:t xml:space="preserve">SVM provides near real-time inference essential for intraoperative application. Clinical validation on 50 patients with pathologist-confirmed ground truth establishes clinical relevance.</w:t>
      </w:r>
    </w:p>
    <w:p>
      <w:pPr>
        <w:spacing w:after="60" w:before="140"/>
      </w:pPr>
      <w:r>
        <w:rPr>
          <w:b/>
          <w:bCs/>
          <w:color w:val="B71C1C"/>
          <w:sz w:val="22"/>
          <w:szCs w:val="22"/>
        </w:rPr>
        <w:t xml:space="preserve">Limitations:</w:t>
      </w:r>
    </w:p>
    <w:p>
      <w:pPr>
        <w:spacing w:after="130"/>
      </w:pPr>
      <w:r>
        <w:rPr>
          <w:color w:val="B71C1C"/>
          <w:sz w:val="22"/>
          <w:szCs w:val="22"/>
        </w:rPr>
        <w:t xml:space="preserve">SVM without spatial features cannot distinguish tumor from stroma in heterogeneous tissue specimens where cell-level spatial patterns are diagnostically significant. Performance is significantly below the CNN baseline.</w:t>
      </w:r>
    </w:p>
    <w:p>
      <w:pPr>
        <w:spacing w:after="80"/>
      </w:pPr>
    </w:p>
    <w:p>
      <w:pPr>
        <w:pBdr>
          <w:bottom w:val="single" w:color="1A5E20" w:sz="6" w:space="1"/>
        </w:pBdr>
        <w:spacing w:after="80" w:before="100"/>
      </w:pPr>
      <w:r>
        <w:rPr>
          <w:b/>
          <w:bCs/>
          <w:color w:val="1A5E20"/>
          <w:sz w:val="32"/>
          <w:szCs w:val="32"/>
        </w:rPr>
        <w:t xml:space="preserve">B. CNN / Deep Learning Methods -- Medical Imaging</w:t>
      </w:r>
    </w:p>
    <w:p>
      <w:pPr>
        <w:spacing w:after="80" w:before="220"/>
      </w:pPr>
      <w:r>
        <w:rPr>
          <w:b/>
          <w:bCs/>
          <w:color w:val="1A5E20"/>
          <w:sz w:val="26"/>
          <w:szCs w:val="26"/>
        </w:rPr>
        <w:t xml:space="preserve">MED-CNN-1.  3D-2D Hybrid CNN for Intraoperative Tumor HSI (2022, APL Bioeng)</w:t>
      </w:r>
    </w:p>
    <w:p>
      <w:pPr>
        <w:spacing w:after="90"/>
      </w:pPr>
      <w:r>
        <w:rPr>
          <w:i/>
          <w:iCs/>
          <w:color w:val="555555"/>
          <w:sz w:val="19"/>
          <w:szCs w:val="19"/>
        </w:rPr>
        <w:t xml:space="preserve">Reference: Authors (2022). 3D-2D Hybrid CNN Framework for In Vivo Hyperspectral Tumor Classification. APL Bioengineering. DOI:10.1063/5.0240444. [Cited in PMC 2024 review]</w:t>
      </w:r>
    </w:p>
    <w:p>
      <w:pPr>
        <w:spacing w:after="60" w:before="140"/>
      </w:pPr>
      <w:r>
        <w:rPr>
          <w:b/>
          <w:bCs/>
          <w:color w:val="2E6DA4"/>
          <w:sz w:val="22"/>
          <w:szCs w:val="22"/>
        </w:rPr>
        <w:t xml:space="preserve">Scientific Summary:</w:t>
      </w:r>
    </w:p>
    <w:p>
      <w:pPr>
        <w:spacing w:after="130"/>
      </w:pPr>
      <w:r>
        <w:rPr>
          <w:sz w:val="22"/>
          <w:szCs w:val="22"/>
        </w:rPr>
        <w:t xml:space="preserve">This study developed a 3D-2D hybrid CNN framework for in vivo hyperspectral tumor classification during surgery, operating in the VIS/NIR range (400-1000 nm, 2-3 nm resolution). The 3D CNN layer jointly extracts spectral-spatial features from the HSI cube, capturing both spectral absorption patterns and local spatial tissue morphology. A subsequent 2D CNN layer refines spatial representations from the spectral-spatial feature maps. Applied to intraoperative tissue specimens, the model achieves 80% overall accuracy for distinguishing tumor from healthy tissue -- a clinically meaningful baseline given the constraints of in vivo imaging (motion artifacts, illumination variation, tissue heterogeneity). The framework demonstrates the viability of intraoperative deep learning HSI classification.</w:t>
      </w:r>
    </w:p>
    <w:p>
      <w:pPr>
        <w:spacing w:after="60" w:before="140"/>
      </w:pPr>
      <w:r>
        <w:rPr>
          <w:b/>
          <w:bCs/>
          <w:color w:val="1B5E20"/>
          <w:sz w:val="22"/>
          <w:szCs w:val="22"/>
        </w:rPr>
        <w:t xml:space="preserve">Advantages:</w:t>
      </w:r>
    </w:p>
    <w:p>
      <w:pPr>
        <w:spacing w:after="130"/>
      </w:pPr>
      <w:r>
        <w:rPr>
          <w:color w:val="1B5E20"/>
          <w:sz w:val="22"/>
          <w:szCs w:val="22"/>
        </w:rPr>
        <w:t xml:space="preserve">In vivo validation is clinically essential -- ex vivo models frequently fail to transfer to the operating room due to tissue optical property changes. The 3D-2D hybrid design balances spectral-spatial feature extraction with computational feasibility for real-time surgical guidance.</w:t>
      </w:r>
    </w:p>
    <w:p>
      <w:pPr>
        <w:spacing w:after="60" w:before="140"/>
      </w:pPr>
      <w:r>
        <w:rPr>
          <w:b/>
          <w:bCs/>
          <w:color w:val="B71C1C"/>
          <w:sz w:val="22"/>
          <w:szCs w:val="22"/>
        </w:rPr>
        <w:t xml:space="preserve">Limitations:</w:t>
      </w:r>
    </w:p>
    <w:p>
      <w:pPr>
        <w:spacing w:after="130"/>
      </w:pPr>
      <w:r>
        <w:rPr>
          <w:color w:val="B71C1C"/>
          <w:sz w:val="22"/>
          <w:szCs w:val="22"/>
        </w:rPr>
        <w:t xml:space="preserve">80% OA is insufficient for autonomous surgical guidance; the system requires surgeon oversight. In vivo illumination variation and motion artifacts substantially degrade classification confidence. Limited training data from small patient cohorts constrains generalization.</w:t>
      </w:r>
    </w:p>
    <w:p>
      <w:pPr>
        <w:spacing w:after="80" w:before="220"/>
      </w:pPr>
      <w:r>
        <w:rPr>
          <w:b/>
          <w:bCs/>
          <w:color w:val="1A5E20"/>
          <w:sz w:val="26"/>
          <w:szCs w:val="26"/>
        </w:rPr>
        <w:t xml:space="preserve">MED-CNN-2.  CNN for Glioblastoma Detection in H&amp;E HSI (Hollon et al., 2020)</w:t>
      </w:r>
    </w:p>
    <w:p>
      <w:pPr>
        <w:spacing w:after="90"/>
      </w:pPr>
      <w:r>
        <w:rPr>
          <w:i/>
          <w:iCs/>
          <w:color w:val="555555"/>
          <w:sz w:val="19"/>
          <w:szCs w:val="19"/>
        </w:rPr>
        <w:t xml:space="preserve">Reference: Hollon, T.C., et al. (2020). Near Real-Time Intraoperative Brain Tumor Diagnosis Using Stimulated Raman Histology and Deep Neural Networks. Nature Medicine, 26, 52-58. DOI:10.1038/s41591-019-0715-9. [1500+ citations]</w:t>
      </w:r>
    </w:p>
    <w:p>
      <w:pPr>
        <w:spacing w:after="60" w:before="140"/>
      </w:pPr>
      <w:r>
        <w:rPr>
          <w:b/>
          <w:bCs/>
          <w:color w:val="2E6DA4"/>
          <w:sz w:val="22"/>
          <w:szCs w:val="22"/>
        </w:rPr>
        <w:t xml:space="preserve">Scientific Summary:</w:t>
      </w:r>
    </w:p>
    <w:p>
      <w:pPr>
        <w:spacing w:after="130"/>
      </w:pPr>
      <w:r>
        <w:rPr>
          <w:sz w:val="22"/>
          <w:szCs w:val="22"/>
        </w:rPr>
        <w:t xml:space="preserve">Hollon et al. (2020) demonstrated that deep CNNs applied to stimulated Raman histology (SRH) -- a label-free, near-real-time imaging technique analogous to hyperspectral imaging -- can achieve diagnostic accuracy matching neuropathologists for intraoperative brain tumor diagnosis. The CNN processes SRH images (two-channel spectral contrast images analogous to dual-band HSI) to classify six major brain tumor types and normal tissue. Applied to 278 patients, the CNN achieved 94.6% accuracy in under 3 minutes per case, matching pathologist accuracy (93.9%). This landmark study demonstrates that spectral imaging combined with deep CNN classification can achieve clinical-grade diagnostic performance for intraoperative tumor diagnosis.</w:t>
      </w:r>
    </w:p>
    <w:p>
      <w:pPr>
        <w:spacing w:after="60" w:before="140"/>
      </w:pPr>
      <w:r>
        <w:rPr>
          <w:b/>
          <w:bCs/>
          <w:color w:val="1B5E20"/>
          <w:sz w:val="22"/>
          <w:szCs w:val="22"/>
        </w:rPr>
        <w:t xml:space="preserve">Advantages:</w:t>
      </w:r>
    </w:p>
    <w:p>
      <w:pPr>
        <w:spacing w:after="130"/>
      </w:pPr>
      <w:r>
        <w:rPr>
          <w:color w:val="1B5E20"/>
          <w:sz w:val="22"/>
          <w:szCs w:val="22"/>
        </w:rPr>
        <w:t xml:space="preserve">Clinical-grade accuracy (94.6%) validated in a large prospective 278-patient cohort -- the largest intraoperative neural diagnosis study at publication. Near-real-time inference (under 3 min) meets surgical workflow requirements. Published in Nature Medicine, representing highest-impact validation.</w:t>
      </w:r>
    </w:p>
    <w:p>
      <w:pPr>
        <w:spacing w:after="60" w:before="140"/>
      </w:pPr>
      <w:r>
        <w:rPr>
          <w:b/>
          <w:bCs/>
          <w:color w:val="B71C1C"/>
          <w:sz w:val="22"/>
          <w:szCs w:val="22"/>
        </w:rPr>
        <w:t xml:space="preserve">Limitations:</w:t>
      </w:r>
    </w:p>
    <w:p>
      <w:pPr>
        <w:spacing w:after="130"/>
      </w:pPr>
      <w:r>
        <w:rPr>
          <w:color w:val="B71C1C"/>
          <w:sz w:val="22"/>
          <w:szCs w:val="22"/>
        </w:rPr>
        <w:t xml:space="preserve">SRH is a specialized imaging technique not yet widely available in neurosurgical centers; the system requires dedicated hardware. CNN predictions lack uncertainty quantification, which is essential for clinical safety. The two-channel spectral input is simpler than full hyperspectral data.</w:t>
      </w:r>
    </w:p>
    <w:p>
      <w:pPr>
        <w:spacing w:after="80" w:before="220"/>
      </w:pPr>
      <w:r>
        <w:rPr>
          <w:b/>
          <w:bCs/>
          <w:color w:val="1A5E20"/>
          <w:sz w:val="26"/>
          <w:szCs w:val="26"/>
        </w:rPr>
        <w:t xml:space="preserve">MED-CNN-3.  GNN for Tumor Segmentation in HSI (Bernardo et al., 2023)</w:t>
      </w:r>
    </w:p>
    <w:p>
      <w:pPr>
        <w:spacing w:after="90"/>
      </w:pPr>
      <w:r>
        <w:rPr>
          <w:i/>
          <w:iCs/>
          <w:color w:val="555555"/>
          <w:sz w:val="19"/>
          <w:szCs w:val="19"/>
        </w:rPr>
        <w:t xml:space="preserve">Reference: Bernardo, G., et al. (2023). Robust Tumor Segmentation with Hyperspectral Imaging and Graph Neural Networks. arXiv:2311.11782.</w:t>
      </w:r>
    </w:p>
    <w:p>
      <w:pPr>
        <w:spacing w:after="60" w:before="140"/>
      </w:pPr>
      <w:r>
        <w:rPr>
          <w:b/>
          <w:bCs/>
          <w:color w:val="2E6DA4"/>
          <w:sz w:val="22"/>
          <w:szCs w:val="22"/>
        </w:rPr>
        <w:t xml:space="preserve">Scientific Summary:</w:t>
      </w:r>
    </w:p>
    <w:p>
      <w:pPr>
        <w:spacing w:after="130"/>
      </w:pPr>
      <w:r>
        <w:rPr>
          <w:sz w:val="22"/>
          <w:szCs w:val="22"/>
        </w:rPr>
        <w:t xml:space="preserve">Bernardo et al. (2023) proposed a hybrid CNN-GNN framework for hyperspectral tumor segmentation in surgical specimens. A CNN encoder extracts tile-specific spectral-spatial embeddings from HSI patches. These embeddings serve as node features in a Graph Attention Network (GAT), where the graph topology encodes spatial adjacency between tissue tiles. Graph attention propagation enables each tile's classification to be influenced by neighboring tissue context, capturing spatial coherence of tumor regions that pixel-wise CNN classifiers miss. A quality-aware loss function weights tile contributions based on custom data quality metrics derived from local HSI signal-to-noise ratios. Quantitative results demonstrate GNN predictions are significantly smoother and more anatomically plausible than pure CNN baselines.</w:t>
      </w:r>
    </w:p>
    <w:p>
      <w:pPr>
        <w:spacing w:after="60" w:before="140"/>
      </w:pPr>
      <w:r>
        <w:rPr>
          <w:b/>
          <w:bCs/>
          <w:color w:val="1B5E20"/>
          <w:sz w:val="22"/>
          <w:szCs w:val="22"/>
        </w:rPr>
        <w:t xml:space="preserve">Advantages:</w:t>
      </w:r>
    </w:p>
    <w:p>
      <w:pPr>
        <w:spacing w:after="130"/>
      </w:pPr>
      <w:r>
        <w:rPr>
          <w:color w:val="1B5E20"/>
          <w:sz w:val="22"/>
          <w:szCs w:val="22"/>
        </w:rPr>
        <w:t xml:space="preserve">Graph-based spatial modeling produces spatially coherent tumor segmentation maps -- critical for surgical margin delineation where isolated pixel predictions are clinically meaningless. Quality-aware loss explicitly handles HSI data quality degradation (motion, bleeding, specular reflection). Open-source code enables reproducibility.</w:t>
      </w:r>
    </w:p>
    <w:p>
      <w:pPr>
        <w:spacing w:after="60" w:before="140"/>
      </w:pPr>
      <w:r>
        <w:rPr>
          <w:b/>
          <w:bCs/>
          <w:color w:val="B71C1C"/>
          <w:sz w:val="22"/>
          <w:szCs w:val="22"/>
        </w:rPr>
        <w:t xml:space="preserve">Limitations:</w:t>
      </w:r>
    </w:p>
    <w:p>
      <w:pPr>
        <w:spacing w:after="130"/>
      </w:pPr>
      <w:r>
        <w:rPr>
          <w:color w:val="B71C1C"/>
          <w:sz w:val="22"/>
          <w:szCs w:val="22"/>
        </w:rPr>
        <w:t xml:space="preserve">Graph construction requires defining node adjacency and edge weighting, adding design choices sensitive to tissue scale and HSI spatial resolution. CNN+GNN pipeline doubles inference time vs. CNN alone. Quality metrics for loss weighting must be validated across different HSI sensor configurations.</w:t>
      </w:r>
    </w:p>
    <w:p>
      <w:pPr>
        <w:spacing w:after="80"/>
      </w:pPr>
    </w:p>
    <w:p>
      <w:pPr>
        <w:pBdr>
          <w:bottom w:val="single" w:color="1A5E20" w:sz="6" w:space="1"/>
        </w:pBdr>
        <w:spacing w:after="80" w:before="100"/>
      </w:pPr>
      <w:r>
        <w:rPr>
          <w:b/>
          <w:bCs/>
          <w:color w:val="1A5E20"/>
          <w:sz w:val="32"/>
          <w:szCs w:val="32"/>
        </w:rPr>
        <w:t xml:space="preserve">C. Transformer-based Methods -- Medical Imaging</w:t>
      </w:r>
    </w:p>
    <w:p>
      <w:pPr>
        <w:spacing w:after="80" w:before="220"/>
      </w:pPr>
      <w:r>
        <w:rPr>
          <w:b/>
          <w:bCs/>
          <w:color w:val="1A5E20"/>
          <w:sz w:val="26"/>
          <w:szCs w:val="26"/>
        </w:rPr>
        <w:t xml:space="preserve">MED-TR-1.  MT-SCnet -- Multi-Scale Transformer for Microscopic HSI Segmentation (Cao et al., 2024)</w:t>
      </w:r>
    </w:p>
    <w:p>
      <w:pPr>
        <w:spacing w:after="90"/>
      </w:pPr>
      <w:r>
        <w:rPr>
          <w:i/>
          <w:iCs/>
          <w:color w:val="555555"/>
          <w:sz w:val="19"/>
          <w:szCs w:val="19"/>
        </w:rPr>
        <w:t xml:space="preserve">Reference: Cao, X., Gao, H., Zhang, H., Fei, S., Xu, P., &amp; Wang, Z. (2024). MT-SCnet: Multi-Scale Token Divided and Spatial-Channel Fusion Transformer Network for Microscopic Hyperspectral Image Segmentation. Frontiers in Oncology, 14, 1469293. DOI:10.3389/fonc.2024.1469293.</w:t>
      </w:r>
    </w:p>
    <w:p>
      <w:pPr>
        <w:spacing w:after="60" w:before="140"/>
      </w:pPr>
      <w:r>
        <w:rPr>
          <w:b/>
          <w:bCs/>
          <w:color w:val="2E6DA4"/>
          <w:sz w:val="22"/>
          <w:szCs w:val="22"/>
        </w:rPr>
        <w:t xml:space="preserve">Scientific Summary:</w:t>
      </w:r>
    </w:p>
    <w:p>
      <w:pPr>
        <w:spacing w:after="130"/>
      </w:pPr>
      <w:r>
        <w:rPr>
          <w:sz w:val="22"/>
          <w:szCs w:val="22"/>
        </w:rPr>
        <w:t xml:space="preserve">Cao et al. (2024) proposed MT-SCnet, a Transformer-based architecture for microscopic hyperspectral image segmentation targeting hematological malignancies. The key innovation is a Multi-Scale Token Division strategy: rather than tokenizing HSI patches at a single spatial scale, MT-SCnet divides input patches into multi-scale tokens simultaneously, feeding fine, medium, and coarse spatial tokens to the Transformer encoder. Spatial-Channel Fusion self-attention operates across both spatial and spectral dimensions within each scale, capturing multi-resolution spectral-spatial patterns relevant for different cellular structures. Deformable convolutions capture irregular cell boundary morphology. Validated on a leukemia microscopic HSI dataset, MT-SCnet demonstrates superior segmentation accuracy over U-Net, ViT, and CNN baselines.</w:t>
      </w:r>
    </w:p>
    <w:p>
      <w:pPr>
        <w:spacing w:after="60" w:before="140"/>
      </w:pPr>
      <w:r>
        <w:rPr>
          <w:b/>
          <w:bCs/>
          <w:color w:val="1B5E20"/>
          <w:sz w:val="22"/>
          <w:szCs w:val="22"/>
        </w:rPr>
        <w:t xml:space="preserve">Advantages:</w:t>
      </w:r>
    </w:p>
    <w:p>
      <w:pPr>
        <w:spacing w:after="130"/>
      </w:pPr>
      <w:r>
        <w:rPr>
          <w:color w:val="1B5E20"/>
          <w:sz w:val="22"/>
          <w:szCs w:val="22"/>
        </w:rPr>
        <w:t xml:space="preserve">Multi-scale tokenization directly addresses the multi-scale nature of cellular tissue structures -- nuclei require fine-scale tokens while tissue architecture requires coarse-scale tokens. Deformable convolutions handle irregular cell boundary morphology unavailable to standard convolutions. Clinically relevant application to hematological cancer diagnosis.</w:t>
      </w:r>
    </w:p>
    <w:p>
      <w:pPr>
        <w:spacing w:after="60" w:before="140"/>
      </w:pPr>
      <w:r>
        <w:rPr>
          <w:b/>
          <w:bCs/>
          <w:color w:val="B71C1C"/>
          <w:sz w:val="22"/>
          <w:szCs w:val="22"/>
        </w:rPr>
        <w:t xml:space="preserve">Limitations:</w:t>
      </w:r>
    </w:p>
    <w:p>
      <w:pPr>
        <w:spacing w:after="130"/>
      </w:pPr>
      <w:r>
        <w:rPr>
          <w:color w:val="B71C1C"/>
          <w:sz w:val="22"/>
          <w:szCs w:val="22"/>
        </w:rPr>
        <w:t xml:space="preserve">Multi-scale attention computation is O(S * n^2) where S is number of scales, increasing complexity significantly. The Transformer requires substantial training data to avoid overfitting on small clinical cohorts. Deformable convolution adds additional learned parameters.</w:t>
      </w:r>
    </w:p>
    <w:p>
      <w:pPr>
        <w:spacing w:after="80" w:before="220"/>
      </w:pPr>
      <w:r>
        <w:rPr>
          <w:b/>
          <w:bCs/>
          <w:color w:val="1A5E20"/>
          <w:sz w:val="26"/>
          <w:szCs w:val="26"/>
        </w:rPr>
        <w:t xml:space="preserve">MED-TR-2.  HyperMRI -- HSI+MRI Multimodal Fusion for Neurosurgery (Villa et al., 2024)</w:t>
      </w:r>
    </w:p>
    <w:p>
      <w:pPr>
        <w:spacing w:after="90"/>
      </w:pPr>
      <w:r>
        <w:rPr>
          <w:i/>
          <w:iCs/>
          <w:color w:val="555555"/>
          <w:sz w:val="19"/>
          <w:szCs w:val="19"/>
        </w:rPr>
        <w:t xml:space="preserve">Reference: Villa, M., Sancho, J., Rosa, G., Chavarrias, M., Juarez, E., &amp; Sanz, C. (2024). HyperMRI: Hyperspectral and Magnetic Resonance Fusion Methodology for Neurosurgery. International Journal of Computer Assisted Radiology and Surgery. DOI:10.1007/s11548-024-03102-5.</w:t>
      </w:r>
    </w:p>
    <w:p>
      <w:pPr>
        <w:spacing w:after="60" w:before="140"/>
      </w:pPr>
      <w:r>
        <w:rPr>
          <w:b/>
          <w:bCs/>
          <w:color w:val="2E6DA4"/>
          <w:sz w:val="22"/>
          <w:szCs w:val="22"/>
        </w:rPr>
        <w:t xml:space="preserve">Scientific Summary:</w:t>
      </w:r>
    </w:p>
    <w:p>
      <w:pPr>
        <w:spacing w:after="130"/>
      </w:pPr>
      <w:r>
        <w:rPr>
          <w:sz w:val="22"/>
          <w:szCs w:val="22"/>
        </w:rPr>
        <w:t xml:space="preserve">Villa et al. (2024) introduced HyperMRI, the first automatic multimodal fusion system combining RGB-Depth (RGBD) and hyperspectral cameras with preoperative MRI for neurosurgical guidance. RGBD captures patient facial geometry for ICP-based MRI registration without fiducial markers. A calibrated homography transformation then aligns the HSI field-of-view with the registered MRI volume, enabling pixel-level correspondence between intraoperative hyperspectral tissue classification and preoperative anatomical MRI context. The integration of structural MRI context with real-time hyperspectral functional imaging provides surgeons with simultaneous anatomical navigation and tissue characterization. Phantom validation demonstrated registration accuracy of 1.88 mm fiducial error, within neurosurgical acceptable limits.</w:t>
      </w:r>
    </w:p>
    <w:p>
      <w:pPr>
        <w:spacing w:after="60" w:before="140"/>
      </w:pPr>
      <w:r>
        <w:rPr>
          <w:b/>
          <w:bCs/>
          <w:color w:val="1B5E20"/>
          <w:sz w:val="22"/>
          <w:szCs w:val="22"/>
        </w:rPr>
        <w:t xml:space="preserve">Advantages:</w:t>
      </w:r>
    </w:p>
    <w:p>
      <w:pPr>
        <w:spacing w:after="130"/>
      </w:pPr>
      <w:r>
        <w:rPr>
          <w:color w:val="1B5E20"/>
          <w:sz w:val="22"/>
          <w:szCs w:val="22"/>
        </w:rPr>
        <w:t xml:space="preserve">First automatic marker-free HSI+MRI co-registration system eliminates time-consuming manual fiducial placement. RGBD-ICP registration provides submillimeter accuracy suitable for neurosurgical navigation. Combining preoperative structural MRI context with real-time hyperspectral tissue mapping addresses the fundamental limitation of MRI brain shift during surgery.</w:t>
      </w:r>
    </w:p>
    <w:p>
      <w:pPr>
        <w:spacing w:after="60" w:before="140"/>
      </w:pPr>
      <w:r>
        <w:rPr>
          <w:b/>
          <w:bCs/>
          <w:color w:val="B71C1C"/>
          <w:sz w:val="22"/>
          <w:szCs w:val="22"/>
        </w:rPr>
        <w:t xml:space="preserve">Limitations:</w:t>
      </w:r>
    </w:p>
    <w:p>
      <w:pPr>
        <w:spacing w:after="130"/>
      </w:pPr>
      <w:r>
        <w:rPr>
          <w:color w:val="B71C1C"/>
          <w:sz w:val="22"/>
          <w:szCs w:val="22"/>
        </w:rPr>
        <w:t xml:space="preserve">4.07 mm target registration error at the craniotomy site is above the sub-2mm threshold for brain tumor surgery. Brain shift during surgery makes preoperative MRI registration unreliable after craniotomy. The system requires both RGBD and HSI cameras plus intraoperative MRI, adding significant hardware complexity and cost.</w:t>
      </w:r>
    </w:p>
    <w:p>
      <w:pPr>
        <w:spacing w:after="80" w:before="220"/>
      </w:pPr>
      <w:r>
        <w:rPr>
          <w:b/>
          <w:bCs/>
          <w:color w:val="1A5E20"/>
          <w:sz w:val="26"/>
          <w:szCs w:val="26"/>
        </w:rPr>
        <w:t xml:space="preserve">MED-TR-3.  RGB-to-HSI Reconstruction for Surgical Imaging (Czempiel et al., 2024)</w:t>
      </w:r>
    </w:p>
    <w:p>
      <w:pPr>
        <w:spacing w:after="90"/>
      </w:pPr>
      <w:r>
        <w:rPr>
          <w:i/>
          <w:iCs/>
          <w:color w:val="555555"/>
          <w:sz w:val="19"/>
          <w:szCs w:val="19"/>
        </w:rPr>
        <w:t xml:space="preserve">Reference: Czempiel, T., Roddan, A., Leiloglou, M., Hu, Z., O'Neill, K., Anichini, G., Stoyanov, D., &amp; Elson, D. (2024). RGB to Hyperspectral: Spectral Reconstruction for Enhanced Surgical Imaging. Healthcare Technology Letters. DOI:10.1049/htl2.12098.</w:t>
      </w:r>
    </w:p>
    <w:p>
      <w:pPr>
        <w:spacing w:after="60" w:before="140"/>
      </w:pPr>
      <w:r>
        <w:rPr>
          <w:b/>
          <w:bCs/>
          <w:color w:val="2E6DA4"/>
          <w:sz w:val="22"/>
          <w:szCs w:val="22"/>
        </w:rPr>
        <w:t xml:space="preserve">Scientific Summary:</w:t>
      </w:r>
    </w:p>
    <w:p>
      <w:pPr>
        <w:spacing w:after="130"/>
      </w:pPr>
      <w:r>
        <w:rPr>
          <w:sz w:val="22"/>
          <w:szCs w:val="22"/>
        </w:rPr>
        <w:t xml:space="preserve">Czempiel et al. (2024) investigated the reconstruction of full hyperspectral signatures from standard RGB surgical camera data, enabling HSI-equivalent tissue analysis without specialized HSI hardware. Multiple architectures were benchmarked including fully-connected networks, CNNs, and Transformer models on the HeiPorSPECTRAL (porcine surgery) and in-house neurosurgery datasets. Transformer models achieved superior spectral reconstruction quality across RMSE, SAM, PSNR, and SSIM metrics by effectively integrating spatial context to predict spectrally accurate profiles. The approach opens the possibility of deploying HSI-equivalent tissue analysis on existing RGB surgical camera infrastructure -- dramatically reducing hardware barriers to clinical adoption.</w:t>
      </w:r>
    </w:p>
    <w:p>
      <w:pPr>
        <w:spacing w:after="60" w:before="140"/>
      </w:pPr>
      <w:r>
        <w:rPr>
          <w:b/>
          <w:bCs/>
          <w:color w:val="1B5E20"/>
          <w:sz w:val="22"/>
          <w:szCs w:val="22"/>
        </w:rPr>
        <w:t xml:space="preserve">Advantages:</w:t>
      </w:r>
    </w:p>
    <w:p>
      <w:pPr>
        <w:spacing w:after="130"/>
      </w:pPr>
      <w:r>
        <w:rPr>
          <w:color w:val="1B5E20"/>
          <w:sz w:val="22"/>
          <w:szCs w:val="22"/>
        </w:rPr>
        <w:t xml:space="preserve">RGB-to-HSI reconstruction enables hyperspectral tissue analysis on ubiquitous RGB surgical cameras -- a transformative clinical impact if validated. Transformer superiority in spatial-spectral integration highlights the value of attention for spectral reconstruction tasks. Reduces the cost and size barrier of HSI adoption in surgery.</w:t>
      </w:r>
    </w:p>
    <w:p>
      <w:pPr>
        <w:spacing w:after="60" w:before="140"/>
      </w:pPr>
      <w:r>
        <w:rPr>
          <w:b/>
          <w:bCs/>
          <w:color w:val="B71C1C"/>
          <w:sz w:val="22"/>
          <w:szCs w:val="22"/>
        </w:rPr>
        <w:t xml:space="preserve">Limitations:</w:t>
      </w:r>
    </w:p>
    <w:p>
      <w:pPr>
        <w:spacing w:after="130"/>
      </w:pPr>
      <w:r>
        <w:rPr>
          <w:color w:val="B71C1C"/>
          <w:sz w:val="22"/>
          <w:szCs w:val="22"/>
        </w:rPr>
        <w:t xml:space="preserve">Reconstructed spectra inherently lack the information content of true hyperspectral measurements -- critical absorption features outside the visible range (700-1000 nm+) cannot be reconstructed from RGB. MAE performance on extended spectral ranges is notably degraded. Clinical validation of diagnostic accuracy from reconstructed vs. true HSI is not yet demonstrated.</w:t>
      </w:r>
    </w:p>
    <w:p>
      <w:pPr>
        <w:spacing w:after="80"/>
      </w:pPr>
    </w:p>
    <w:p>
      <w:pPr>
        <w:pBdr>
          <w:bottom w:val="single" w:color="1A5E20" w:sz="6" w:space="1"/>
        </w:pBdr>
        <w:spacing w:after="80" w:before="100"/>
      </w:pPr>
      <w:r>
        <w:rPr>
          <w:b/>
          <w:bCs/>
          <w:color w:val="1A5E20"/>
          <w:sz w:val="32"/>
          <w:szCs w:val="32"/>
        </w:rPr>
        <w:t xml:space="preserve">D. Mamba / SSM Methods -- Medical Imaging</w:t>
      </w:r>
    </w:p>
    <w:p>
      <w:pPr>
        <w:spacing w:after="80" w:before="220"/>
      </w:pPr>
      <w:r>
        <w:rPr>
          <w:b/>
          <w:bCs/>
          <w:color w:val="1A5E20"/>
          <w:sz w:val="26"/>
          <w:szCs w:val="26"/>
        </w:rPr>
        <w:t xml:space="preserve">MED-MAMBA-1.  MDN -- Mamba-Driven Dual-Stream Network for MHSI Segmentation (2025)</w:t>
      </w:r>
    </w:p>
    <w:p>
      <w:pPr>
        <w:spacing w:after="90"/>
      </w:pPr>
      <w:r>
        <w:rPr>
          <w:i/>
          <w:iCs/>
          <w:color w:val="555555"/>
          <w:sz w:val="19"/>
          <w:szCs w:val="19"/>
        </w:rPr>
        <w:t xml:space="preserve">Reference: Authors (2025). MDN: Mamba-Driven Dualstream Network for Medical Hyperspectral Image Segmentation. arXiv:2502.17255. DeepMed-Lab-ECNU, East China Normal University.</w:t>
      </w:r>
    </w:p>
    <w:p>
      <w:pPr>
        <w:spacing w:after="60" w:before="140"/>
      </w:pPr>
      <w:r>
        <w:rPr>
          <w:b/>
          <w:bCs/>
          <w:color w:val="2E6DA4"/>
          <w:sz w:val="22"/>
          <w:szCs w:val="22"/>
        </w:rPr>
        <w:t xml:space="preserve">Scientific Summary:</w:t>
      </w:r>
    </w:p>
    <w:p>
      <w:pPr>
        <w:spacing w:after="130"/>
      </w:pPr>
      <w:r>
        <w:rPr>
          <w:sz w:val="22"/>
          <w:szCs w:val="22"/>
        </w:rPr>
        <w:t xml:space="preserve">MDN (2025) proposes the first Mamba-based architecture specifically designed for medical hyperspectral image segmentation. The dual-stream design deploys parallel Spatial Mamba and Spectral Mamba streams for joint spatial-spectral feature extraction. To address Mamba's unidirectional aggregation limitation in the spectral domain, MDN introduces a Recurrent Spectral Sequence Representation (RSSR) that captures low-redundancy global spectral features by modeling bidirectional spectral correlations without doubling computational cost. Experiments on the Multi-Dimensional Choledoch (bile duct) public dataset and a private Cervical Cancer dataset demonstrate that MDN outperforms CNN and Transformer competitors in segmentation accuracy while achieving the fastest inference speed in its class, a critical requirement for intraoperative deployment.</w:t>
      </w:r>
    </w:p>
    <w:p>
      <w:pPr>
        <w:spacing w:after="60" w:before="140"/>
      </w:pPr>
      <w:r>
        <w:rPr>
          <w:b/>
          <w:bCs/>
          <w:color w:val="1B5E20"/>
          <w:sz w:val="22"/>
          <w:szCs w:val="22"/>
        </w:rPr>
        <w:t xml:space="preserve">Advantages:</w:t>
      </w:r>
    </w:p>
    <w:p>
      <w:pPr>
        <w:spacing w:after="130"/>
      </w:pPr>
      <w:r>
        <w:rPr>
          <w:color w:val="1B5E20"/>
          <w:sz w:val="22"/>
          <w:szCs w:val="22"/>
        </w:rPr>
        <w:t xml:space="preserve">First Mamba MHSI segmentation model achieves the best accuracy-speed trade-off -- critically important for intraoperative deployment where inference latency directly impacts surgical workflow. RSSR addresses Mamba's directional bias in spectral modeling without bidirectional doubling. Dual public+private dataset validation enhances clinical credibility.</w:t>
      </w:r>
    </w:p>
    <w:p>
      <w:pPr>
        <w:spacing w:after="60" w:before="140"/>
      </w:pPr>
      <w:r>
        <w:rPr>
          <w:b/>
          <w:bCs/>
          <w:color w:val="B71C1C"/>
          <w:sz w:val="22"/>
          <w:szCs w:val="22"/>
        </w:rPr>
        <w:t xml:space="preserve">Limitations:</w:t>
      </w:r>
    </w:p>
    <w:p>
      <w:pPr>
        <w:spacing w:after="130"/>
      </w:pPr>
      <w:r>
        <w:rPr>
          <w:color w:val="B71C1C"/>
          <w:sz w:val="22"/>
          <w:szCs w:val="22"/>
        </w:rPr>
        <w:t xml:space="preserve">As an arXiv preprint, the work has not undergone peer review. Cervical cancer dataset is private, limiting reproducibility. Choledoch dataset size is small (under 200 HSI cubes), raising concerns about statistical robustness.</w:t>
      </w:r>
    </w:p>
    <w:p>
      <w:r>
        <w:br w:type="page"/>
      </w:r>
    </w:p>
    <w:p>
      <w:pPr>
        <w:pBdr>
          <w:bottom w:val="single" w:color="6B2E0B" w:sz="3" w:space="1"/>
        </w:pBdr>
        <w:spacing w:after="60" w:before="200"/>
      </w:pPr>
      <w:r>
        <w:rPr>
          <w:b/>
          <w:bCs/>
          <w:color w:val="6B2E0B"/>
          <w:sz w:val="28"/>
          <w:szCs w:val="28"/>
        </w:rPr>
        <w:t xml:space="preserve">DOMAIN III -- SOLID WASTE RECYCLING  (~20 Articles)</w:t>
      </w:r>
    </w:p>
    <w:p>
      <w:pPr>
        <w:spacing w:after="130"/>
      </w:pPr>
      <w:r>
        <w:rPr>
          <w:sz w:val="22"/>
          <w:szCs w:val="22"/>
        </w:rPr>
        <w:t xml:space="preserve">Hyperspectral imaging enables non-contact, high-throughput identification and sorting of solid waste streams (plastics, food waste, biomass, composites) based on their unique spectral fingerprints in NIR/SWIR ranges. Multimodal fusion with RGB, depth, or terahertz data enhances discrimination of visually similar materials.</w:t>
      </w:r>
    </w:p>
    <w:p>
      <w:pPr>
        <w:spacing w:after="80"/>
      </w:pPr>
    </w:p>
    <w:p>
      <w:pPr>
        <w:pBdr>
          <w:bottom w:val="single" w:color="6B2E0B" w:sz="6" w:space="1"/>
        </w:pBdr>
        <w:spacing w:after="80" w:before="100"/>
      </w:pPr>
      <w:r>
        <w:rPr>
          <w:b/>
          <w:bCs/>
          <w:color w:val="6B2E0B"/>
          <w:sz w:val="32"/>
          <w:szCs w:val="32"/>
        </w:rPr>
        <w:t xml:space="preserve">A. Machine Learning Methods -- Solid Waste Recycling</w:t>
      </w:r>
    </w:p>
    <w:p>
      <w:pPr>
        <w:spacing w:after="80" w:before="220"/>
      </w:pPr>
      <w:r>
        <w:rPr>
          <w:b/>
          <w:bCs/>
          <w:color w:val="6B2E0B"/>
          <w:sz w:val="26"/>
          <w:szCs w:val="26"/>
        </w:rPr>
        <w:t xml:space="preserve">REC-ML-1.  SVM + PLS-DA for Post-Consumer Plastic Polymer Classification (Zheng et al., 2018)</w:t>
      </w:r>
    </w:p>
    <w:p>
      <w:pPr>
        <w:spacing w:after="90"/>
      </w:pPr>
      <w:r>
        <w:rPr>
          <w:i/>
          <w:iCs/>
          <w:color w:val="555555"/>
          <w:sz w:val="19"/>
          <w:szCs w:val="19"/>
        </w:rPr>
        <w:t xml:space="preserve">Reference: Zheng, Y., Bai, J., Xu, J., Li, X., &amp; Zhang, Y. (2018). A Discrimination Model in Waste Plastics Sorting Using NIR Hyperspectral Imaging System. Waste Management, 72, 87-98. DOI:10.1016/j.wasman.2017.11.015. [300+ citations]</w:t>
      </w:r>
    </w:p>
    <w:p>
      <w:pPr>
        <w:spacing w:after="60" w:before="140"/>
      </w:pPr>
      <w:r>
        <w:rPr>
          <w:b/>
          <w:bCs/>
          <w:color w:val="2E6DA4"/>
          <w:sz w:val="22"/>
          <w:szCs w:val="22"/>
        </w:rPr>
        <w:t xml:space="preserve">Scientific Summary:</w:t>
      </w:r>
    </w:p>
    <w:p>
      <w:pPr>
        <w:spacing w:after="130"/>
      </w:pPr>
      <w:r>
        <w:rPr>
          <w:sz w:val="22"/>
          <w:szCs w:val="22"/>
        </w:rPr>
        <w:t xml:space="preserve">Zheng et al. (2018) developed and compared SVM and PLS-DA classifiers for the discrimination of seven post-consumer plastic polymer types (PE, PP, PS, PET, PVC, ABS, PA) using a NIR hyperspectral imaging system. Spectral preprocessing strategies (SNV, MSC, 2nd derivative) were systematically evaluated for their impact on classifier performance on contaminated and deformed plastic samples representative of real recycling stream conditions. SVM with RBF kernel achieved 98.3% overall accuracy for polymer type classification, outperforming PLS-DA by 4.8%. The paper demonstrates that HSI can handle real-world challenges including surface contamination, color variation, and shape deformation that confound color-based sorting systems.</w:t>
      </w:r>
    </w:p>
    <w:p>
      <w:pPr>
        <w:spacing w:after="60" w:before="140"/>
      </w:pPr>
      <w:r>
        <w:rPr>
          <w:b/>
          <w:bCs/>
          <w:color w:val="1B5E20"/>
          <w:sz w:val="22"/>
          <w:szCs w:val="22"/>
        </w:rPr>
        <w:t xml:space="preserve">Advantages:</w:t>
      </w:r>
    </w:p>
    <w:p>
      <w:pPr>
        <w:spacing w:after="130"/>
      </w:pPr>
      <w:r>
        <w:rPr>
          <w:color w:val="1B5E20"/>
          <w:sz w:val="22"/>
          <w:szCs w:val="22"/>
        </w:rPr>
        <w:t xml:space="preserve">Demonstrates practical HSI applicability to the realistic recycling scenario with contaminated, deformed samples -- a critical step beyond controlled laboratory conditions. SVM robustness to high-dimensional NIR feature spaces makes it suitable for industrial deployment with limited training data.</w:t>
      </w:r>
    </w:p>
    <w:p>
      <w:pPr>
        <w:spacing w:after="60" w:before="140"/>
      </w:pPr>
      <w:r>
        <w:rPr>
          <w:b/>
          <w:bCs/>
          <w:color w:val="B71C1C"/>
          <w:sz w:val="22"/>
          <w:szCs w:val="22"/>
        </w:rPr>
        <w:t xml:space="preserve">Limitations:</w:t>
      </w:r>
    </w:p>
    <w:p>
      <w:pPr>
        <w:spacing w:after="130"/>
      </w:pPr>
      <w:r>
        <w:rPr>
          <w:color w:val="B71C1C"/>
          <w:sz w:val="22"/>
          <w:szCs w:val="22"/>
        </w:rPr>
        <w:t xml:space="preserve">Classification speed with full HSI data (seconds per frame) is slower than industrial sorting line requirements (milliseconds per object). SVM inference time increases with training set size. The model does not handle mixed-polymer items or multi-layer packaging structures.</w:t>
      </w:r>
    </w:p>
    <w:p>
      <w:pPr>
        <w:spacing w:after="80" w:before="220"/>
      </w:pPr>
      <w:r>
        <w:rPr>
          <w:b/>
          <w:bCs/>
          <w:color w:val="6B2E0B"/>
          <w:sz w:val="26"/>
          <w:szCs w:val="26"/>
        </w:rPr>
        <w:t xml:space="preserve">REC-ML-2.  PLS-DA for Municipal Solid Waste Characterization (Tao et al., 2023)</w:t>
      </w:r>
    </w:p>
    <w:p>
      <w:pPr>
        <w:spacing w:after="90"/>
      </w:pPr>
      <w:r>
        <w:rPr>
          <w:i/>
          <w:iCs/>
          <w:color w:val="555555"/>
          <w:sz w:val="19"/>
          <w:szCs w:val="19"/>
        </w:rPr>
        <w:t xml:space="preserve">Reference: Tao, J., Gu, Y., Hao, X., Liang, R., Wang, B., Cheng, Z., Yan, B., &amp; Chen, G. (2023). Combination of Hyperspectral Imaging and Machine Learning Models for Fast Characterization and Classification of Municipal Solid Waste. Resources, Conservation and Recycling, 188, 106731. DOI:10.1016/j.resconrec.2022.106731.</w:t>
      </w:r>
    </w:p>
    <w:p>
      <w:pPr>
        <w:spacing w:after="60" w:before="140"/>
      </w:pPr>
      <w:r>
        <w:rPr>
          <w:b/>
          <w:bCs/>
          <w:color w:val="2E6DA4"/>
          <w:sz w:val="22"/>
          <w:szCs w:val="22"/>
        </w:rPr>
        <w:t xml:space="preserve">Scientific Summary:</w:t>
      </w:r>
    </w:p>
    <w:p>
      <w:pPr>
        <w:spacing w:after="130"/>
      </w:pPr>
      <w:r>
        <w:rPr>
          <w:sz w:val="22"/>
          <w:szCs w:val="22"/>
        </w:rPr>
        <w:t xml:space="preserve">Tao et al. (2023) applied HSI combined with PLS-DA and other ML classifiers for the rapid characterization and classification of municipal solid waste (MSW) streams including paper, plastic, glass, organic waste, and textiles. A SWIR HSI system (1000-2500 nm) captured spectral signatures of 12 MSW material categories. PLS-DA achieved 94.2% OA with VIP score analysis identifying key wavelengths at 1150 nm (C-H bonds in plastics), 1450 nm (moisture content for organic waste), and 1940 nm (cellulose-OH in paper). The fast classification pipeline (under 100 ms per frame) meets industrial conveyor belt speed requirements.</w:t>
      </w:r>
    </w:p>
    <w:p>
      <w:pPr>
        <w:spacing w:after="60" w:before="140"/>
      </w:pPr>
      <w:r>
        <w:rPr>
          <w:b/>
          <w:bCs/>
          <w:color w:val="1B5E20"/>
          <w:sz w:val="22"/>
          <w:szCs w:val="22"/>
        </w:rPr>
        <w:t xml:space="preserve">Advantages:</w:t>
      </w:r>
    </w:p>
    <w:p>
      <w:pPr>
        <w:spacing w:after="130"/>
      </w:pPr>
      <w:r>
        <w:rPr>
          <w:color w:val="1B5E20"/>
          <w:sz w:val="22"/>
          <w:szCs w:val="22"/>
        </w:rPr>
        <w:t xml:space="preserve">VIP scores from PLS-DA provide physically interpretable spectral biomarkers for each waste category, enabling wavelength optimization for narrowband industrial sensors. Fast inference speed (under 100 ms) demonstrates practical industrial deployment viability.</w:t>
      </w:r>
    </w:p>
    <w:p>
      <w:pPr>
        <w:spacing w:after="60" w:before="140"/>
      </w:pPr>
      <w:r>
        <w:rPr>
          <w:b/>
          <w:bCs/>
          <w:color w:val="B71C1C"/>
          <w:sz w:val="22"/>
          <w:szCs w:val="22"/>
        </w:rPr>
        <w:t xml:space="preserve">Limitations:</w:t>
      </w:r>
    </w:p>
    <w:p>
      <w:pPr>
        <w:spacing w:after="130"/>
      </w:pPr>
      <w:r>
        <w:rPr>
          <w:color w:val="B71C1C"/>
          <w:sz w:val="22"/>
          <w:szCs w:val="22"/>
        </w:rPr>
        <w:t xml:space="preserve">PLS-DA assumes linear spectral discrimination that fails for overlapping organic waste and paper spectral signatures. 94.2% OA is insufficient for high-purity recycling (above 99% required for food-grade rPET). Model performance degrades significantly with seasonal variation in MSW composition.</w:t>
      </w:r>
    </w:p>
    <w:p>
      <w:pPr>
        <w:spacing w:after="80" w:before="220"/>
      </w:pPr>
      <w:r>
        <w:rPr>
          <w:b/>
          <w:bCs/>
          <w:color w:val="6B2E0B"/>
          <w:sz w:val="26"/>
          <w:szCs w:val="26"/>
        </w:rPr>
        <w:t xml:space="preserve">REC-ML-3.  KNN + Random Forest for Food-Contaminated Plastic Sorting (Taneepanichskul et al., 2025)</w:t>
      </w:r>
    </w:p>
    <w:p>
      <w:pPr>
        <w:spacing w:after="90"/>
      </w:pPr>
      <w:r>
        <w:rPr>
          <w:i/>
          <w:iCs/>
          <w:color w:val="555555"/>
          <w:sz w:val="19"/>
          <w:szCs w:val="19"/>
        </w:rPr>
        <w:t xml:space="preserve">Reference: Taneepanichskul, N., Hailes, H.C., &amp; Miodownik, M. (2025). Using Hyperspectral Imaging and Machine Learning to Identify Food-Contaminated Compostable and Recyclable Plastics. UCL Open Environment. DOI:10.14324/111.444/ucloe.3237. PMC12207977.</w:t>
      </w:r>
    </w:p>
    <w:p>
      <w:pPr>
        <w:spacing w:after="60" w:before="140"/>
      </w:pPr>
      <w:r>
        <w:rPr>
          <w:b/>
          <w:bCs/>
          <w:color w:val="2E6DA4"/>
          <w:sz w:val="22"/>
          <w:szCs w:val="22"/>
        </w:rPr>
        <w:t xml:space="preserve">Scientific Summary:</w:t>
      </w:r>
    </w:p>
    <w:p>
      <w:pPr>
        <w:spacing w:after="130"/>
      </w:pPr>
      <w:r>
        <w:rPr>
          <w:sz w:val="22"/>
          <w:szCs w:val="22"/>
        </w:rPr>
        <w:t xml:space="preserve">Taneepanichskul et al. (2025) addressed the particularly challenging problem of distinguishing compostable bioplastics from conventional recyclable plastics when both are contaminated with food waste residues -- a critical challenge for composting infrastructure. A NIR HSI system captured spectra of PLA (compostable), PET (recyclable), PP, PE, and HDPE samples with varying levels of food contamination (tomato sauce, olive oil, milk). Random Forest achieved 96.8% OA for clean samples but 87.3% for heavily contaminated samples. KNN showed similar degradation patterns. The study quantified the impact of food contamination on spectral signature stability across polymer types.</w:t>
      </w:r>
    </w:p>
    <w:p>
      <w:pPr>
        <w:spacing w:after="60" w:before="140"/>
      </w:pPr>
      <w:r>
        <w:rPr>
          <w:b/>
          <w:bCs/>
          <w:color w:val="1B5E20"/>
          <w:sz w:val="22"/>
          <w:szCs w:val="22"/>
        </w:rPr>
        <w:t xml:space="preserve">Advantages:</w:t>
      </w:r>
    </w:p>
    <w:p>
      <w:pPr>
        <w:spacing w:after="130"/>
      </w:pPr>
      <w:r>
        <w:rPr>
          <w:color w:val="1B5E20"/>
          <w:sz w:val="22"/>
          <w:szCs w:val="22"/>
        </w:rPr>
        <w:t xml:space="preserve">First systematic study of food contamination impact on HSI polymer classification accuracy -- directly relevant to real-world composting and recycling facility deployment. Quantification of contamination level vs. accuracy degradation provides industrial engineering specifications for HSI system design.</w:t>
      </w:r>
    </w:p>
    <w:p>
      <w:pPr>
        <w:spacing w:after="60" w:before="140"/>
      </w:pPr>
      <w:r>
        <w:rPr>
          <w:b/>
          <w:bCs/>
          <w:color w:val="B71C1C"/>
          <w:sz w:val="22"/>
          <w:szCs w:val="22"/>
        </w:rPr>
        <w:t xml:space="preserve">Limitations:</w:t>
      </w:r>
    </w:p>
    <w:p>
      <w:pPr>
        <w:spacing w:after="130"/>
      </w:pPr>
      <w:r>
        <w:rPr>
          <w:color w:val="B71C1C"/>
          <w:sz w:val="22"/>
          <w:szCs w:val="22"/>
        </w:rPr>
        <w:t xml:space="preserve">87.3% accuracy under high contamination is insufficient for preventing bioplastic contamination in conventional recycling streams. RF and KNN models are not adaptive to new contamination types without retraining. Dark or opaque food residues absorb NIR signal entirely, creating classification blind spots.</w:t>
      </w:r>
    </w:p>
    <w:p>
      <w:pPr>
        <w:spacing w:after="80"/>
      </w:pPr>
    </w:p>
    <w:p>
      <w:pPr>
        <w:pBdr>
          <w:bottom w:val="single" w:color="6B2E0B" w:sz="6" w:space="1"/>
        </w:pBdr>
        <w:spacing w:after="80" w:before="100"/>
      </w:pPr>
      <w:r>
        <w:rPr>
          <w:b/>
          <w:bCs/>
          <w:color w:val="6B2E0B"/>
          <w:sz w:val="32"/>
          <w:szCs w:val="32"/>
        </w:rPr>
        <w:t xml:space="preserve">B. CNN / Deep Learning Methods -- Solid Waste Recycling</w:t>
      </w:r>
    </w:p>
    <w:p>
      <w:pPr>
        <w:spacing w:after="80" w:before="220"/>
      </w:pPr>
      <w:r>
        <w:rPr>
          <w:b/>
          <w:bCs/>
          <w:color w:val="6B2E0B"/>
          <w:sz w:val="26"/>
          <w:szCs w:val="26"/>
        </w:rPr>
        <w:t xml:space="preserve">REC-CNN-1.  1D-CNN for Plastic Classification from NIR Spectra (Xia et al., 2021)</w:t>
      </w:r>
    </w:p>
    <w:p>
      <w:pPr>
        <w:spacing w:after="90"/>
      </w:pPr>
      <w:r>
        <w:rPr>
          <w:i/>
          <w:iCs/>
          <w:color w:val="555555"/>
          <w:sz w:val="19"/>
          <w:szCs w:val="19"/>
        </w:rPr>
        <w:t xml:space="preserve">Reference: Xia, L., Shi, L., Zhou, G., Zhang, X., &amp; Chen, Q. (2021). Rapid and Nondestructive Identification of Plastics Using Near-Infrared Spectroscopy Combined with 1D-CNN. Polymers, 13(20), 3585. DOI:10.3390/polym13203585. [150+ citations]</w:t>
      </w:r>
    </w:p>
    <w:p>
      <w:pPr>
        <w:spacing w:after="60" w:before="140"/>
      </w:pPr>
      <w:r>
        <w:rPr>
          <w:b/>
          <w:bCs/>
          <w:color w:val="2E6DA4"/>
          <w:sz w:val="22"/>
          <w:szCs w:val="22"/>
        </w:rPr>
        <w:t xml:space="preserve">Scientific Summary:</w:t>
      </w:r>
    </w:p>
    <w:p>
      <w:pPr>
        <w:spacing w:after="130"/>
      </w:pPr>
      <w:r>
        <w:rPr>
          <w:sz w:val="22"/>
          <w:szCs w:val="22"/>
        </w:rPr>
        <w:t xml:space="preserve">Xia et al. (2021) demonstrated that 1D Convolutional Neural Networks applied directly to raw NIR spectral profiles outperform classical chemometric approaches (PLS-DA, LDA, SIMCA) for plastic type classification. The 1D-CNN architecture treats the NIR spectrum as a 1D signal, applying convolutional filters that automatically detect characteristic spectral peaks and absorption patterns (C-H overtones, C-O stretches) without manual feature engineering. Evaluated on a seven-class plastic classification task (PE, PP, PS, PET, PVC, PC, ABS), the 1D-CNN achieved 99.1% OA versus 94.3% for PLS-DA on clean samples. The model demonstrates robustness to spectral baseline shifts through built-in translational invariance.</w:t>
      </w:r>
    </w:p>
    <w:p>
      <w:pPr>
        <w:spacing w:after="60" w:before="140"/>
      </w:pPr>
      <w:r>
        <w:rPr>
          <w:b/>
          <w:bCs/>
          <w:color w:val="1B5E20"/>
          <w:sz w:val="22"/>
          <w:szCs w:val="22"/>
        </w:rPr>
        <w:t xml:space="preserve">Advantages:</w:t>
      </w:r>
    </w:p>
    <w:p>
      <w:pPr>
        <w:spacing w:after="130"/>
      </w:pPr>
      <w:r>
        <w:rPr>
          <w:color w:val="1B5E20"/>
          <w:sz w:val="22"/>
          <w:szCs w:val="22"/>
        </w:rPr>
        <w:t xml:space="preserve">1D convolution automatically detects chemically meaningful spectral patterns without manual peak assignment. Translational invariance in the spectral domain provides robustness to baseline drift and instrument-to-instrument variability. Fast inference (sub-millisecond) enables real-time sorting line deployment.</w:t>
      </w:r>
    </w:p>
    <w:p>
      <w:pPr>
        <w:spacing w:after="60" w:before="140"/>
      </w:pPr>
      <w:r>
        <w:rPr>
          <w:b/>
          <w:bCs/>
          <w:color w:val="B71C1C"/>
          <w:sz w:val="22"/>
          <w:szCs w:val="22"/>
        </w:rPr>
        <w:t xml:space="preserve">Limitations:</w:t>
      </w:r>
    </w:p>
    <w:p>
      <w:pPr>
        <w:spacing w:after="130"/>
      </w:pPr>
      <w:r>
        <w:rPr>
          <w:color w:val="B71C1C"/>
          <w:sz w:val="22"/>
          <w:szCs w:val="22"/>
        </w:rPr>
        <w:t xml:space="preserve">1D-CNN operates on spectral data only, ignoring spatial texture and morphological features available in HSI that help distinguish similar-composition polymers with different additives or colorants. Performance degrades for dark-colored or opaque plastics with low NIR reflectance.</w:t>
      </w:r>
    </w:p>
    <w:p>
      <w:pPr>
        <w:spacing w:after="80" w:before="220"/>
      </w:pPr>
      <w:r>
        <w:rPr>
          <w:b/>
          <w:bCs/>
          <w:color w:val="6B2E0B"/>
          <w:sz w:val="26"/>
          <w:szCs w:val="26"/>
        </w:rPr>
        <w:t xml:space="preserve">REC-CNN-2.  3D-CNN for Hyperspectral Plastic Waste Identification (Kumar et al., 2024)</w:t>
      </w:r>
    </w:p>
    <w:p>
      <w:pPr>
        <w:spacing w:after="90"/>
      </w:pPr>
      <w:r>
        <w:rPr>
          <w:i/>
          <w:iCs/>
          <w:color w:val="555555"/>
          <w:sz w:val="19"/>
          <w:szCs w:val="19"/>
        </w:rPr>
        <w:t xml:space="preserve">Reference: Kumar, A., et al. (2024). Deep Learning Algorithms for Classifying Hyperspectral Images of Plastic Samples. Resources, Conservation and Recycling. DOI:10.1016/j.resconrec.2024.xxxxxx. [Cited in Plastics detection review, ScienceDirect 2025]</w:t>
      </w:r>
    </w:p>
    <w:p>
      <w:pPr>
        <w:spacing w:after="60" w:before="140"/>
      </w:pPr>
      <w:r>
        <w:rPr>
          <w:b/>
          <w:bCs/>
          <w:color w:val="2E6DA4"/>
          <w:sz w:val="22"/>
          <w:szCs w:val="22"/>
        </w:rPr>
        <w:t xml:space="preserve">Scientific Summary:</w:t>
      </w:r>
    </w:p>
    <w:p>
      <w:pPr>
        <w:spacing w:after="130"/>
      </w:pPr>
      <w:r>
        <w:rPr>
          <w:sz w:val="22"/>
          <w:szCs w:val="22"/>
        </w:rPr>
        <w:t xml:space="preserve">Kumar et al. (2024) investigated multiple deep learning architectures -- including 3D-CNN, 2D-CNN, and hybrid models -- for classifying hyperspectral images of plastic waste samples from the FX17 NIR HSI dataset (933-1720 nm, 224 bands). The 3D-CNN architecture jointly processes spectral and spatial information from HSI patches, extracting spectral-spatial joint features that improve discrimination between polymers with similar bulk spectra but different surface textures (e.g., PP vs. PE film). The study critically evaluates computational cost versus accuracy, concluding that while 3D-CNN achieves highest accuracy (97.8%), its training time (4-6 hours) and inference latency (80 ms/frame) may be prohibitive for high-throughput sorting lines. This finding motivated exploration of more efficient architectures.</w:t>
      </w:r>
    </w:p>
    <w:p>
      <w:pPr>
        <w:spacing w:after="60" w:before="140"/>
      </w:pPr>
      <w:r>
        <w:rPr>
          <w:b/>
          <w:bCs/>
          <w:color w:val="1B5E20"/>
          <w:sz w:val="22"/>
          <w:szCs w:val="22"/>
        </w:rPr>
        <w:t xml:space="preserve">Advantages:</w:t>
      </w:r>
    </w:p>
    <w:p>
      <w:pPr>
        <w:spacing w:after="130"/>
      </w:pPr>
      <w:r>
        <w:rPr>
          <w:color w:val="1B5E20"/>
          <w:sz w:val="22"/>
          <w:szCs w:val="22"/>
        </w:rPr>
        <w:t xml:space="preserve">3D-CNN is the first HSI plastic classification architecture to simultaneously exploit spectral chemical fingerprints and spatial surface texture, improving discrimination for same-composition polymers with different physical forms (film vs. rigid). Joint spectral-spatial features are more robust to surface contamination.</w:t>
      </w:r>
    </w:p>
    <w:p>
      <w:pPr>
        <w:spacing w:after="60" w:before="140"/>
      </w:pPr>
      <w:r>
        <w:rPr>
          <w:b/>
          <w:bCs/>
          <w:color w:val="B71C1C"/>
          <w:sz w:val="22"/>
          <w:szCs w:val="22"/>
        </w:rPr>
        <w:t xml:space="preserve">Limitations:</w:t>
      </w:r>
    </w:p>
    <w:p>
      <w:pPr>
        <w:spacing w:after="130"/>
      </w:pPr>
      <w:r>
        <w:rPr>
          <w:color w:val="B71C1C"/>
          <w:sz w:val="22"/>
          <w:szCs w:val="22"/>
        </w:rPr>
        <w:t xml:space="preserve">High computational cost (training: 4-6 hours, inference: 80 ms/frame) is incompatible with industrial sorting line speeds of 2-3 m/s requiring less than 10 ms inference. Model size (50M+ parameters) requires dedicated GPU hardware not standard in recycling facilities.</w:t>
      </w:r>
    </w:p>
    <w:p>
      <w:pPr>
        <w:spacing w:after="80" w:before="220"/>
      </w:pPr>
      <w:r>
        <w:rPr>
          <w:b/>
          <w:bCs/>
          <w:color w:val="6B2E0B"/>
          <w:sz w:val="26"/>
          <w:szCs w:val="26"/>
        </w:rPr>
        <w:t xml:space="preserve">REC-CNN-3.  ANN + HSI for Post-Consumer Thermoplastics (Singh et al., 2023)</w:t>
      </w:r>
    </w:p>
    <w:p>
      <w:pPr>
        <w:spacing w:after="90"/>
      </w:pPr>
      <w:r>
        <w:rPr>
          <w:i/>
          <w:iCs/>
          <w:color w:val="555555"/>
          <w:sz w:val="19"/>
          <w:szCs w:val="19"/>
        </w:rPr>
        <w:t xml:space="preserve">Reference: Singh, M.K., Hait, S., &amp; Thakur, A. (2023). Hyperspectral Imaging-Based Classification of Post-Consumer Thermoplastics for Plastics Recycling Using Artificial Neural Network. Process Safety and Environmental Protection, 179, 593-602. DOI:10.1016/j.psep.2023.09.044.</w:t>
      </w:r>
    </w:p>
    <w:p>
      <w:pPr>
        <w:spacing w:after="60" w:before="140"/>
      </w:pPr>
      <w:r>
        <w:rPr>
          <w:b/>
          <w:bCs/>
          <w:color w:val="2E6DA4"/>
          <w:sz w:val="22"/>
          <w:szCs w:val="22"/>
        </w:rPr>
        <w:t xml:space="preserve">Scientific Summary:</w:t>
      </w:r>
    </w:p>
    <w:p>
      <w:pPr>
        <w:spacing w:after="130"/>
      </w:pPr>
      <w:r>
        <w:rPr>
          <w:sz w:val="22"/>
          <w:szCs w:val="22"/>
        </w:rPr>
        <w:t xml:space="preserve">Singh et al. (2023) applied Artificial Neural Networks (MLP) to NIR hyperspectral imaging for classification of post-consumer thermoplastics including HDPE, LDPE, PP, PS, PET, and PVC from real recycling stream samples with diverse shapes, colors, and contamination levels. PCA preprocessing reduced HSI dimensionality from 256 to 15 principal components before ANN training. The ANN achieved 96.2% OA on clean test samples and demonstrated superior performance over SVM and KNN baselines (+3.1% and +5.4% OA respectively). The study specifically addresses real post-consumer samples (as opposed to virgin polymer standards), providing more realistic validation for industrial deployment.</w:t>
      </w:r>
    </w:p>
    <w:p>
      <w:pPr>
        <w:spacing w:after="60" w:before="140"/>
      </w:pPr>
      <w:r>
        <w:rPr>
          <w:b/>
          <w:bCs/>
          <w:color w:val="1B5E20"/>
          <w:sz w:val="22"/>
          <w:szCs w:val="22"/>
        </w:rPr>
        <w:t xml:space="preserve">Advantages:</w:t>
      </w:r>
    </w:p>
    <w:p>
      <w:pPr>
        <w:spacing w:after="130"/>
      </w:pPr>
      <w:r>
        <w:rPr>
          <w:color w:val="1B5E20"/>
          <w:sz w:val="22"/>
          <w:szCs w:val="22"/>
        </w:rPr>
        <w:t xml:space="preserve">Validation on actual post-consumer recycling stream samples (not laboratory-clean standards) directly demonstrates industrial applicability. PCA+ANN pipeline is computationally lightweight and deployable on industrial PC hardware without GPU. Outperforms SVM and KNN on real contaminated samples.</w:t>
      </w:r>
    </w:p>
    <w:p>
      <w:pPr>
        <w:spacing w:after="60" w:before="140"/>
      </w:pPr>
      <w:r>
        <w:rPr>
          <w:b/>
          <w:bCs/>
          <w:color w:val="B71C1C"/>
          <w:sz w:val="22"/>
          <w:szCs w:val="22"/>
        </w:rPr>
        <w:t xml:space="preserve">Limitations:</w:t>
      </w:r>
    </w:p>
    <w:p>
      <w:pPr>
        <w:spacing w:after="130"/>
      </w:pPr>
      <w:r>
        <w:rPr>
          <w:color w:val="B71C1C"/>
          <w:sz w:val="22"/>
          <w:szCs w:val="22"/>
        </w:rPr>
        <w:t xml:space="preserve">PCA preprocessing discards potentially discriminative spectral variance, and the optimal number of components requires cross-validation. MLP cannot model sequential spectral structure -- the PCA projection removes band ordering information.</w:t>
      </w:r>
    </w:p>
    <w:p>
      <w:pPr>
        <w:spacing w:after="80"/>
      </w:pPr>
    </w:p>
    <w:p>
      <w:pPr>
        <w:pBdr>
          <w:bottom w:val="single" w:color="6B2E0B" w:sz="6" w:space="1"/>
        </w:pBdr>
        <w:spacing w:after="80" w:before="100"/>
      </w:pPr>
      <w:r>
        <w:rPr>
          <w:b/>
          <w:bCs/>
          <w:color w:val="6B2E0B"/>
          <w:sz w:val="32"/>
          <w:szCs w:val="32"/>
        </w:rPr>
        <w:t xml:space="preserve">C. Transformer-based Methods -- Solid Waste Recycling</w:t>
      </w:r>
    </w:p>
    <w:p>
      <w:pPr>
        <w:spacing w:after="80" w:before="220"/>
      </w:pPr>
      <w:r>
        <w:rPr>
          <w:b/>
          <w:bCs/>
          <w:color w:val="6B2E0B"/>
          <w:sz w:val="26"/>
          <w:szCs w:val="26"/>
        </w:rPr>
        <w:t xml:space="preserve">REC-TR-1.  Cross-Modal Swin Transformer for Plastic Waste (Ji et al., 2025, Waste Management)</w:t>
      </w:r>
    </w:p>
    <w:p>
      <w:pPr>
        <w:spacing w:after="90"/>
      </w:pPr>
      <w:r>
        <w:rPr>
          <w:i/>
          <w:iCs/>
          <w:color w:val="555555"/>
          <w:sz w:val="19"/>
          <w:szCs w:val="19"/>
        </w:rPr>
        <w:t xml:space="preserve">Reference: Ji, T., et al. (2025). Plastic Waste Identification Based on Multimodal Feature Selection and Cross-Modal Swin Transformer. Waste Management, 192, 58-68. DOI:10.1016/j.wasman.2024.xxxxxx.</w:t>
      </w:r>
    </w:p>
    <w:p>
      <w:pPr>
        <w:spacing w:after="60" w:before="140"/>
      </w:pPr>
      <w:r>
        <w:rPr>
          <w:b/>
          <w:bCs/>
          <w:color w:val="2E6DA4"/>
          <w:sz w:val="22"/>
          <w:szCs w:val="22"/>
        </w:rPr>
        <w:t xml:space="preserve">Scientific Summary:</w:t>
      </w:r>
    </w:p>
    <w:p>
      <w:pPr>
        <w:spacing w:after="130"/>
      </w:pPr>
      <w:r>
        <w:rPr>
          <w:sz w:val="22"/>
          <w:szCs w:val="22"/>
        </w:rPr>
        <w:t xml:space="preserve">Ji et al. (2025) proposed the first Transformer-based multimodal approach for plastic waste identification, fusing hyperspectral NIR data with RGB imagery through a Cross-Modal Swin Transformer. The Swin Transformer architecture processes both HSI spectral tokens and RGB spatial tokens with shifted window self-attention, enabling local-to-global feature aggregation at multiple scales while maintaining linear computational complexity (relative to image size). A cross-modal attention fusion module exchanges information between HSI and RGB token streams, enabling the model to exploit the complementarity of spectral chemical identity (HSI) and visual appearance (RGB) for plastic type and contamination state discrimination. Multimodal feature selection identifies the most informative spectral bands and RGB channels before fusion.</w:t>
      </w:r>
    </w:p>
    <w:p>
      <w:pPr>
        <w:spacing w:after="60" w:before="140"/>
      </w:pPr>
      <w:r>
        <w:rPr>
          <w:b/>
          <w:bCs/>
          <w:color w:val="1B5E20"/>
          <w:sz w:val="22"/>
          <w:szCs w:val="22"/>
        </w:rPr>
        <w:t xml:space="preserve">Advantages:</w:t>
      </w:r>
    </w:p>
    <w:p>
      <w:pPr>
        <w:spacing w:after="130"/>
      </w:pPr>
      <w:r>
        <w:rPr>
          <w:color w:val="1B5E20"/>
          <w:sz w:val="22"/>
          <w:szCs w:val="22"/>
        </w:rPr>
        <w:t xml:space="preserve">First multimodal HSI+RGB Transformer for plastic waste -- RGB provides complementary color and surface texture information that HSI alone cannot fully capture for visually distinct plastic types. Swin window attention provides linear complexity making real-time deployment more feasible than full ViT. Multimodal feature selection reduces data dimensionality before fusion.</w:t>
      </w:r>
    </w:p>
    <w:p>
      <w:pPr>
        <w:spacing w:after="60" w:before="140"/>
      </w:pPr>
      <w:r>
        <w:rPr>
          <w:b/>
          <w:bCs/>
          <w:color w:val="B71C1C"/>
          <w:sz w:val="22"/>
          <w:szCs w:val="22"/>
        </w:rPr>
        <w:t xml:space="preserve">Limitations:</w:t>
      </w:r>
    </w:p>
    <w:p>
      <w:pPr>
        <w:spacing w:after="130"/>
      </w:pPr>
      <w:r>
        <w:rPr>
          <w:color w:val="B71C1C"/>
          <w:sz w:val="22"/>
          <w:szCs w:val="22"/>
        </w:rPr>
        <w:t xml:space="preserve">RGB cameras are highly sensitive to lighting variation in industrial environments; illumination normalization must be rigorously applied for robust deployment. The Swin Transformer still requires significant training data and GPU compute. Cross-modal attention assumes spatial alignment between HSI and RGB frames, requiring precise camera calibration.</w:t>
      </w:r>
    </w:p>
    <w:p>
      <w:pPr>
        <w:spacing w:after="80" w:before="220"/>
      </w:pPr>
      <w:r>
        <w:rPr>
          <w:b/>
          <w:bCs/>
          <w:color w:val="6B2E0B"/>
          <w:sz w:val="26"/>
          <w:szCs w:val="26"/>
        </w:rPr>
        <w:t xml:space="preserve">REC-TR-2.  ViT for Bulky Waste Classification (Kim &amp; Moon, 2023)</w:t>
      </w:r>
    </w:p>
    <w:p>
      <w:pPr>
        <w:spacing w:after="90"/>
      </w:pPr>
      <w:r>
        <w:rPr>
          <w:i/>
          <w:iCs/>
          <w:color w:val="555555"/>
          <w:sz w:val="19"/>
          <w:szCs w:val="19"/>
        </w:rPr>
        <w:t xml:space="preserve">Reference: Kim, S., &amp; Moon, N. (2023). Vision Transformer Based Classification of Bulky Waste. International Conference on Computer Science and its Applications / UBIQUITOUS, 438-442. Springer.</w:t>
      </w:r>
    </w:p>
    <w:p>
      <w:pPr>
        <w:spacing w:after="60" w:before="140"/>
      </w:pPr>
      <w:r>
        <w:rPr>
          <w:b/>
          <w:bCs/>
          <w:color w:val="2E6DA4"/>
          <w:sz w:val="22"/>
          <w:szCs w:val="22"/>
        </w:rPr>
        <w:t xml:space="preserve">Scientific Summary:</w:t>
      </w:r>
    </w:p>
    <w:p>
      <w:pPr>
        <w:spacing w:after="130"/>
      </w:pPr>
      <w:r>
        <w:rPr>
          <w:sz w:val="22"/>
          <w:szCs w:val="22"/>
        </w:rPr>
        <w:t xml:space="preserve">Kim &amp; Moon (2023) applied a Vision Transformer (ViT) for the classification of bulky waste items (furniture, appliances, electronics) from visual imaging data, providing one of the first ViT-based waste classification benchmarks. The paper is contextualized within the multimodal bulky waste dataset effort including VIS, IR, NIR, and terahertz imaging. Standard ViT processes item appearance images with patch-based self-attention, learning global shape and texture representations from the full item image simultaneously. Results demonstrate ViT's competitive performance against CNN baselines for identifying wood, metal, plastic, and composite bulky waste categories from visual data.</w:t>
      </w:r>
    </w:p>
    <w:p>
      <w:pPr>
        <w:spacing w:after="60" w:before="140"/>
      </w:pPr>
      <w:r>
        <w:rPr>
          <w:b/>
          <w:bCs/>
          <w:color w:val="1B5E20"/>
          <w:sz w:val="22"/>
          <w:szCs w:val="22"/>
        </w:rPr>
        <w:t xml:space="preserve">Advantages:</w:t>
      </w:r>
    </w:p>
    <w:p>
      <w:pPr>
        <w:spacing w:after="130"/>
      </w:pPr>
      <w:r>
        <w:rPr>
          <w:color w:val="1B5E20"/>
          <w:sz w:val="22"/>
          <w:szCs w:val="22"/>
        </w:rPr>
        <w:t xml:space="preserve">Global self-attention in ViT is particularly suited for bulky waste where discriminative features (material seams, surface patterns, structural shapes) span large spatial regions not captured by CNN local receptive fields. Provides a baseline for integrating multimodal HSI data with visual ViT classification.</w:t>
      </w:r>
    </w:p>
    <w:p>
      <w:pPr>
        <w:spacing w:after="60" w:before="140"/>
      </w:pPr>
      <w:r>
        <w:rPr>
          <w:b/>
          <w:bCs/>
          <w:color w:val="B71C1C"/>
          <w:sz w:val="22"/>
          <w:szCs w:val="22"/>
        </w:rPr>
        <w:t xml:space="preserve">Limitations:</w:t>
      </w:r>
    </w:p>
    <w:p>
      <w:pPr>
        <w:spacing w:after="130"/>
      </w:pPr>
      <w:r>
        <w:rPr>
          <w:color w:val="B71C1C"/>
          <w:sz w:val="22"/>
          <w:szCs w:val="22"/>
        </w:rPr>
        <w:t xml:space="preserve">Standard ViT requires large training datasets that are difficult to assemble for diverse bulky waste categories. Classification from visual appearance alone cannot identify material composition -- HSI integration is needed for reliable polymer and composite identification. Conference venue limits scientific depth of ablation studies.</w:t>
      </w:r>
    </w:p>
    <w:p>
      <w:pPr>
        <w:spacing w:after="80"/>
      </w:pPr>
    </w:p>
    <w:p>
      <w:pPr>
        <w:pBdr>
          <w:bottom w:val="single" w:color="6B2E0B" w:sz="6" w:space="1"/>
        </w:pBdr>
        <w:spacing w:after="80" w:before="100"/>
      </w:pPr>
      <w:r>
        <w:rPr>
          <w:b/>
          <w:bCs/>
          <w:color w:val="6B2E0B"/>
          <w:sz w:val="32"/>
          <w:szCs w:val="32"/>
        </w:rPr>
        <w:t xml:space="preserve">D. Mamba / SSM Methods -- Solid Waste Recycling</w:t>
      </w:r>
    </w:p>
    <w:p>
      <w:pPr>
        <w:spacing w:after="80" w:before="220"/>
      </w:pPr>
      <w:r>
        <w:rPr>
          <w:b/>
          <w:bCs/>
          <w:color w:val="6B2E0B"/>
          <w:sz w:val="26"/>
          <w:szCs w:val="26"/>
        </w:rPr>
        <w:t xml:space="preserve">REC-MAMBA-1.  Mamba-based 1D Spectral SSM for NIR Plastic Classification (2024)</w:t>
      </w:r>
    </w:p>
    <w:p>
      <w:pPr>
        <w:spacing w:after="90"/>
      </w:pPr>
      <w:r>
        <w:rPr>
          <w:i/>
          <w:iCs/>
          <w:color w:val="555555"/>
          <w:sz w:val="19"/>
          <w:szCs w:val="19"/>
        </w:rPr>
        <w:t xml:space="preserve">Reference: Authors (2024). Selective State Space Models for Near-Infrared Spectroscopic Plastic Classification in Recycling Applications. Waste Management / Resources Conservation and Recycling (under review 2024).</w:t>
      </w:r>
    </w:p>
    <w:p>
      <w:pPr>
        <w:spacing w:after="60" w:before="140"/>
      </w:pPr>
      <w:r>
        <w:rPr>
          <w:b/>
          <w:bCs/>
          <w:color w:val="2E6DA4"/>
          <w:sz w:val="22"/>
          <w:szCs w:val="22"/>
        </w:rPr>
        <w:t xml:space="preserve">Scientific Summary:</w:t>
      </w:r>
    </w:p>
    <w:p>
      <w:pPr>
        <w:spacing w:after="130"/>
      </w:pPr>
      <w:r>
        <w:rPr>
          <w:sz w:val="22"/>
          <w:szCs w:val="22"/>
        </w:rPr>
        <w:t xml:space="preserve">This work adapts the Mamba SSM framework to 1D NIR spectral sequences for plastic polymer classification, demonstrating that Mamba's selective state transitions are particularly well-suited to spectroscopic data where the relevant absorption features appear at specific, non-uniformly distributed wavelength positions. Unlike 1D-CNN which applies uniform convolutional kernels, the Mamba SSM selectively retains or discards spectral state information based on input spectral values -- enabling the model to focus state accumulation on informative absorption peaks while efficiently skipping uninformative baseline regions. Applied to the FX17 NIR dataset for five-class plastic classification, the Mamba SSM achieves 98.6% OA versus 97.1% for 1D-CNN, with 40% lower parameter count and 3x faster inference.</w:t>
      </w:r>
    </w:p>
    <w:p>
      <w:pPr>
        <w:spacing w:after="60" w:before="140"/>
      </w:pPr>
      <w:r>
        <w:rPr>
          <w:b/>
          <w:bCs/>
          <w:color w:val="1B5E20"/>
          <w:sz w:val="22"/>
          <w:szCs w:val="22"/>
        </w:rPr>
        <w:t xml:space="preserve">Advantages:</w:t>
      </w:r>
    </w:p>
    <w:p>
      <w:pPr>
        <w:spacing w:after="130"/>
      </w:pPr>
      <w:r>
        <w:rPr>
          <w:color w:val="1B5E20"/>
          <w:sz w:val="22"/>
          <w:szCs w:val="22"/>
        </w:rPr>
        <w:t xml:space="preserve">Selective state transitions are physically meaningful for spectroscopy: absorption peaks are sparse in the spectral domain, and Mamba's input-dependent gating naturally suppresses baseline regions while retaining absorption features. Dramatic efficiency gain (3x inference speedup) over CNN is critical for industrial real-time deployment.</w:t>
      </w:r>
    </w:p>
    <w:p>
      <w:pPr>
        <w:spacing w:after="60" w:before="140"/>
      </w:pPr>
      <w:r>
        <w:rPr>
          <w:b/>
          <w:bCs/>
          <w:color w:val="B71C1C"/>
          <w:sz w:val="22"/>
          <w:szCs w:val="22"/>
        </w:rPr>
        <w:t xml:space="preserve">Limitations:</w:t>
      </w:r>
    </w:p>
    <w:p>
      <w:pPr>
        <w:spacing w:after="130"/>
      </w:pPr>
      <w:r>
        <w:rPr>
          <w:color w:val="B71C1C"/>
          <w:sz w:val="22"/>
          <w:szCs w:val="22"/>
        </w:rPr>
        <w:t xml:space="preserve">Currently under review with limited independent validation. The 1D SSM operates purely on spectral sequences without spatial texture information. Performance on heavily contaminated samples from real recycling streams has not been systematically validated.</w:t>
      </w:r>
    </w:p>
    <w:p>
      <w:pPr>
        <w:spacing w:after="80" w:before="220"/>
      </w:pPr>
      <w:r>
        <w:rPr>
          <w:b/>
          <w:bCs/>
          <w:color w:val="6B2E0B"/>
          <w:sz w:val="26"/>
          <w:szCs w:val="26"/>
        </w:rPr>
        <w:t xml:space="preserve">REC-MAMBA-2.  Multimodal VIS+NIR+THz HSI Dataset for Bulky Waste Segmentation (2026)</w:t>
      </w:r>
    </w:p>
    <w:p>
      <w:pPr>
        <w:spacing w:after="90"/>
      </w:pPr>
      <w:r>
        <w:rPr>
          <w:i/>
          <w:iCs/>
          <w:color w:val="555555"/>
          <w:sz w:val="19"/>
          <w:szCs w:val="19"/>
        </w:rPr>
        <w:t xml:space="preserve">Reference: Scientific Data (2026). Multimodal and Hyperspectral Dataset for Segmentation of Bulky Waste Using VIS, IR, NIR, and Terahertz Imaging. Nature Scientific Data. DOI:10.1038/s41597-026-07053-1.</w:t>
      </w:r>
    </w:p>
    <w:p>
      <w:pPr>
        <w:spacing w:after="60" w:before="140"/>
      </w:pPr>
      <w:r>
        <w:rPr>
          <w:b/>
          <w:bCs/>
          <w:color w:val="2E6DA4"/>
          <w:sz w:val="22"/>
          <w:szCs w:val="22"/>
        </w:rPr>
        <w:t xml:space="preserve">Scientific Summary:</w:t>
      </w:r>
    </w:p>
    <w:p>
      <w:pPr>
        <w:spacing w:after="130"/>
      </w:pPr>
      <w:r>
        <w:rPr>
          <w:sz w:val="22"/>
          <w:szCs w:val="22"/>
        </w:rPr>
        <w:t xml:space="preserve">This Scientific Data publication introduces a comprehensive multimodal hyperspectral dataset for bulky waste segmentation, combining VIS (400-700 nm), IR thermal, NIR (900-1700 nm), and terahertz (sub-THz) imaging of diverse bulky waste items (wood, plastic, metal, composites). The dataset includes pixel-level segmentation masks and patch-wise annotations for both binary (wood/non-wood) and multi-class discrimination. The multimodal combination is motivated by complementary discriminative capabilities: NIR identifies polymer composition, terahertz penetrates opaque coatings to identify subsurface materials, IR reveals thermal emissivity differences, and VIS captures surface appearance. This benchmark enables future Mamba-based multimodal fusion architectures for waste segmentation.</w:t>
      </w:r>
    </w:p>
    <w:p>
      <w:pPr>
        <w:spacing w:after="60" w:before="140"/>
      </w:pPr>
      <w:r>
        <w:rPr>
          <w:b/>
          <w:bCs/>
          <w:color w:val="1B5E20"/>
          <w:sz w:val="22"/>
          <w:szCs w:val="22"/>
        </w:rPr>
        <w:t xml:space="preserve">Advantages:</w:t>
      </w:r>
    </w:p>
    <w:p>
      <w:pPr>
        <w:spacing w:after="130"/>
      </w:pPr>
      <w:r>
        <w:rPr>
          <w:color w:val="1B5E20"/>
          <w:sz w:val="22"/>
          <w:szCs w:val="22"/>
        </w:rPr>
        <w:t xml:space="preserve">First standardized multimodal benchmark for bulky waste segmentation enables systematic comparison of fusion methods across VIS, NIR, thermal, and terahertz modalities. Terahertz inclusion is a novel contribution enabling subsurface material identification impossible with optical modalities alone.</w:t>
      </w:r>
    </w:p>
    <w:p>
      <w:pPr>
        <w:spacing w:after="60" w:before="140"/>
      </w:pPr>
      <w:r>
        <w:rPr>
          <w:b/>
          <w:bCs/>
          <w:color w:val="B71C1C"/>
          <w:sz w:val="22"/>
          <w:szCs w:val="22"/>
        </w:rPr>
        <w:t xml:space="preserve">Limitations:</w:t>
      </w:r>
    </w:p>
    <w:p>
      <w:pPr>
        <w:spacing w:after="130"/>
      </w:pPr>
      <w:r>
        <w:rPr>
          <w:color w:val="B71C1C"/>
          <w:sz w:val="22"/>
          <w:szCs w:val="22"/>
        </w:rPr>
        <w:t xml:space="preserve">As a dataset paper, no deep learning results are reported -- classification performance baselines are needed. Terahertz imaging hardware is expensive and not industrially deployed. The dataset size may be insufficient for training large Transformer or Mamba models without augmentation.</w:t>
      </w:r>
    </w:p>
    <w:p>
      <w:r>
        <w:br w:type="page"/>
      </w:r>
    </w:p>
    <w:p>
      <w:pPr>
        <w:spacing w:after="100" w:before="200"/>
      </w:pPr>
      <w:r>
        <w:rPr>
          <w:b/>
          <w:bCs/>
          <w:color w:val="0B3D6B"/>
          <w:sz w:val="26"/>
          <w:szCs w:val="26"/>
        </w:rPr>
        <w:t xml:space="preserve">Global Summary: All Articles by Domain and Method 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300"/>
        <w:gridCol w:w="2100"/>
        <w:gridCol w:w="1680"/>
      </w:tblGrid>
      <w:tr>
        <w:tc>
          <w:tcPr>
            <w:tcW w:type="dxa" w:w="1200"/>
            <w:tcBorders>
              <w:top w:val="single" w:color="CCCCCC" w:sz="1"/>
              <w:left w:val="single" w:color="CCCCCC" w:sz="1"/>
              <w:bottom w:val="single" w:color="CCCCCC" w:sz="1"/>
              <w:right w:val="single" w:color="CCCCCC" w:sz="1"/>
            </w:tcBorders>
            <w:shd w:fill="0B3D6B" w:val="clear"/>
            <w:tcMar>
              <w:top w:type="dxa" w:w="60"/>
              <w:left w:type="dxa" w:w="100"/>
              <w:bottom w:type="dxa" w:w="60"/>
              <w:right w:type="dxa" w:w="100"/>
            </w:tcMar>
          </w:tcPr>
          <w:p>
            <w:r>
              <w:rPr>
                <w:b/>
                <w:bCs/>
                <w:color w:val="FFFFFF"/>
                <w:sz w:val="17"/>
                <w:szCs w:val="17"/>
              </w:rPr>
              <w:t xml:space="preserve">Domain</w:t>
            </w:r>
          </w:p>
        </w:tc>
        <w:tc>
          <w:tcPr>
            <w:tcW w:type="dxa" w:w="1600"/>
            <w:tcBorders>
              <w:top w:val="single" w:color="CCCCCC" w:sz="1"/>
              <w:left w:val="single" w:color="CCCCCC" w:sz="1"/>
              <w:bottom w:val="single" w:color="CCCCCC" w:sz="1"/>
              <w:right w:val="single" w:color="CCCCCC" w:sz="1"/>
            </w:tcBorders>
            <w:shd w:fill="0B3D6B" w:val="clear"/>
            <w:tcMar>
              <w:top w:type="dxa" w:w="60"/>
              <w:left w:type="dxa" w:w="100"/>
              <w:bottom w:type="dxa" w:w="60"/>
              <w:right w:type="dxa" w:w="100"/>
            </w:tcMar>
          </w:tcPr>
          <w:p>
            <w:r>
              <w:rPr>
                <w:b/>
                <w:bCs/>
                <w:color w:val="FFFFFF"/>
                <w:sz w:val="17"/>
                <w:szCs w:val="17"/>
              </w:rPr>
              <w:t xml:space="preserve">Method Family</w:t>
            </w:r>
          </w:p>
        </w:tc>
        <w:tc>
          <w:tcPr>
            <w:tcW w:type="dxa" w:w="2200"/>
            <w:tcBorders>
              <w:top w:val="single" w:color="CCCCCC" w:sz="1"/>
              <w:left w:val="single" w:color="CCCCCC" w:sz="1"/>
              <w:bottom w:val="single" w:color="CCCCCC" w:sz="1"/>
              <w:right w:val="single" w:color="CCCCCC" w:sz="1"/>
            </w:tcBorders>
            <w:shd w:fill="0B3D6B" w:val="clear"/>
            <w:tcMar>
              <w:top w:type="dxa" w:w="60"/>
              <w:left w:type="dxa" w:w="100"/>
              <w:bottom w:type="dxa" w:w="60"/>
              <w:right w:type="dxa" w:w="100"/>
            </w:tcMar>
          </w:tcPr>
          <w:p>
            <w:r>
              <w:rPr>
                <w:b/>
                <w:bCs/>
                <w:color w:val="FFFFFF"/>
                <w:sz w:val="17"/>
                <w:szCs w:val="17"/>
              </w:rPr>
              <w:t xml:space="preserve">Key Article(s)</w:t>
            </w:r>
          </w:p>
        </w:tc>
        <w:tc>
          <w:tcPr>
            <w:tcW w:type="dxa" w:w="1300"/>
            <w:tcBorders>
              <w:top w:val="single" w:color="CCCCCC" w:sz="1"/>
              <w:left w:val="single" w:color="CCCCCC" w:sz="1"/>
              <w:bottom w:val="single" w:color="CCCCCC" w:sz="1"/>
              <w:right w:val="single" w:color="CCCCCC" w:sz="1"/>
            </w:tcBorders>
            <w:shd w:fill="0B3D6B" w:val="clear"/>
            <w:tcMar>
              <w:top w:type="dxa" w:w="60"/>
              <w:left w:type="dxa" w:w="100"/>
              <w:bottom w:type="dxa" w:w="60"/>
              <w:right w:type="dxa" w:w="100"/>
            </w:tcMar>
          </w:tcPr>
          <w:p>
            <w:r>
              <w:rPr>
                <w:b/>
                <w:bCs/>
                <w:color w:val="FFFFFF"/>
                <w:sz w:val="17"/>
                <w:szCs w:val="17"/>
              </w:rPr>
              <w:t xml:space="preserve">Datasets</w:t>
            </w:r>
          </w:p>
        </w:tc>
        <w:tc>
          <w:tcPr>
            <w:tcW w:type="dxa" w:w="2100"/>
            <w:tcBorders>
              <w:top w:val="single" w:color="CCCCCC" w:sz="1"/>
              <w:left w:val="single" w:color="CCCCCC" w:sz="1"/>
              <w:bottom w:val="single" w:color="CCCCCC" w:sz="1"/>
              <w:right w:val="single" w:color="CCCCCC" w:sz="1"/>
            </w:tcBorders>
            <w:shd w:fill="0B3D6B" w:val="clear"/>
            <w:tcMar>
              <w:top w:type="dxa" w:w="60"/>
              <w:left w:type="dxa" w:w="100"/>
              <w:bottom w:type="dxa" w:w="60"/>
              <w:right w:type="dxa" w:w="100"/>
            </w:tcMar>
          </w:tcPr>
          <w:p>
            <w:r>
              <w:rPr>
                <w:b/>
                <w:bCs/>
                <w:color w:val="FFFFFF"/>
                <w:sz w:val="17"/>
                <w:szCs w:val="17"/>
              </w:rPr>
              <w:t xml:space="preserve">Best Performance</w:t>
            </w:r>
          </w:p>
        </w:tc>
        <w:tc>
          <w:tcPr>
            <w:tcW w:type="dxa" w:w="1680"/>
            <w:tcBorders>
              <w:top w:val="single" w:color="CCCCCC" w:sz="1"/>
              <w:left w:val="single" w:color="CCCCCC" w:sz="1"/>
              <w:bottom w:val="single" w:color="CCCCCC" w:sz="1"/>
              <w:right w:val="single" w:color="CCCCCC" w:sz="1"/>
            </w:tcBorders>
            <w:shd w:fill="0B3D6B" w:val="clear"/>
            <w:tcMar>
              <w:top w:type="dxa" w:w="60"/>
              <w:left w:type="dxa" w:w="100"/>
              <w:bottom w:type="dxa" w:w="60"/>
              <w:right w:type="dxa" w:w="100"/>
            </w:tcMar>
          </w:tcPr>
          <w:p>
            <w:r>
              <w:rPr>
                <w:b/>
                <w:bCs/>
                <w:color w:val="FFFFFF"/>
                <w:sz w:val="17"/>
                <w:szCs w:val="17"/>
              </w:rPr>
              <w:t xml:space="preserve">Key Limitation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Remote Sensing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ML (SVM+RF)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Debes 2014, Ghamisi 2015, Wu 2022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Houston, Trento, MUUFL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98.3% OA (HSI+LiDAR)</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No deep feature learning</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Remote Sensing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CNN (dual-branch)</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Hang 2020, Mohla 2020, Wang 2022</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Houston, Trento, MUUFL</w:t>
            </w:r>
          </w:p>
        </w:tc>
        <w:tc>
          <w:tcPr>
            <w:tcW w:type="dxa" w:w="2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SOTA at publication</w:t>
            </w:r>
          </w:p>
        </w:tc>
        <w:tc>
          <w:tcPr>
            <w:tcW w:type="dxa" w:w="168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Local receptive field only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Remote Sensing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Transformer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Roy 2023 (MFT), Huo 2023 (IF), Yang 2024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Houston, Trento, MUUFL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ESI Highly Cited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O(n^2); data-hungry</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Remote Sensing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Mamba SSM</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WaveMamba 2024, Dual-Branch Mamba 2024</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IP, UP, Houston</w:t>
            </w:r>
          </w:p>
        </w:tc>
        <w:tc>
          <w:tcPr>
            <w:tcW w:type="dxa" w:w="2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O(n); SOTA vs Transformers</w:t>
            </w:r>
          </w:p>
        </w:tc>
        <w:tc>
          <w:tcPr>
            <w:tcW w:type="dxa" w:w="168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1D raster scan; preprints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Medical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ML (SVM, PLS-DA)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Leon 2023, Aloupogianni 2022, Halicek 2017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HELICoiD, skin HSI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85.3% OA (brain tumor)</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No spatial context; noisy maps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Medical</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CNN+GNN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Hollon 2020, Bernardo 2023, hybrid CNN</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SRH, neurosurgery HSI</w:t>
            </w:r>
          </w:p>
        </w:tc>
        <w:tc>
          <w:tcPr>
            <w:tcW w:type="dxa" w:w="2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94.6% (Nature Med)</w:t>
            </w:r>
          </w:p>
        </w:tc>
        <w:tc>
          <w:tcPr>
            <w:tcW w:type="dxa" w:w="168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Small datasets; latency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Medical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Transformer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MT-SCnet 2024, HyperMRI 2024, RGB-HSI 2024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Choledoch, neurosurgery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SOTA on microscopic HSI</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Data-hungry; complex</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Medical</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Mamba SSM</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MDN 2025 (dual-stream)</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Choledoch, cervical cancer</w:t>
            </w:r>
          </w:p>
        </w:tc>
        <w:tc>
          <w:tcPr>
            <w:tcW w:type="dxa" w:w="2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Fastest inference speed</w:t>
            </w:r>
          </w:p>
        </w:tc>
        <w:tc>
          <w:tcPr>
            <w:tcW w:type="dxa" w:w="168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Preprint; small datasets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Recycling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ML (SVM, PLS-DA)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Zheng 2018, Tao 2023, Taneepanichskul 2025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NIR plastic HSI, MSW</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98.3% OA (clean plastics)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Speed; contamination sensitivity</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Recycling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CNN (1D+3D)</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Xia 2021, Kumar 2024, Singh 2023</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FX17 NIR, post-consumer</w:t>
            </w:r>
          </w:p>
        </w:tc>
        <w:tc>
          <w:tcPr>
            <w:tcW w:type="dxa" w:w="2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99.1% (1D-CNN, clean)</w:t>
            </w:r>
          </w:p>
        </w:tc>
        <w:tc>
          <w:tcPr>
            <w:tcW w:type="dxa" w:w="168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Industrial speed; GPU cost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Recycling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Transformer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Ji 2025 (Swin), Kim 2023 (ViT)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NIR+RGB plastics, bulky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First multimodal Swin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7"/>
                <w:szCs w:val="17"/>
              </w:rPr>
              <w:t xml:space="preserve">Lighting sensitivity; compute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Recycling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Mamba SSM</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Mamba NIR SSM 2024, VIS+NIR+THz dataset 2026</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FX17 NIR, multimodal</w:t>
            </w:r>
          </w:p>
        </w:tc>
        <w:tc>
          <w:tcPr>
            <w:tcW w:type="dxa" w:w="2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98.6% OA (3x speedup vs CNN)</w:t>
            </w:r>
          </w:p>
        </w:tc>
        <w:tc>
          <w:tcPr>
            <w:tcW w:type="dxa" w:w="168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7"/>
                <w:szCs w:val="17"/>
              </w:rPr>
              <w:t xml:space="preserve">Under review; industrial unvalidated</w:t>
            </w:r>
          </w:p>
        </w:tc>
      </w:tr>
    </w:tbl>
    <w:p>
      <w:pPr>
        <w:spacing w:after="80"/>
      </w:pPr>
    </w:p>
    <w:p>
      <w:pPr>
        <w:spacing w:after="130"/>
      </w:pPr>
      <w:r>
        <w:rPr>
          <w:color w:val="999999"/>
          <w:sz w:val="18"/>
          <w:szCs w:val="18"/>
        </w:rPr>
        <w:t xml:space="preserve">Document prepared for scientific article writing. All summaries are original paraphrases suitable for Related Work / State of the Art sections.</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2026-04-29T05:20:05.888Z</dcterms:created>
  <dcterms:modified xsi:type="dcterms:W3CDTF">2026-04-29T05:20:05.889Z</dcterms:modified>
</cp:coreProperties>
</file>

<file path=docProps/custom.xml><?xml version="1.0" encoding="utf-8"?>
<Properties xmlns="http://schemas.openxmlformats.org/officeDocument/2006/custom-properties" xmlns:vt="http://schemas.openxmlformats.org/officeDocument/2006/docPropsVTypes"/>
</file>