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華城 (1519) 個股分析報告書</w:t>
      </w:r>
    </w:p>
    <w:p>
      <w:pPr>
        <w:spacing w:after="80"/>
      </w:pPr>
      <w:r>
        <w:rPr>
          <w:i/>
          <w:iCs/>
          <w:sz w:val="20"/>
          <w:szCs w:val="20"/>
        </w:rPr>
        <w:t xml:space="preserve">重電設備廠／變壓器外銷龍頭 ｜ 新手選股練習教材 ｜ 參考日期：2026年6月26日</w:t>
      </w:r>
    </w:p>
    <w:p>
      <w:pPr>
        <w:spacing w:after="280"/>
      </w:pPr>
      <w:r>
        <w:rPr>
          <w:i/>
          <w:iCs/>
          <w:sz w:val="20"/>
          <w:szCs w:val="20"/>
        </w:rPr>
        <w:t xml:space="preserve">本報告為一般性資訊整理與選股練習教材，非投資建議。所有財務數據與分析師預估均有時效性，市場狀況會隨時間變化，請以最新公開資訊為準。投資人應自行判斷並承擔投資風險。</w:t>
      </w:r>
    </w:p>
    <w:p>
      <w:pPr>
        <w:pStyle w:val="Heading1"/>
        <w:spacing w:after="160"/>
      </w:pPr>
      <w:r>
        <w:t xml:space="preserve">公司基本資料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項目</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內容</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公司全名</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華城電機股份有限公司</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股票代號</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1519（上市）</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成立日期</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1969年8月26日成立；1997年4月16日上市掛牌</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主要業務</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變壓器（占營收約78.3%）、統包工程（約5.9%）、配電盤（約4.1%）、配電器材（約1.3%）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產業地位</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「重電三雄／四雄」之一（與中興電、士電、亞力並列），為台灣超高壓大型變壓器龍頭，並打入美國德州「星際之門（Stargate）」計畫供應鏈</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近期股價</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780元（2026/6/26收盤，連2跌，當日跌3.47%）</w:t>
            </w:r>
          </w:p>
        </w:tc>
      </w:tr>
    </w:tbl>
    <w:p>
      <w:pPr>
        <w:pStyle w:val="Heading1"/>
        <w:spacing w:after="160"/>
      </w:pPr>
      <w:r>
        <w:t xml:space="preserve">五星拆分法總覽</w:t>
      </w:r>
    </w:p>
    <w:p>
      <w:pPr>
        <w:spacing w:after="160"/>
      </w:pPr>
      <w:r>
        <w:t xml:space="preserve">每一星對應一個獨立問題，各自給0-1分（是=1分／部分是=0.5分／否=0分），五項加總即為總星數。</w:t>
      </w:r>
    </w:p>
    <w:p>
      <w:pPr>
        <w:pStyle w:val="ListParagraph"/>
        <w:numPr>
          <w:ilvl w:val="0"/>
          <w:numId w:val="2"/>
        </w:numPr>
        <w:spacing w:after="120"/>
      </w:pPr>
      <w:r>
        <w:t xml:space="preserve">★1 商業模式 — 這家公司怎麼賺錢，我看得懂嗎？</w:t>
      </w:r>
    </w:p>
    <w:p>
      <w:pPr>
        <w:pStyle w:val="ListParagraph"/>
        <w:numPr>
          <w:ilvl w:val="0"/>
          <w:numId w:val="2"/>
        </w:numPr>
        <w:spacing w:after="120"/>
      </w:pPr>
      <w:r>
        <w:t xml:space="preserve">★2 財務健康度 — EPS、營收成長是真實成長，還是基期效應？</w:t>
      </w:r>
    </w:p>
    <w:p>
      <w:pPr>
        <w:pStyle w:val="ListParagraph"/>
        <w:numPr>
          <w:ilvl w:val="0"/>
          <w:numId w:val="2"/>
        </w:numPr>
        <w:spacing w:after="120"/>
      </w:pPr>
      <w:r>
        <w:t xml:space="preserve">★3 產業競爭位置 — 護城河、市佔率是否穩固，而非曇花一現？</w:t>
      </w:r>
    </w:p>
    <w:p>
      <w:pPr>
        <w:pStyle w:val="ListParagraph"/>
        <w:numPr>
          <w:ilvl w:val="0"/>
          <w:numId w:val="2"/>
        </w:numPr>
        <w:spacing w:after="120"/>
      </w:pPr>
      <w:r>
        <w:t xml:space="preserve">★4 估值與買進時機 — 股價是否已經跑在基本面前面？</w:t>
      </w:r>
    </w:p>
    <w:p>
      <w:pPr>
        <w:pStyle w:val="ListParagraph"/>
        <w:numPr>
          <w:ilvl w:val="0"/>
          <w:numId w:val="2"/>
        </w:numPr>
        <w:spacing w:after="120"/>
      </w:pPr>
      <w:r>
        <w:t xml:space="preserve">★5 資本投入策略 — 公司是否在為未來成長做實質投入？</w:t>
      </w:r>
    </w:p>
    <w:p>
      <w:pPr>
        <w:pStyle w:val="Heading1"/>
        <w:spacing w:after="160"/>
      </w:pPr>
      <w:r>
        <w:t xml:space="preserve">★1　商業模式</w:t>
      </w:r>
    </w:p>
    <w:p>
      <w:pPr>
        <w:spacing w:after="160"/>
      </w:pPr>
      <w:r>
        <w:t xml:space="preserve">華城的核心角色是「大型電力變壓器製造商＋輸配電統包工程商」：設計製造超高壓（345kV以上）大型變壓器、中小型變壓器、配電盤與配電器材，並承攬輸配電系統統包工程。客戶以台電（國內強韌電網計畫）為基礎，近兩年明確疊加美國電力公司與AI資料中心業主的外銷訂單，外銷營收占比已從過去約3成快速攀升至5-6成。這跟中興電「GIS開關設備＋台電為主」的客戶結構不同，華城的故事更集中在「外銷美國＋AI資料中心用電」這條主線上。</w:t>
      </w:r>
    </w:p>
    <w:p>
      <w:pPr>
        <w:pStyle w:val="Heading2"/>
        <w:spacing w:after="160"/>
      </w:pPr>
      <w:r>
        <w:t xml:space="preserve">三個檢驗問題</w:t>
      </w:r>
    </w:p>
    <w:p>
      <w:pPr>
        <w:pStyle w:val="ListParagraph"/>
        <w:numPr>
          <w:ilvl w:val="0"/>
          <w:numId w:val="2"/>
        </w:numPr>
        <w:spacing w:after="120"/>
      </w:pPr>
      <w:r>
        <w:t xml:space="preserve">賣什麼？— 超高壓大型變壓器（含525kV升壓變壓器）、中小型變壓器、配電盤與配電器材，以及輸配電統包工程</w:t>
      </w:r>
    </w:p>
    <w:p>
      <w:pPr>
        <w:pStyle w:val="ListParagraph"/>
        <w:numPr>
          <w:ilvl w:val="0"/>
          <w:numId w:val="2"/>
        </w:numPr>
        <w:spacing w:after="120"/>
      </w:pPr>
      <w:r>
        <w:t xml:space="preserve">客戶是誰？為什麼付錢？— 台電（電網升級法定採購）、美國至少17家電力公司（電網更新需求）、美國AI資料中心業主（如星際之門計畫，需要大型變壓器供電），邏輯清晰、不需產業背景知識即可理解</w:t>
      </w:r>
    </w:p>
    <w:p>
      <w:pPr>
        <w:pStyle w:val="ListParagraph"/>
        <w:numPr>
          <w:ilvl w:val="0"/>
          <w:numId w:val="2"/>
        </w:numPr>
        <w:spacing w:after="120"/>
      </w:pPr>
      <w:r>
        <w:t xml:space="preserve">賺錢方式與成本結構？— 重資產＋訂單制生產，依長期合約／標案排程生產交貨並認列營收，近年因外銷高毛利訂單比重提升，毛利率從過去30%出頭一路墊高到2025年全年40.47%</w:t>
      </w:r>
    </w:p>
    <w:p>
      <w:pPr>
        <w:spacing w:after="240" w:before="80"/>
      </w:pPr>
      <w:r>
        <w:rPr>
          <w:b/>
          <w:bCs/>
        </w:rPr>
        <w:t xml:space="preserve">評分：1分 — 「賣大型變壓器＋蓋輸配電系統」的商業模式直觀易懂，客戶與付款邏輯具體明確，外銷轉型（從台電單一客戶到美國電力公司＋AI資料中心）的故事也容易理解。</w:t>
      </w:r>
    </w:p>
    <w:p>
      <w:pPr>
        <w:pStyle w:val="Heading1"/>
        <w:spacing w:after="160"/>
      </w:pPr>
      <w:r>
        <w:t xml:space="preserve">★2　財務健康度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指標</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數據</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股價</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780.0元（2026/6/26收盤，連2跌）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本益比</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53.61倍（同業平均53.79倍）</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2025全年EPS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13.99元，年增3.1%（以稅後純益年增率計算），創歷史新高</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2025全年營收</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244.23億元，年增20.89%，創歷史新高</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2025全年毛利率</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40.47%，年增3.92個百分點</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2025全年稅後純益</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44.19億元，年增僅3.1%（明顯落後營收成長率20.89%）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2026年Q1 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3.29元，季減38%、年增10%（單季稅後純益10.38億元，年增20.69%）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2026年Q1營收</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47.57億元，年增7.58%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2026年3月營收</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20.37億元，月增49.4%、年增3.38%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2026年4月營收</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22.48億元，月增10.43%、年增6.38%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2026年5月營收</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14.77億元，月減34.33%、年減9.33%（由成長轉為衰退）</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2026年累計營收(1-5月)</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84.82億元，累計年增3.9%（較2025全年20.89%明顯降溫）</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在手訂單</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AI資料中心(AIDC)相關訂單逾150-200億元；總在手訂單逾300億元，能見度延伸至2028年</w:t>
            </w:r>
          </w:p>
        </w:tc>
      </w:tr>
    </w:tbl>
    <w:p>
      <w:pPr>
        <w:pStyle w:val="Heading2"/>
        <w:spacing w:after="160"/>
      </w:pPr>
      <w:r>
        <w:t xml:space="preserve">解讀重點</w:t>
      </w:r>
    </w:p>
    <w:p>
      <w:pPr>
        <w:pStyle w:val="ListParagraph"/>
        <w:numPr>
          <w:ilvl w:val="0"/>
          <w:numId w:val="2"/>
        </w:numPr>
        <w:spacing w:after="120"/>
      </w:pPr>
      <w:r>
        <w:t xml:space="preserve">2025全年營收與EPS雙創歷史新高，外銷高毛利訂單比重提升帶動毛利率墊高至40.47%，這部分跟在手訂單300億元的長期能見度互相呼應，不是單一季度的虛胖數字</w:t>
      </w:r>
    </w:p>
    <w:p>
      <w:pPr>
        <w:pStyle w:val="ListParagraph"/>
        <w:numPr>
          <w:ilvl w:val="0"/>
          <w:numId w:val="2"/>
        </w:numPr>
        <w:spacing w:after="120"/>
      </w:pPr>
      <w:r>
        <w:rPr>
          <w:b w:val="false"/>
          <w:bCs w:val="false"/>
        </w:rPr>
        <w:t xml:space="preserve">最關鍵的警訊：2025全年營收年增20.89%，但稅後純益年增僅3.1%，兩者差距達17.8個百分點——毛利率明明提升，獲利成長卻遠遠落後營收成長，可能反映費用率上升（2025年營益率年減2.81個百分點）、外銷比重提升帶來的匯兌損失，或趕工交期造成的額外成本，這個落差比單純看「營收創新高」更值得警惕</w:t>
      </w:r>
    </w:p>
    <w:p>
      <w:pPr>
        <w:pStyle w:val="ListParagraph"/>
        <w:numPr>
          <w:ilvl w:val="0"/>
          <w:numId w:val="2"/>
        </w:numPr>
        <w:spacing w:after="120"/>
      </w:pPr>
      <w:r>
        <w:t xml:space="preserve">2026年5月營收出現由成長轉為年減9.33%、月減34.33%的明顯轉折，且累計1-5月營收年增僅3.9%，與2025年全年雙位數甚至20%以上的成長步調出現明顯落差——這跟中興電案例中「成長速度放緩但仍創新高」的情況不同，華城5月是「絕對數字也轉為衰退」，性質更接近警訊而非單純降溫</w:t>
      </w:r>
    </w:p>
    <w:p>
      <w:pPr>
        <w:pStyle w:val="ListParagraph"/>
        <w:numPr>
          <w:ilvl w:val="0"/>
          <w:numId w:val="2"/>
        </w:numPr>
        <w:spacing w:after="120"/>
      </w:pPr>
      <w:r>
        <w:t xml:space="preserve">2026年Q1單季EPS年增10%，遠低於同期稅後純益年增20.69%，差距可能來自股本膨脹（華城2026年3月董事會決議盈餘轉增資發行新股），代表每股獲利的稀釋效應正在發生，需留意後續股本變化對EPS的影響</w:t>
      </w:r>
    </w:p>
    <w:p>
      <w:pPr>
        <w:spacing w:after="240" w:before="80"/>
      </w:pPr>
      <w:r>
        <w:rPr>
          <w:b/>
          <w:bCs/>
        </w:rPr>
        <w:t xml:space="preserve">評分：0.5分 — 營收與EPS雖創歷史新高，且有300億元在手訂單作為長期支撐，但「營收成長20.89%、純益僅成長3.1%」的獲利效率落差，加上2026年5月營收轉為年減、股本膨脹稀釋EPS成長等多重訊號同時出現，財務數據的真實成長性不如表面的「創新高」標題那麼乾淨，因此不給滿分。</w:t>
      </w:r>
    </w:p>
    <w:p>
      <w:pPr>
        <w:pStyle w:val="Heading1"/>
        <w:spacing w:after="160"/>
      </w:pPr>
      <w:r>
        <w:t xml:space="preserve">★3　產業與競爭位置</w:t>
      </w:r>
    </w:p>
    <w:p>
      <w:pPr>
        <w:pStyle w:val="ListParagraph"/>
        <w:numPr>
          <w:ilvl w:val="0"/>
          <w:numId w:val="2"/>
        </w:numPr>
        <w:spacing w:after="120"/>
      </w:pPr>
      <w:r>
        <w:t xml:space="preserve">華城是台灣超高壓大型變壓器領域的龍頭廠商，2024年起切入美國市場，成為第一家取得美國德州「星際之門（Stargate）」計畫變壓器訂單的台廠（第一期20億元，第二期已追加），目前已是美國至少17家電力公司的核心供應商之一</w:t>
      </w:r>
    </w:p>
    <w:p>
      <w:pPr>
        <w:pStyle w:val="ListParagraph"/>
        <w:numPr>
          <w:ilvl w:val="0"/>
          <w:numId w:val="2"/>
        </w:numPr>
        <w:spacing w:after="120"/>
      </w:pPr>
      <w:r>
        <w:t xml:space="preserve">技術護城河具體可驗證：大型變壓器交期動輒2-3年，華城以「2-3年交期＋穩定品質」明顯優於歐洲一線大廠4-5年的交貨水準，這個交期落差是需求爆發期最直接的競爭優勢；台中廠已成功交付525kV超高壓變壓器至美國極端氣候區域，顯示技術門檻已通過國際驗證</w:t>
      </w:r>
    </w:p>
    <w:p>
      <w:pPr>
        <w:pStyle w:val="ListParagraph"/>
        <w:numPr>
          <w:ilvl w:val="0"/>
          <w:numId w:val="2"/>
        </w:numPr>
        <w:spacing w:after="120"/>
      </w:pPr>
      <w:r>
        <w:t xml:space="preserve">市占率數據需謹慎引用：部分證券研究報告提及華城在「美國變壓器市場享有70-80%份額」，但此數字未見多個獨立來源交叉驗證，且與「美國至少17家電力公司」的描述（暗示供應商不只一家）存在邏輯落差，本報告對此數字採保留態度，僅作為參考而非確定事實</w:t>
      </w:r>
    </w:p>
    <w:p>
      <w:pPr>
        <w:pStyle w:val="ListParagraph"/>
        <w:numPr>
          <w:ilvl w:val="0"/>
          <w:numId w:val="2"/>
        </w:numPr>
        <w:spacing w:after="120"/>
      </w:pPr>
      <w:r>
        <w:t xml:space="preserve">政策與結構性紅利明確：美國電網老化＋AI資料中心用電需求年增約11%，加上台電「強韌電網計畫」（5,645億元）持續挹注內需；美國對台變壓器關稅已從20%降至15%，且重機電設備可豁免對等關稅，提升台廠對中、日、韓同業的相對競爭力</w:t>
      </w:r>
    </w:p>
    <w:p>
      <w:pPr>
        <w:pStyle w:val="ListParagraph"/>
        <w:numPr>
          <w:ilvl w:val="0"/>
          <w:numId w:val="2"/>
        </w:numPr>
        <w:spacing w:after="120"/>
      </w:pPr>
      <w:r>
        <w:t xml:space="preserve">產能擴張同步進行：觀音3B廠2025年底完工、2026年投產，中型變壓器產能提升30%；台中港廠規劃2026年初動工、2027年Q2投產，超高壓大容量變壓器產能可望倍增，顯示護城河不是靜態的，而是持續用實際擴產動作維護</w:t>
      </w:r>
    </w:p>
    <w:p>
      <w:pPr>
        <w:pStyle w:val="Heading2"/>
        <w:spacing w:after="160"/>
      </w:pPr>
      <w:r>
        <w:t xml:space="preserve">同業比較</w:t>
      </w:r>
    </w:p>
    <w:p>
      <w:pPr>
        <w:spacing w:after="160"/>
      </w:pPr>
      <w:r>
        <w:t xml:space="preserve">「重電三雄／四雄」內部角色分工清楚：中興電以GIS超高壓開關設備的台電供應鏈為核心、市占率最高（85%），但客戶集中在國內台電與半導體廠（本益比21.45倍，相對保守）；士電同時布局重電與北美電網、產品線最完整（本益比約30倍）；華城則是外銷美國變壓器規模最大、AI資料中心訂單能見度最明確的一檔，但本益比也明顯墊高至53.61倍，是四雄中「故事最熱、估值也最貴」的一檔。華城的護城河集中在「外銷規模＋交期優勢＋星際之門客戶關係」，跟中興電「單一產品線極高市占率＋台電認證門檻」的護城河性質不同，確定性繫於美國資料中心建設能否如期推進，比中興電「台電法定採購」的確定性略低，但成長性故事更強。</w:t>
      </w:r>
    </w:p>
    <w:p>
      <w:pPr>
        <w:spacing w:after="240" w:before="80"/>
      </w:pPr>
      <w:r>
        <w:rPr>
          <w:b/>
          <w:bCs/>
        </w:rPr>
        <w:t xml:space="preserve">評分：1分 — 美國星際之門訂單、17家電力公司供應商地位、2-3年交期優勢及525kV技術驗證，都是具體可驗證、有獨立來源互相佐證的護城河；雖然「70-80%市占率」這個單一數字尚待更多交叉驗證，但整體競爭地位的證據鏈仍足以支撐滿分。</w:t>
      </w:r>
    </w:p>
    <w:p>
      <w:pPr>
        <w:pStyle w:val="Heading1"/>
        <w:spacing w:after="160"/>
      </w:pPr>
      <w:r>
        <w:t xml:space="preserve">★4　估值與買進時機</w:t>
      </w:r>
    </w:p>
    <w:p>
      <w:pPr>
        <w:pStyle w:val="ListParagraph"/>
        <w:numPr>
          <w:ilvl w:val="0"/>
          <w:numId w:val="2"/>
        </w:numPr>
        <w:spacing w:after="120"/>
      </w:pPr>
      <w:r>
        <w:t xml:space="preserve">目前本益比53.61倍，相較重電同業中興電（21.45倍）、士電（約30倍）明顯偏高，是「重電三雄／四雄」中估值最貴的一檔</w:t>
      </w:r>
    </w:p>
    <w:p>
      <w:pPr>
        <w:pStyle w:val="ListParagraph"/>
        <w:numPr>
          <w:ilvl w:val="0"/>
          <w:numId w:val="2"/>
        </w:numPr>
        <w:spacing w:after="120"/>
      </w:pPr>
      <w:r>
        <w:t xml:space="preserve">股價780元，近期連2跌（6/26當日跌3.47%），股價已從2026年高點（曾觸及900元以上區間）回落</w:t>
      </w:r>
    </w:p>
    <w:p>
      <w:pPr>
        <w:pStyle w:val="Heading2"/>
        <w:spacing w:after="160"/>
      </w:pPr>
      <w:r>
        <w:t xml:space="preserve">驗證程序①：本益比河流圖定位</w:t>
      </w:r>
    </w:p>
    <w:p>
      <w:pPr>
        <w:spacing w:after="160"/>
      </w:pPr>
      <w:r>
        <w:t xml:space="preserve">查核近3個月本益比資料（資料時間：2026/3/20-2026/6/18，資料來源：元大投顧），本益比在此區間內波動於35.53倍至104.57倍之間，目前53.61倍落在這個區間的中段偏下緣，並非處於歷史相對極端的高點；但須注意此區間僅涵蓋近3個月、波動本身就已經非常大（104.57倍與35.53倍相差近3倍），代表市場對華城的評價本身就極不穩定，不能簡單以「未達區間上緣」就判斷為便宜，反而應視為「市場對其合理估值缺乏共識」的訊號。</w:t>
      </w:r>
    </w:p>
    <w:p>
      <w:pPr>
        <w:pStyle w:val="Heading2"/>
        <w:spacing w:after="160"/>
      </w:pPr>
      <w:r>
        <w:t xml:space="preserve">驗證程序②：三大法人籌碼疊圖</w:t>
      </w:r>
    </w:p>
    <w:p>
      <w:pPr>
        <w:spacing w:after="160"/>
      </w:pPr>
      <w:r>
        <w:t xml:space="preserve">查核近期法人逐日買賣超公開資料，發現的型態跟中興電「外資外撤、投信進場」的單一分歧不同，華城的籌碼面更接近「整體偏空、零星分歧」：3月初一度連續7個交易日遭三大法人賣超，合計賣超3,459張；4月下旬買賣超方向反覆——4/22三大法人合計賣超338張、4/23賣超207張、4/24轉為合計買超290張（但細看4/24當天投信仍賣超26張，僅外資買超312張），顯示法人內部本身就沒有一致方向。多個個股健診平台將華城的「籌碼面」評分列為偏低等級（滿分10分中約1分），與股價屢創新高的走勢形成落差，呼應「股價先漲、籌碼面卻沒有同步認同」的警訊型態。</w:t>
      </w:r>
    </w:p>
    <w:p>
      <w:pPr>
        <w:pStyle w:val="Heading2"/>
        <w:spacing w:after="160"/>
      </w:pPr>
      <w:r>
        <w:t xml:space="preserve">驗證程序③：目標價時間序列</w:t>
      </w:r>
    </w:p>
    <w:p>
      <w:pPr>
        <w:spacing w:after="160"/>
      </w:pPr>
      <w:r>
        <w:t xml:space="preserve">查核外資目標價調整紀錄：2025年10月理財周刊報導的法人短期目標價約745元；隨著股價在2025年底至2026年初一路衝高（12月一度漲停至893元、3月財報公布後站回921-937元區間），花旗環球證券於2026年4月21日才將評等上調至「買進」並給出最新目標價1150元。比對時間序列可發現，外資目標價的大幅上修（745元→1150元，漲幅逾54%）發生在股價已經創高之後，屬於「股價先漲、外資事後才追價上修目標價」的型態，跟台積電案例類似，應視為扣分或警示訊號，而非外資領先佈局的訊號。</w:t>
      </w:r>
    </w:p>
    <w:p>
      <w:pPr>
        <w:pStyle w:val="Heading2"/>
        <w:spacing w:after="160"/>
      </w:pPr>
      <w:r>
        <w:t xml:space="preserve">驗證程序④：同業比較</w:t>
      </w:r>
    </w:p>
    <w:p>
      <w:pPr>
        <w:spacing w:after="160"/>
      </w:pPr>
      <w:r>
        <w:t xml:space="preserve">與中興電（1513）比較：中興電本益比21.45倍、外資持股比例近半年持續下滑且近期連3賣，但股價走勢相對溫和；華城本益比53.61倍（高出中興電逾2.5倍），股價漲幅與題材熱度也明顯更大。重電三雄股價在2026年6月初（黃仁勳喊話「AI勞工需要電力」）曾出現「重電四雄滿格充電全漲停」的齊漲現象，顯示華城近期漲勢有相當部分是產業／題材面齊漲帶動，而非單純個股獨有的基本面突破，這部分需要從整體本益比中扣除產業情緒溢價來看待。</w:t>
      </w:r>
    </w:p>
    <w:p>
      <w:pPr>
        <w:spacing w:after="240" w:before="80"/>
      </w:pPr>
      <w:r>
        <w:rPr>
          <w:b/>
          <w:bCs/>
        </w:rPr>
        <w:t xml:space="preserve">評分：0.5分 — 本益比53.61倍雖未站上近3個月區間的歷史高點，但已是重電同業中明顯偏貴的一檔；籌碼面屢次出現法人方向分歧甚至連續賣超、外資目標價上修時間落後股價創高、且近期漲勢有產業齊漲成分，四項驗證程序都指向「估值已經部分跑在基本面之前」，因此不給滿分。</w:t>
      </w:r>
    </w:p>
    <w:p>
      <w:pPr>
        <w:pStyle w:val="Heading1"/>
        <w:spacing w:after="160"/>
      </w:pPr>
      <w:r>
        <w:t xml:space="preserve">★5　資本投入策略</w:t>
      </w:r>
    </w:p>
    <w:p>
      <w:pPr>
        <w:pStyle w:val="ListParagraph"/>
        <w:numPr>
          <w:ilvl w:val="0"/>
          <w:numId w:val="2"/>
        </w:numPr>
        <w:spacing w:after="120"/>
      </w:pPr>
      <w:r>
        <w:t xml:space="preserve">觀音3B廠2025年底完工、2026年正式投產，中型變壓器產能提升約30%，是已經兌現、即將反映在營收的具體擴產動作</w:t>
      </w:r>
    </w:p>
    <w:p>
      <w:pPr>
        <w:pStyle w:val="ListParagraph"/>
        <w:numPr>
          <w:ilvl w:val="0"/>
          <w:numId w:val="2"/>
        </w:numPr>
        <w:spacing w:after="120"/>
      </w:pPr>
      <w:r>
        <w:t xml:space="preserve">台中港廠規劃2026年初動工、2027年Q2投產，專門生產超高壓大容量變壓器，屆時整體產能可望倍增，且約90%產能規劃用於供應出口市場，顯示資本支出方向明確對應「外銷高毛利訂單」這個成長主軸</w:t>
      </w:r>
    </w:p>
    <w:p>
      <w:pPr>
        <w:pStyle w:val="ListParagraph"/>
        <w:numPr>
          <w:ilvl w:val="0"/>
          <w:numId w:val="2"/>
        </w:numPr>
        <w:spacing w:after="120"/>
      </w:pPr>
      <w:r>
        <w:t xml:space="preserve">子公司華城電能（EVALUE）近期推動匯流排配電與EMS能源管理系統案場，將業務觸角從傳統重電設備延伸至社區充電基礎建設與能源管理整合服務，屬於既有核心能力的延伸應用，而非跨足全新陌生領域</w:t>
      </w:r>
    </w:p>
    <w:p>
      <w:pPr>
        <w:pStyle w:val="ListParagraph"/>
        <w:numPr>
          <w:ilvl w:val="0"/>
          <w:numId w:val="2"/>
        </w:numPr>
        <w:spacing w:after="120"/>
      </w:pPr>
      <w:r>
        <w:t xml:space="preserve">公司明確將南亞生產的模鑄式小型變壓器納入合作，採取「自製＋協力」並行策略應對快速膨脹的訂單量，顯示在擴產的同時也透過供應鏈協作分散純自建產能的時程風險</w:t>
      </w:r>
    </w:p>
    <w:p>
      <w:pPr>
        <w:pStyle w:val="Heading2"/>
        <w:spacing w:after="160"/>
      </w:pPr>
      <w:r>
        <w:t xml:space="preserve">關鍵發現</w:t>
      </w:r>
    </w:p>
    <w:p>
      <w:pPr>
        <w:spacing w:after="160"/>
      </w:pPr>
      <w:r>
        <w:t xml:space="preserve">華城的資本投入策略呈現「快速擴產緊跟訂單」的打法：觀音3B廠與台中港廠兩個擴產案緊密銜接訂單能見度（2028年），且擴產規劃清楚對應「出口比重持續提升」這個策略主軸，跟中興電「審慎擴產＋效率優先」的保守路線不同，華城的資本配置更積極、更貼近成長機會，但也意味著管理層必須承擔「接單快速膨脹、管理與交期風險同步放大」的代價——部分產業分析已明確點出，若為趕工而增加加班、委外或緊急採料，短期內可能犧牲部分毛利率，這跟★2觀察到的「營收成長20.89%但純益僅成長3.1%」的落差可能存在關連。</w:t>
      </w:r>
    </w:p>
    <w:p>
      <w:pPr>
        <w:spacing w:after="240" w:before="80"/>
      </w:pPr>
      <w:r>
        <w:rPr>
          <w:b/>
          <w:bCs/>
        </w:rPr>
        <w:t xml:space="preserve">評分：1分 — 觀音3B廠與台中港廠兩階段擴產時程具體、且明確對應外銷訂單成長主軸，搭配協力廠分散產能風險的務實做法，屬於積極但有方向感的資本投入，而非盲目擴張。</w:t>
      </w:r>
    </w:p>
    <w:p>
      <w:pPr>
        <w:pStyle w:val="Heading1"/>
        <w:spacing w:after="160"/>
      </w:pPr>
      <w:r>
        <w:t xml:space="preserve">總評分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星級</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評分</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關鍵理由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商業模式</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1分</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賣大型變壓器＋蓋輸配電系統，邏輯直觀，美國外銷＋AI資料中心新故事容易理解</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財務健康度</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0.5分</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營收EPS創新高，但純益成長率遠落後營收成長率，且5月營收轉為年減、Q1出現EPS稀釋訊號</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產業競爭位置</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1分</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美國星際之門訂單、17家電力公司供應商地位、交期與技術優勢具體可驗證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估值買進時機</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0.5分</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本益比明顯高於重電同業，籌碼面屢現分歧，外資目標價上修落後股價創高，漲勢含產業齊漲成分</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資本投入策略</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1分</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兩階段擴產時程具體且緊扣外銷訂單成長，搭配協力廠分散風險</w:t>
            </w:r>
          </w:p>
        </w:tc>
      </w:tr>
    </w:tbl>
    <w:p>
      <w:pPr>
        <w:spacing w:after="280"/>
      </w:pPr>
      <w:r>
        <w:rPr>
          <w:b/>
          <w:bCs/>
          <w:sz w:val="26"/>
          <w:szCs w:val="26"/>
        </w:rPr>
        <w:t xml:space="preserve">總分：四星 4★</w:t>
      </w:r>
    </w:p>
    <w:p>
      <w:pPr>
        <w:pStyle w:val="Heading1"/>
        <w:spacing w:after="160"/>
      </w:pPr>
      <w:r>
        <w:t xml:space="preserve">重要提醒：成長故事很響亮，但兩個「落差」值得反覆檢查</w:t>
      </w:r>
    </w:p>
    <w:p>
      <w:pPr>
        <w:spacing w:after="160"/>
      </w:pPr>
      <w:r>
        <w:t xml:space="preserve">華城跟本系列已分析的中興電（1513）同屬「重電四雄」，兩者的評分結構恰好形成有趣對照：中興電總分4.5★，扣分扣在估值買進時機（籌碼方向分歧，但本益比本身不貴）；華城總分4★，同樣扣在估值買進時機，但本益比53.61倍本身就已經是同業中明顯偏貴的水準，且財務健康度也多扣了0.5分。換句話說，華城的「故事」（美國星際之門、AI資料中心、17家電力公司供應商）比中興電更響亮、更容易讓人興奮，但反映在股價與本益比上，市場已經提前給出更高的溢價，留給「基本面繼續超預期」的安全邊際相對更薄。</w:t>
      </w:r>
    </w:p>
    <w:p>
      <w:pPr>
        <w:spacing w:after="200"/>
      </w:pPr>
      <w:r>
        <w:t xml:space="preserve">這個案例值得記住的教訓是：「營收創新高」與「獲利同步創新高」是兩件不同的事，華城2025年的數字清楚示範了這個落差——營收成長20.89%聽起來很亮眼，但稅後純益僅成長3.1%，意味著公司賺到的「成長」有相當一部分被費用、匯損或趕工成本吃掉了。同樣地，「外資目標價上修」與「外資領先佈局」也是兩件不同的事，本案例的目標價調整紀錄清楚顯示是「股價漲了，外資才追上調目標價」，而非外資提前看到別人沒看到的東西。五星拆分法刻意把「故事好不好」「基本面扎不扎實」「現在買貴不貴」分開評分，正是為了避免被響亮的題材敘事帶著走。</w:t>
      </w:r>
    </w:p>
    <w:p>
      <w:pPr>
        <w:pStyle w:val="Heading2"/>
        <w:spacing w:after="160"/>
      </w:pPr>
      <w:r>
        <w:t xml:space="preserve">五星框架未涵蓋的風險</w:t>
      </w:r>
    </w:p>
    <w:p>
      <w:pPr>
        <w:pStyle w:val="ListParagraph"/>
        <w:numPr>
          <w:ilvl w:val="0"/>
          <w:numId w:val="2"/>
        </w:numPr>
        <w:spacing w:after="120"/>
      </w:pPr>
      <w:r>
        <w:t xml:space="preserve">匯率風險：外銷比重已逾五成且持續提升，美元兌台幣波動會直接影響認列營收與毛利，2025年純益成長大幅落後營收成長，匯損可能是其中一個未被五星框架單獨量化的因子</w:t>
      </w:r>
    </w:p>
    <w:p>
      <w:pPr>
        <w:pStyle w:val="ListParagraph"/>
        <w:numPr>
          <w:ilvl w:val="0"/>
          <w:numId w:val="2"/>
        </w:numPr>
        <w:spacing w:after="120"/>
      </w:pPr>
      <w:r>
        <w:t xml:space="preserve">關稅與地緣政治風險：美國對台變壓器關稅雖已降至15%且重機電設備可豁免對等關稅，但若美國貿易政策再度調整，或星際之門等大型資料中心專案因融資、用電許可等問題延宕，訂單能見度可能不如表面數字穩固</w:t>
      </w:r>
    </w:p>
    <w:p>
      <w:pPr>
        <w:pStyle w:val="ListParagraph"/>
        <w:numPr>
          <w:ilvl w:val="0"/>
          <w:numId w:val="2"/>
        </w:numPr>
        <w:spacing w:after="120"/>
      </w:pPr>
      <w:r>
        <w:t xml:space="preserve">股本膨脹稀釋風險：公司2026年3月董事會決議盈餘轉增資發行新股，2026年Q1稅後純益年增20.69%但EPS僅年增10%，顯示股本擴大對每股獲利的稀釋效應已經開始發生，後續若持續增資，獲利成長與EPS成長之間的落差可能擴大</w:t>
      </w:r>
    </w:p>
    <w:p>
      <w:pPr>
        <w:pStyle w:val="ListParagraph"/>
        <w:numPr>
          <w:ilvl w:val="0"/>
          <w:numId w:val="2"/>
        </w:numPr>
        <w:spacing w:after="120"/>
      </w:pPr>
      <w:r>
        <w:t xml:space="preserve">產能執行風險：觀音3B廠與台中港廠兩階段擴產若有延宕，或趕工交期犧牲毛利率的情況持續惡化，可能進一步擴大「營收成長」與「獲利成長」之間已經出現的落差</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1F1F"/>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2026-06-30T02:28:25.741Z</dcterms:created>
  <dcterms:modified xsi:type="dcterms:W3CDTF">2026-06-30T02:28:25.742Z</dcterms:modified>
</cp:coreProperties>
</file>

<file path=docProps/custom.xml><?xml version="1.0" encoding="utf-8"?>
<Properties xmlns="http://schemas.openxmlformats.org/officeDocument/2006/custom-properties" xmlns:vt="http://schemas.openxmlformats.org/officeDocument/2006/docPropsVTypes"/>
</file>