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</w:rPr>
        <w:t xml:space="preserve">奇鋐 (3017) 個股分析報告書</w:t>
      </w:r>
    </w:p>
    <w:p>
      <w:pPr>
        <w:spacing w:after="60"/>
      </w:pPr>
      <w:r>
        <w:rPr>
          <w:i/>
          <w:iCs/>
        </w:rPr>
        <w:t xml:space="preserve">AI伺服器散熱/液冷廠 ｜ 新手選股練習教材 ｜ 參考日期：2026年6月25日</w:t>
      </w:r>
    </w:p>
    <w:p>
      <w:pPr>
        <w:spacing w:after="200"/>
      </w:pPr>
      <w:r>
        <w:rPr>
          <w:i/>
          <w:iCs/>
        </w:rPr>
        <w:t xml:space="preserve">本報告為一般性資訊整理與選股練習教材，非投資建議。所有財務數據與分析師預估均有時效性，市場狀況會隨時間變化，請以最新公開資訊為準。投資人應自行判斷並承擔投資風險。</w:t>
      </w:r>
    </w:p>
    <w:p>
      <w:pPr>
        <w:pStyle w:val="Heading2"/>
      </w:pPr>
      <w:r>
        <w:t xml:space="preserve">公司基本資料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公司全名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奇鋐科技股份有限公司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股票代號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3017（上市）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主要業務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散熱模組、AI伺服器散熱解決方案、液冷板、分歧管、伺服器機箱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產業地位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AI伺服器散熱與液冷技術領先廠商，市值排名連跳三級進入台股第12大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近期話題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目標價半年內從2950元喊到3780元，但近期出現「目標價衝高、股價不漲反跌」的籌碼背離案例</w:t>
            </w:r>
          </w:p>
        </w:tc>
      </w:tr>
    </w:tbl>
    <w:p>
      <w:pPr>
        <w:pStyle w:val="Heading1"/>
      </w:pPr>
      <w:r>
        <w:t xml:space="preserve">五星拆分法總覽</w:t>
      </w:r>
    </w:p>
    <w:p>
      <w:pPr>
        <w:spacing w:after="160"/>
      </w:pPr>
      <w:r>
        <w:t xml:space="preserve">每一星對應一個獨立問題，各自給0-1分（是=1分／部分是=0.5分／否=0分），五項加總即為總星數。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★1 商業模式 — 這家公司怎麼賺錢，我看得懂嗎？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★2 財務健康度 — EPS、營收成長是真實成長，還是基期效應？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★3 產業競爭位置 — 護城河、市佔率是否穩固，而非曇花一現？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★4 估值與買進時機 — 股價是否已經跑在基本面前面？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★5 資本投入策略 — 公司是否在為未來成長做實質投入？</w:t>
      </w:r>
    </w:p>
    <w:p>
      <w:pPr>
        <w:pStyle w:val="Heading1"/>
      </w:pPr>
      <w:r>
        <w:t xml:space="preserve">★1　商業模式</w:t>
      </w:r>
    </w:p>
    <w:p>
      <w:pPr>
        <w:spacing w:after="160"/>
      </w:pPr>
      <w:r>
        <w:t xml:space="preserve">奇鋐的核心業務是散熱解決方案，原本以筆電、伺服器散熱模組起家，近年隨AI伺服器功耗大幅提升，散熱需求從「選配」逐漸轉為「標配」，公司順勢將產品線擴展至水冷板、分歧管、CDU冷卻模組與伺服器機箱，是AI資料中心液冷技術的主要供應商之一。</w:t>
      </w:r>
    </w:p>
    <w:p>
      <w:pPr>
        <w:pStyle w:val="Heading3"/>
      </w:pPr>
      <w:r>
        <w:t xml:space="preserve">三個檢驗問題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賣什麼？— 散熱模組、液冷板、分歧管、伺服器機箱等AI伺服器散熱解決方案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客戶是誰？為什麼付錢？— Nvidia GPU供應鏈、ASIC伺服器製造商，因應AI晶片功耗持續攀升，傳統氣冷已無法滿足散熱需求，必須採用液冷技術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賺錢方式與成本結構？— 「一站式產品組合」策略，從散熱模組到完整液冷系統垂直整合，毛利率隨產品組合優化（從氣冷轉向液冷）而提升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評分：1分 — </w:t>
      </w:r>
      <w:r>
        <w:t xml:space="preserve">散熱需求隨AI晶片功耗提升而剛性增加，奇鋐的角色定位清楚——賣什麼、為什麼客戶需要付錢，邏輯直觀容易理解。</w:t>
      </w:r>
    </w:p>
    <w:p>
      <w:pPr>
        <w:pStyle w:val="Heading1"/>
      </w:pPr>
      <w:r>
        <w:t xml:space="preserve">★2　財務健康度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指標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數據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股價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約2,530元（2026/6月）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本益比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約36.34-38.62倍（同業平均45.52倍）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2026年Q1 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20.17元，季增19.29%、年增144%，創歷史新高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2026年Q1營收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490.38億元，季增2.64%、年增110.17%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2026年Q1毛利率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29.77%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2026年5月營收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158.71億元，月增1.54%、年增60.64%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2026年累計營收(1-5月)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805.41億元，累計年增90.31%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2025全年營收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1,396.39億元</w:t>
            </w:r>
          </w:p>
        </w:tc>
      </w:tr>
    </w:tbl>
    <w:p>
      <w:pPr>
        <w:pStyle w:val="Heading3"/>
      </w:pPr>
      <w:r>
        <w:t xml:space="preserve">解讀重點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Q1 EPS年增144%、營收年增110.17%，且毛利率達29.77%，營收與獲利同步大幅成長，並非單純量增稀釋價格——這跟台積電「量價齊揚」的高品質成長型態相似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累計營收年增90.31%橫跨5個月，顯示成長動能具有持續性，不是單月度的脈衝式表現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FactSet最新調查顯示19位分析師對奇鋐2026年EPS預估中位數從91.73元上修至93.75元，顯示法人持續看好獲利成長的延續性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評分：1分 — </w:t>
      </w:r>
      <w:r>
        <w:t xml:space="preserve">營收、獲利、毛利率三項同步創高，且成長橫跨多個月份具有持續性，法人持續上修獲利預估，屬於高品質的真實成長。</w:t>
      </w:r>
    </w:p>
    <w:p>
      <w:pPr>
        <w:pStyle w:val="Heading1"/>
      </w:pPr>
      <w:r>
        <w:t xml:space="preserve">★3　產業競爭位置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奇鋐憑藉「一站式產品組合」在散熱解決方案維持領先地位，針對輝達Vera Rubin平台被認為採用冷板（cold plate）散熱的可能性高，將在GPU散熱領域維持領先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法人指出奇鋐將是2026年液冷專案的主要受惠者，預估液冷相關營收占比2027年有機會挑戰50%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2027年預期進一步擴大水冷板、分歧管及伺服器機箱產能，顯示公司在既有優勢領域持續加碼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同業比較：雙鴻（3324）同為散熱概念股，近期股價同步飆漲站上千元大關，建準、健策也同步上漲，顯示這波液冷散熱題材是整個族群受惠，而非奇鋐獨有</w:t>
      </w:r>
    </w:p>
    <w:p>
      <w:pPr>
        <w:pStyle w:val="Heading3"/>
      </w:pPr>
      <w:r>
        <w:t xml:space="preserve">關鍵發現</w:t>
      </w:r>
    </w:p>
    <w:p>
      <w:pPr>
        <w:spacing w:after="160"/>
      </w:pPr>
      <w:r>
        <w:t xml:space="preserve">奇鋐的護城河跟台積電CoWoS（獨家技術標準）的確定性不同——液冷散熱領域有雙鴻、健策等多家競爭者同步受惠，奇鋐的優勢更多體現在「一站式產品組合」的綜合服務能力，而非單一不可取代的技術壟斷。值得注意的是，市場已開始觀察「資金自AI伺服器與散熱族群中出現獲利了結賣壓，同時轉向部分電子零組件股」，顯示這個族群的競爭優勢正面臨資金面的階段性檢驗。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評分：0.5分 — </w:t>
      </w:r>
      <w:r>
        <w:t xml:space="preserve">一站式產品組合與液冷技術布局確實領先，但雙鴻、健策等同業同步受惠顯示護城河不是獨佔性的，且市場已出現資金獲利了結轉向其他族群的訊號，給予部分分數。</w:t>
      </w:r>
    </w:p>
    <w:p>
      <w:pPr>
        <w:pStyle w:val="Heading1"/>
      </w:pPr>
      <w:r>
        <w:t xml:space="preserve">★4　估值與買進時機</w:t>
      </w:r>
    </w:p>
    <w:p>
      <w:pPr>
        <w:spacing w:after="160"/>
      </w:pPr>
      <w:r>
        <w:t xml:space="preserve">評分前查核以下四項，並具體寫出查到的結果：</w:t>
      </w:r>
    </w:p>
    <w:p>
      <w:pPr>
        <w:pStyle w:val="Heading3"/>
      </w:pPr>
      <w:r>
        <w:t xml:space="preserve">4-1　本益比河流圖定位</w:t>
      </w:r>
    </w:p>
    <w:p>
      <w:pPr>
        <w:spacing w:after="160"/>
      </w:pPr>
      <w:r>
        <w:t xml:space="preserve">Yahoo股市資料顯示奇鋐本益比約36.34-38.62倍，同業平均45.52倍——本益比本身低於同業平均，並未處於極端高估狀態。但winvest資料明確指出河流圖「現在股價位於紅色區間，代表現在股價來到偏高位階，可能被高估」。資料來源：玩股網、winvest、Yahoo股市。</w:t>
      </w:r>
    </w:p>
    <w:p>
      <w:pPr>
        <w:spacing w:after="160"/>
      </w:pPr>
      <w:r>
        <w:rPr>
          <w:b/>
          <w:bCs/>
        </w:rPr>
        <w:t xml:space="preserve">關鍵發現：</w:t>
      </w:r>
      <w:r>
        <w:t xml:space="preserve">雖然本益比絕對數字低於同業平均，但相對自身歷史區間已處於紅色（偏高）位階，顯示「跟同業比不貴、跟自己比偏貴」的型態，需要同時參考兩種比較基準。</w:t>
      </w:r>
    </w:p>
    <w:p>
      <w:pPr>
        <w:pStyle w:val="Heading3"/>
      </w:pPr>
      <w:r>
        <w:t xml:space="preserve">4-2　三大法人籌碼疊圖</w:t>
      </w:r>
    </w:p>
    <w:p>
      <w:pPr>
        <w:spacing w:after="160"/>
      </w:pPr>
      <w:r>
        <w:t xml:space="preserve">查得5月6日資料：三大法人單日合計賣超3,352張（連續2日賣超，累計賣超5,842張），其中投信單日賣超2,901張、外資賣超360張。另一篇分析（5月6日）標題即為「奇鋐3017目標價衝高不漲反跌：資金流出」。</w:t>
      </w:r>
    </w:p>
    <w:p>
      <w:pPr>
        <w:spacing w:after="160"/>
      </w:pPr>
      <w:r>
        <w:rPr>
          <w:b/>
          <w:bCs/>
        </w:rPr>
        <w:t xml:space="preserve">關鍵發現：</w:t>
      </w:r>
      <w:r>
        <w:t xml:space="preserve">這正是★4驗證程序最關鍵的型態——目標價持續被法人上修（從2950元一路喊到3780元），但同一時間段股價卻短線大跌逾7%、外資投信同步賣超，呈現「目標價漲、股價跌、籌碼撤」三者方向不一致的罕見組合。文章明確分析：「投資人在解讀目標價時，需要區分長線價值評估與短線資金行為，兩者往往不同步」。</w:t>
      </w:r>
    </w:p>
    <w:p>
      <w:pPr>
        <w:pStyle w:val="Heading3"/>
      </w:pPr>
      <w:r>
        <w:t xml:space="preserve">4-3　目標價時間序列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時間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目標價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機構/備註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2025年10月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1,310元→1,840元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大和資本，液冷主要受惠者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2026年4月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2,950元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摩根士丹利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2026年5月初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3,450-3,780元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外資與法人多家機構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2026年5月14日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2,950元→3,333元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摩根士丹利上調</w:t>
            </w:r>
          </w:p>
        </w:tc>
      </w:tr>
    </w:tbl>
    <w:p>
      <w:pPr>
        <w:spacing w:after="160"/>
      </w:pPr>
      <w:r>
        <w:rPr>
          <w:b/>
          <w:bCs/>
        </w:rPr>
        <w:t xml:space="preserve">關鍵發現：</w:t>
      </w:r>
      <w:r>
        <w:t xml:space="preserve">目標價從2025年10月的1,840元到2026年5月的3,780元，半年內漲幅超過1倍，調整速度與頻率都相當高。但目標價持續上修的同時，5月6日卻出現股價下跌、籌碼賣超的背離——這代表「外資喊出目標價」與「外資實際持股行動」並非總是一致，目標價可能反映長線價值評估，但短線實際操作卻是減碼。</w:t>
      </w:r>
    </w:p>
    <w:p>
      <w:pPr>
        <w:pStyle w:val="Heading3"/>
      </w:pPr>
      <w:r>
        <w:t xml:space="preserve">4-4　同業比較</w:t>
      </w:r>
    </w:p>
    <w:p>
      <w:pPr>
        <w:spacing w:after="160"/>
      </w:pPr>
      <w:r>
        <w:t xml:space="preserve">散熱同業雙鴻（3324）股價同步站上千元大關、本益比同樣處於市場關注的偏高水準；健策（3653）近期則因「輝達Rubin修改散熱設計」消息而股價重挫跌停，顯示散熱族群對單一客戶設計變更消息的敏感度極高。</w:t>
      </w:r>
    </w:p>
    <w:p>
      <w:pPr>
        <w:spacing w:after="160"/>
      </w:pPr>
      <w:r>
        <w:t xml:space="preserve">整個液冷散熱族群（奇鋐、雙鴻、建準、健策）同步受惠AI伺服器需求，但個股之間對單一事件（如設計變更傳聞）的反應差異很大，顯示這個族群的股價波動性本身就偏高，且高度依賴單一大客戶（輝達）的技術路線決策。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評分：0.5分 — </w:t>
      </w:r>
      <w:r>
        <w:t xml:space="preserve">本益比相對同業不算貴，但相對自身歷史已處偏高區間，且近期出現目標價上修與股價下跌、籌碼賣超同時發生的背離訊號，顯示短線資金行為與長線價值評估方向不一致，給予部分分數提醒風險。</w:t>
      </w:r>
    </w:p>
    <w:p>
      <w:pPr>
        <w:pStyle w:val="Heading1"/>
      </w:pPr>
      <w:r>
        <w:t xml:space="preserve">★5　資本投入策略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2027年預期進一步擴大水冷板、分歧管及伺服器機箱產能，顯示公司針對液冷領域的成長動能進行實質產能擴張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越南廠產能預期年增至少50%，是具體的地理擴產計畫，且布局東南亞有助分散地緣政治風險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公司尚未公布2026年完整產能擴充計畫的具體金額，但管理層已表示對2026至2029年的獲利成長有「穩健執行力」的信心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受邀參加多場國際法人論壇（Morgan Stanley、Macquarie、統一證券等），顯示公司積極與國際機構溝通營運展望，但這類溝通本身不等於資本投入的實質證據</w:t>
      </w:r>
    </w:p>
    <w:p>
      <w:pPr>
        <w:pStyle w:val="Heading3"/>
      </w:pPr>
      <w:r>
        <w:t xml:space="preserve">關鍵發現</w:t>
      </w:r>
    </w:p>
    <w:p>
      <w:pPr>
        <w:spacing w:after="160"/>
      </w:pPr>
      <w:r>
        <w:t xml:space="preserve">奇鋐的資本投入策略跟台積電「主動超前部署、規模最大」的型態不完全相同——奇鋐的擴產計畫（越南廠50%產能增加、水冷板分歧管擴產）方向具體，但缺乏台積電那種具體金額（如520-560億美元）的資本支出揭露，規模與透明度都相對有限。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評分：0.5分 — </w:t>
      </w:r>
      <w:r>
        <w:t xml:space="preserve">越南廠擴產與水冷板分歧管產能擴張方向具體，但缺乏具體金額與時程的資本支出計畫，規模透明度有限，給予部分分數。</w:t>
      </w:r>
    </w:p>
    <w:p>
      <w:pPr>
        <w:pStyle w:val="Heading1"/>
      </w:pPr>
      <w:r>
        <w:t xml:space="preserve">總評分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星級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評分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關鍵理由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★1 商業模式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AI伺服器散熱需求剛性增加，賺錢邏輯直觀易懂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★2 財務健康度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營收獲利毛利率同步創高，成長具持續性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★3 產業競爭位置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一站式產品組合領先，但同業雙鴻健策同步受惠非獨佔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★4 估值買進時機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本益比不算貴但自身歷史偏高，目標價上修與股價下跌背離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★5 資本投入策略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越南廠與水冷板擴產方向具體，但缺乏具體金額時程</w:t>
            </w:r>
          </w:p>
        </w:tc>
      </w:tr>
    </w:tbl>
    <w:p>
      <w:pPr>
        <w:spacing w:after="200" w:before="120"/>
      </w:pPr>
      <w:r>
        <w:rPr>
          <w:b/>
          <w:bCs/>
        </w:rPr>
        <w:t xml:space="preserve">總分：★★★☆☆（3顆星）</w:t>
      </w:r>
    </w:p>
    <w:p>
      <w:pPr>
        <w:pStyle w:val="Heading1"/>
      </w:pPr>
      <w:r>
        <w:t xml:space="preserve">重要提醒：目標價上修≠股價該漲，背離本身就是訊號</w:t>
      </w:r>
    </w:p>
    <w:p>
      <w:pPr>
        <w:spacing w:after="160"/>
      </w:pPr>
      <w:r>
        <w:t xml:space="preserve">奇鋐是本系列分析中最具教學價值的案例之一——它示範了「目標價持續被法人上修」與「股價實際走勢」可能在同一時間點完全脫鉤。5月6日當天，目標價剛被機構上修，股價卻同步下跌超過7%、外資投信同時賣超，這正是★4驗證程序設計的核心目的：不能只看目標價數字本身，必須比對「目標價上修時間」與「股價／籌碼實際走勢」的先後順序，才能判斷法人是真的看好後市，還是僅僅在跟隨基本面數字機械式調整估值模型。</w:t>
      </w:r>
    </w:p>
    <w:p>
      <w:pPr>
        <w:spacing w:after="160"/>
      </w:pPr>
      <w:r>
        <w:t xml:space="preserve">跟國巨（2327）「目標價被動追漲股價」的型態不同，奇鋐的案例更複雜——目標價持續上修，但股價與籌碼卻同時出現逆向訊號，這種「方向不一致」比單純的「目標價追漲」更需要投資人警覺，因為它代表法人內部（或法人喊出的目標價與實際操作）本身就存在矛盾。</w:t>
      </w:r>
    </w:p>
    <w:p>
      <w:pPr>
        <w:pStyle w:val="Heading3"/>
      </w:pPr>
      <w:r>
        <w:t xml:space="preserve">五星框架未涵蓋的風險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單一大客戶設計變更風險：健策因「輝達Rubin修改散熱設計」傳聞而股價重挫跌停，顯示散熱族群高度依賴單一客戶（輝達）的技術路線決策，任何設計變更都可能直接衝擊個股表現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族群資金輪動風險：市場已觀察到「資金自AI伺服器與散熱族群中出現獲利了結賣壓，轉向部分電子零組件股」，顯示這個族群的資金面熱度可能正在降溫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液冷技術路線不確定性：液冷散熱仍是相對新興的技術領域，不同世代AI晶片可能採用不同的散熱方案，技術路線的變動可能影響奇鋐既有產品組合的適用性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估值與籌碼背離的解讀風險：目標價與實際股價走勢脫鉤時，投資人若僅參考目標價數字而忽略籌碼面背離訊號，可能在錯誤的時間點做出買進決策</w:t>
      </w:r>
    </w:p>
    <w:p>
      <w:pPr>
        <w:spacing w:after="160"/>
      </w:pPr>
      <w:r>
        <w:rPr>
          <w:i/>
          <w:iCs/>
        </w:rPr>
        <w:t xml:space="preserve">本報告僅供選股練習與資訊整理之用，非投資建議，盈虧請自行評估與負責。製作日期：2026年6月25日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2026-06-26T01:38:35.664Z</dcterms:created>
  <dcterms:modified xsi:type="dcterms:W3CDTF">2026-06-26T01:38:35.665Z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