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緯穎 (6669) 個股分析報告書</w:t>
      </w:r>
    </w:p>
    <w:p>
      <w:pPr>
        <w:spacing w:after="60"/>
      </w:pPr>
      <w:r>
        <w:rPr>
          <w:i/>
          <w:iCs/>
        </w:rPr>
        <w:t xml:space="preserve">ASIC伺服器代工廠 ｜ 新手選股練習教材 ｜ 參考日期：2026年6月25日</w:t>
      </w:r>
    </w:p>
    <w:p>
      <w:pPr>
        <w:spacing w:after="200"/>
      </w:pPr>
      <w:r>
        <w:rPr>
          <w:i/>
          <w:iCs/>
        </w:rPr>
        <w:t xml:space="preserve">本報告為一般性資訊整理與選股練習教材，非投資建議。所有財務數據與分析師預估均有時效性，市場狀況會隨時間變化，請以最新公開資訊為準。投資人應自行判斷並承擔投資風險。</w:t>
      </w:r>
    </w:p>
    <w:p>
      <w:pPr>
        <w:pStyle w:val="Heading2"/>
      </w:pPr>
      <w:r>
        <w:t xml:space="preserve">公司基本資料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公司全名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緯穎科技服務股份有限公司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股票代號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6669（上市）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主要業務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AI伺服器與通用型伺服器代工，AI營收占比超過50%，以ASIC伺服器為大宗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產業地位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伺服器代工廠中AI營收占比最高的廠商，主要客戶為亞馬遜（AWS）、Meta、微軟等CSP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近期話題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本益比約12-17倍遠低於同業20倍以上，但各家券商目標價區間從4,000到8,000元，離散度極大</w:t>
            </w:r>
          </w:p>
        </w:tc>
      </w:tr>
    </w:tbl>
    <w:p>
      <w:pPr>
        <w:pStyle w:val="Heading1"/>
      </w:pPr>
      <w:r>
        <w:t xml:space="preserve">五星拆分法總覽</w:t>
      </w:r>
    </w:p>
    <w:p>
      <w:pPr>
        <w:spacing w:after="160"/>
      </w:pPr>
      <w:r>
        <w:t xml:space="preserve">每一星對應一個獨立問題，各自給0-1分（是=1分／部分是=0.5分／否=0分），五項加總即為總星數。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★1 商業模式 — 這家公司怎麼賺錢，我看得懂嗎？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★2 財務健康度 — EPS、營收成長是真實成長，還是基期效應？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★3 產業競爭位置 — 護城河、市佔率是否穩固，而非曇花一現？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★4 估值與買進時機 — 股價是否已經跑在基本面前面？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★5 資本投入策略 — 公司是否在為未來成長做實質投入？</w:t>
      </w:r>
    </w:p>
    <w:p>
      <w:pPr>
        <w:pStyle w:val="Heading1"/>
      </w:pPr>
      <w:r>
        <w:t xml:space="preserve">★1　商業模式</w:t>
      </w:r>
    </w:p>
    <w:p>
      <w:pPr>
        <w:spacing w:after="160"/>
      </w:pPr>
      <w:r>
        <w:t xml:space="preserve">緯穎是伺服器代工廠（ODM），核心業務是為大型雲端服務供應商（CSP，如亞馬遜、Meta、微軟）設計與製造客製化伺服器，其中AI產品營收占比已超過50%，又以ASIC（特殊應用晶片）伺服器為大宗（約占AI產品九成）。公司提供「全套整機設計」服務，從計算模組、交換器模組到散熱系統與機櫃架構都能客製化。</w:t>
      </w:r>
    </w:p>
    <w:p>
      <w:pPr>
        <w:pStyle w:val="Heading3"/>
      </w:pPr>
      <w:r>
        <w:t xml:space="preserve">三個檢驗問題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賣什麼？— AI伺服器與通用型伺服器代工服務，涵蓋ASIC伺服器、GPU伺服器、整機櫃（Level 12）設計與製造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客戶是誰？為什麼付錢？— 亞馬遜（AWS Trainium）、Meta（AMD Helios）、微軟等大型CSP，因應自建資料中心需要客製化、高效率的AI伺服器解決方案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賺錢方式與成本結構？— ODM代工模式，部分專案採購買-賣（buy-sell）模式（材料成本計入營收，稀釋毛利率比率但提升絕對金額），部分轉為委託代工（consignment）模式以改善利潤率結構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ODM代工模式定義清楚，客戶與商業邏輯都容易理解，公司法說會也清楚說明買賣模式與委託代工模式的差異與轉換進度。</w:t>
      </w:r>
    </w:p>
    <w:p>
      <w:pPr>
        <w:pStyle w:val="Heading1"/>
      </w:pPr>
      <w:r>
        <w:t xml:space="preserve">★2　財務健康度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指標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數據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股價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約4,150-4,545元（2026年6月區間）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約12-17.43倍（同業平均約13-20倍）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2025全年營收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9,506.63億元，年增163.7%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2025全年稅後淨利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511.18億元，年增124.4%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2025全年EPS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275.06元，年增117.3%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2026年法人預估EPS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326-330元（市場共識中位數）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AI產品營收占比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約50%以上，2026年略超過50%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2026年股利政策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現金股利每股144.391元、股票股利20元</w:t>
            </w:r>
          </w:p>
        </w:tc>
      </w:tr>
    </w:tbl>
    <w:p>
      <w:pPr>
        <w:pStyle w:val="Heading3"/>
      </w:pPr>
      <w:r>
        <w:t xml:space="preserve">解讀重點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2025年營收、獲利、EPS三項同步年增超過100%，且2026年法人預估EPS仍持續成長（326-330元），顯示成長動能具有延續性，並非單年度的脈衝表現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管理層在法說會中坦言「營利率比率在數學上自然會被稀釋」，因為GPU等高價零組件拉高整體材料成本——這是誠實揭露毛利率結構性下滑的原因，公司策略改為聚焦EPS與絕對利潤金額成長，而非營利率比率本身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跟其他案例不同，緯穎的管理層主動解釋了「為什麼營利率會下滑但仍值得關注」，這種透明溝通有助於投資人判斷成長品質，而非單純看比率數字下滑就誤判為衰退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營收獲利EPS三項同步大幅成長且具延續性，管理層對毛利率結構性變化有清楚透明的說明，成長品質可驗證，非單純基期效應或數字操作。</w:t>
      </w:r>
    </w:p>
    <w:p>
      <w:pPr>
        <w:pStyle w:val="Heading1"/>
      </w:pPr>
      <w:r>
        <w:t xml:space="preserve">★3　產業競爭位置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緯穎是伺服器代工廠中AI營收占比最高的企業（超過50%），客戶集中在亞馬遜、Meta、微軟等大型CSP，訂單能見度已看向2027年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液冷散熱技術布局早於同業，預期2026年AI伺服器功耗提升後，液冷將從「選配」轉為「標配」，這將推升其毛利率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亞馬遜ASIC出貨量預估從2025年的150萬台增至2026年的200萬至250萬台，且公司取得美系客戶甲骨文（Oracle）轉單的消息也帶動法人上修目標價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同業比較：奇鋐近1年漲幅502.46%遠高於緯穎的167.80%，顯示同期市場資金更偏好散熱供應鏈而非伺服器代工本身，但緯穎本益比（12-17倍）遠低於奇鋐（36-38倍），呈現「漲幅落後但估值更低」的型態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緯穎的護城河跟台積電「市占率近九成」的確定性不同——伺服器代工產業本身競爭者眾多（廣達、技嘉、緯創等），緯穎的優勢在於AI營收占比最高、與CSP客戶關係深，且ASIC伺服器佔比最高最具技術門檻。但客戶集中度也是雙面刃：管理層在法說會中提及，若亞馬遜或微軟調降資本支出預算，需立即下修目標價，顯示護城河的穩固程度高度依賴少數大客戶的資本支出決策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評分：0.5分 — </w:t>
      </w:r>
      <w:r>
        <w:t xml:space="preserve">AI營收占比最高、液冷技術布局領先具備一定優勢，但客戶高度集中於少數CSP，護城河的穩固程度繫於客戶資本支出決策，而非緯穎自身不可取代的技術壟斷。</w:t>
      </w:r>
    </w:p>
    <w:p>
      <w:pPr>
        <w:pStyle w:val="Heading1"/>
      </w:pPr>
      <w:r>
        <w:t xml:space="preserve">★4　估值與買進時機</w:t>
      </w:r>
    </w:p>
    <w:p>
      <w:pPr>
        <w:spacing w:after="160"/>
      </w:pPr>
      <w:r>
        <w:t xml:space="preserve">評分前查核以下四項，並具體寫出查到的結果：</w:t>
      </w:r>
    </w:p>
    <w:p>
      <w:pPr>
        <w:pStyle w:val="Heading3"/>
      </w:pPr>
      <w:r>
        <w:t xml:space="preserve">4-1　本益比河流圖定位</w:t>
      </w:r>
    </w:p>
    <w:p>
      <w:pPr>
        <w:spacing w:after="160"/>
      </w:pPr>
      <w:r>
        <w:t xml:space="preserve">winvest資料顯示緯穎最新本益比17.43倍，比61.3%同業低；另一篇分析指出股價約4,150元時對應2026年預估獲利的本益比約12.7倍。河流圖顯示「現在股價位於藍色區間，代表現在股價來到偏低位階，可能被低估」。資料來源：財報狗、winvest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跟志聖、國巨「本益比逼近或超過歷史高值」的型態完全相反，緯穎的本益比相對自身歷史與同業（台股AI伺服器同業平均13-18倍）都處於相對低位，本益比驗證程序未發現過熱訊號，反而顯示相對偏低的估值水準。</w:t>
      </w:r>
    </w:p>
    <w:p>
      <w:pPr>
        <w:pStyle w:val="Heading3"/>
      </w:pPr>
      <w:r>
        <w:t xml:space="preserve">4-2　三大法人籌碼疊圖</w:t>
      </w:r>
    </w:p>
    <w:p>
      <w:pPr>
        <w:spacing w:after="160"/>
      </w:pPr>
      <w:r>
        <w:t xml:space="preserve">查得2026年初以來，三大法人對緯穎呈現「淨賣超」態勢，外資雖仍是最大股東（持股約32.7%），但籌碼顯示短線資金在股價高檔處相對謹慎。另查得緯穎股價在2025年12月創下4,765元歷史高點後，2026年1月經歷回檔修正，最低觸及3,575元，目前回升至4,150-4,545元附近。</w:t>
      </w:r>
    </w:p>
    <w:p>
      <w:pPr>
        <w:spacing w:after="160"/>
      </w:pPr>
      <w:r>
        <w:rPr>
          <w:b/>
          <w:bCs/>
        </w:rPr>
        <w:t xml:space="preserve">關鍵發現：</w:t>
      </w:r>
      <w:r>
        <w:t xml:space="preserve">法人籌碼呈現「淨賣超但本益比仍偏低」的組合，這跟奇鋐「目標價上修、股價籌碼卻同步走弱」的背離型態類似，但解讀方向不同——緯穎的本益比基期本來就低，籌碼謹慎更可能反映短期對亞馬遜晶片轉換過渡期（Trainium 2轉Trainium 3）的觀望，而非對長期基本面的疑慮。</w:t>
      </w:r>
    </w:p>
    <w:p>
      <w:pPr>
        <w:pStyle w:val="Heading3"/>
      </w:pPr>
      <w:r>
        <w:t xml:space="preserve">4-3　目標價時間序列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機構/備註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2025年10月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4,000元→5,120元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日系外資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2025年10月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5,400元→6,000元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高盛（一週內兩度調升）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近期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4,890元（基本情境）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本土法人PE區間法估算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近期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7,575-8,000元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本土法人樂觀情境／甲骨文轉單消息</w:t>
            </w:r>
          </w:p>
        </w:tc>
      </w:tr>
    </w:tbl>
    <w:p>
      <w:pPr>
        <w:spacing w:after="160"/>
      </w:pPr>
      <w:r>
        <w:rPr>
          <w:b/>
          <w:bCs/>
        </w:rPr>
        <w:t xml:space="preserve">關鍵發現：</w:t>
      </w:r>
      <w:r>
        <w:t xml:space="preserve">各家機構目標價區間從4,890元到8,000元，離散度極大（最高與最低相差超過60%），且高盛在「近一周內兩度調升」目標價，調整頻率很高。這種高度分歧的目標價區間，代表法人對緯穎未來成長假設（尤其是ASIC平台轉換成功率、客戶資本支出延續性）本身存在重大分歧，而非一致看法。</w:t>
      </w:r>
    </w:p>
    <w:p>
      <w:pPr>
        <w:pStyle w:val="Heading3"/>
      </w:pPr>
      <w:r>
        <w:t xml:space="preserve">4-4　同業比較</w:t>
      </w:r>
    </w:p>
    <w:p>
      <w:pPr>
        <w:spacing w:after="160"/>
      </w:pPr>
      <w:r>
        <w:t xml:space="preserve">台股AI伺服器代工同業平均本益比約13-18倍，其中具強烈成長預期的廣達、技嘉甚至可給到20倍以上評價，緯穎目前12-17倍的本益比落在同業區間下緣，相對保守。</w:t>
      </w:r>
    </w:p>
    <w:p>
      <w:pPr>
        <w:spacing w:after="160"/>
      </w:pPr>
      <w:r>
        <w:t xml:space="preserve">跟奇鋐相比，奇鋐近1年漲幅502.46%遠高於緯穎的167.80%，但奇鋐本益比（36-38倍）也遠高於緯穎，顯示市場目前給予液冷散熱供應鏈更高的成長溢價，而伺服器代工本身（包括緯穎）相對保守，這可能代表緯穎被低估，也可能代表市場對ASIC伺服器代工模式的長期利潤率成長性持保留態度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本益比相對自身歷史與同業都處於低位，河流圖明確顯示「可能被低估」，雖然籌碼面短線謹慎且目標價分歧度高，但估值本身具備相對安全邊際，給予滿分但提示警覺。</w:t>
      </w:r>
    </w:p>
    <w:p>
      <w:pPr>
        <w:pStyle w:val="Heading1"/>
      </w:pPr>
      <w:r>
        <w:t xml:space="preserve">★5　資本投入策略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2026年資本支出金額將顯著高於2025年的約130億元，因應客戶長期資料中心建置計畫，未來幾年資本支出預期持續上升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德州El Paso廠已開始放量生產，未來不排除擴增至5座廠區，並與墨西哥3座廠形成雙基地布局，提前布局2028年電力需求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液冷散熱技術布局早於同業，2027年水冷板、分歧管產能持續擴大，與AI伺服器功耗提升的產業趨勢同步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為因應營運資金需求，董事會通過不超過1,800萬股額度內辦理籌資，雖然可能帶來約9%股權稀釋疑慮，但賦予經營團隊更大資金籌措彈性</w:t>
      </w:r>
    </w:p>
    <w:p>
      <w:pPr>
        <w:pStyle w:val="Heading3"/>
      </w:pPr>
      <w:r>
        <w:t xml:space="preserve">關鍵發現</w:t>
      </w:r>
    </w:p>
    <w:p>
      <w:pPr>
        <w:spacing w:after="160"/>
      </w:pPr>
      <w:r>
        <w:t xml:space="preserve">緯穎的資本投入策略跟台積電「主動超前部署」的型態相似度較高——明確規劃北美雙基地布局至2028年電力需求，資本支出金額顯著成長且有具體時程（El Paso廠已放量、墨西哥廠陸續到位）。比起國巨、奇鋐缺乏具體金額揭露的情況，緯穎的資本支出規劃透明度更高，但ECB（可轉換公司債）帶來的股權稀釋疑慮，是投資人需要納入考量的潛在稀釋因子。</w:t>
      </w:r>
    </w:p>
    <w:p>
      <w:pPr>
        <w:pBdr>
          <w:top w:val="single" w:color="999999" w:sz="4" w:space="4"/>
        </w:pBdr>
        <w:spacing w:after="240" w:before="120"/>
      </w:pPr>
      <w:r>
        <w:rPr>
          <w:b/>
          <w:bCs/>
        </w:rPr>
        <w:t xml:space="preserve">評分：1分 — </w:t>
      </w:r>
      <w:r>
        <w:t xml:space="preserve">資本支出金額顯著成長且有明確地理布局與時程（北美雙基地至2028年），資本投入策略具體可驗證，雖有股權稀釋疑慮但整體規劃透明度高，給予滿分。</w:t>
      </w:r>
    </w:p>
    <w:p>
      <w:pPr>
        <w:pStyle w:val="Heading1"/>
      </w:pPr>
      <w:r>
        <w:t xml:space="preserve">總評分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星級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關鍵理由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★1 商業模式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ODM代工模式清晰，管理層對毛利率結構說明透明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★2 財務健康度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營收獲利EPS同步大幅成長，管理層誠實揭露成長品質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★3 產業競爭位置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AI營收占比最高，但客戶集中度高、護城河繫於客戶決策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★4 估值買進時機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本益比相對歷史與同業均偏低，河流圖顯示可能被低估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★5 資本投入策略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1分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北美雙基地布局至2028年具體明確，資本支出規劃透明度高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總分：★★★★☆（4.5顆星）</w:t>
      </w:r>
    </w:p>
    <w:p>
      <w:pPr>
        <w:pStyle w:val="Heading1"/>
      </w:pPr>
      <w:r>
        <w:t xml:space="preserve">重要提醒：高分≠無腦樂觀，目標價分歧度本身就是警訊</w:t>
      </w:r>
    </w:p>
    <w:p>
      <w:pPr>
        <w:spacing w:after="160"/>
      </w:pPr>
      <w:r>
        <w:t xml:space="preserve">緯穎是本系列分析中評分最高的新案例（4.5顆星），但根據專案寫作原則「滿分或接近滿分時，要主動提出警覺」，這裡有兩個必須正視的風險：第一，各家機構目標價區間從4,890元到8,000元，離散度超過60%，這代表法人對緯穎未來成長路徑的假設本身存在重大分歧，不是「大家都看好、只是看好程度不同」的單純樂觀，而是「對關鍵變數的判斷方向都不一樣」；第二，客戶高度集中於亞馬遜、Meta、微軟，管理層自己承認若這些客戶調降資本支出，需立即下修目標價——這種「依賴少數巨頭决策」的風險結構，跟台積電「客戶集中度風險：Apple、Nvidia等少數大客戶占營收比重高」的提醒邏輯完全一致。</w:t>
      </w:r>
    </w:p>
    <w:p>
      <w:pPr>
        <w:spacing w:after="160"/>
      </w:pPr>
      <w:r>
        <w:t xml:space="preserve">跟同樣身處AI伺服器供應鏈的奇鋐相比，緯穎的本益比明顯更低、資本支出規劃更透明，但奇鋐近1年漲幅遠高於緯穎，顯示市場資金目前更偏好散熱這個次產業而非伺服器代工本身——這種產業內部的資金偏好差異，本身就是值得持續觀察的訊號，而非緯穎基本面有問題。</w:t>
      </w:r>
    </w:p>
    <w:p>
      <w:pPr>
        <w:pStyle w:val="Heading3"/>
      </w:pPr>
      <w:r>
        <w:t xml:space="preserve">五星框架未涵蓋的風險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客戶資本支出風險：若亞馬遜或微軟在2026/2027年調降資料中心預算，緯穎獲利將直接受到衝擊，這是管理層自己承認的最大不確定因素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ASIC平台轉換過渡期風險：亞馬遜從Trainium 2轉Trainium 3的生產轉換期間，營收可能短暫放緩，2026年上半年股價震盪部分原因正來自這個轉換期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股權稀釋風險：ECB可轉換公司債發行可能帶來約9%股權稀釋，雖然增加資金彈性，但稀釋既有股東權益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目標價分歧本身的不確定性：機構目標價區間達60%以上的落差，意味著「合理價格」本身在專業機構之間都沒有共識，投資人應理解這代表預測的不確定性較高，而非單純「上看8,000元」的樂觀解讀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匯率風險：營收多為美金計價，台幣匯率波動會直接影響毛利率與獲利的台幣計價表現</w:t>
      </w:r>
    </w:p>
    <w:p>
      <w:pPr>
        <w:spacing w:after="160"/>
      </w:pPr>
      <w:r>
        <w:rPr>
          <w:i/>
          <w:iCs/>
        </w:rPr>
        <w:t xml:space="preserve">本報告僅供選股練習與資訊整理之用，非投資建議，盈虧請自行評估與負責。製作日期：2026年6月25日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2026-06-26T01:40:11.309Z</dcterms:created>
  <dcterms:modified xsi:type="dcterms:W3CDTF">2026-06-26T01:40:11.309Z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