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29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39.png" ContentType="image/png"/>
  <Override PartName="/word/media/rId41.png" ContentType="image/png"/>
  <Override PartName="/word/media/rId43.png" ContentType="image/png"/>
  <Override PartName="/word/media/rId46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问题三实测脑电提示方向解码的模型验证报告（52.06%结果版）</w:t>
      </w:r>
    </w:p>
    <w:p>
      <w:pPr>
        <w:pStyle w:val="Date"/>
      </w:pPr>
      <w:r>
        <w:t xml:space="preserve">2026年9月25日</w:t>
      </w:r>
    </w:p>
    <w:p>
      <w:pPr>
        <w:pStyle w:val="BlockText"/>
      </w:pPr>
      <w:r>
        <w:rPr>
          <w:bCs/>
          <w:b/>
        </w:rPr>
        <w:t xml:space="preserve">使用边界。</w:t>
      </w:r>
      <w:r>
        <w:t xml:space="preserve"> </w:t>
      </w:r>
      <w:r>
        <w:t xml:space="preserve">本报告复述当前代码中得到 52.06% balanced accuracy 的一条 EEG 验证分支。它预测的是 cue 阶段的 VisCue 左/右提示标签，使用提示后 0–500 ms 的 EEG 特征。它不是诊断准确率、应答正确率，也不是《第三.pdf》中完整的视觉—海马—前额叶潜在状态模型与 DDM 的总成绩。正式论文宜将其放在</w:t>
      </w:r>
      <w:r>
        <w:t xml:space="preserve">“</w:t>
      </w:r>
      <w:r>
        <w:t xml:space="preserve">实测 EEG 提示方向解码/补充验证</w:t>
      </w:r>
      <w:r>
        <w:t xml:space="preserve">”</w:t>
      </w:r>
      <w:r>
        <w:t xml:space="preserve">小节，并与 V/H/P 状态建模、应答前 100 ms 分析、行为模型结果分别报告。</w:t>
      </w:r>
    </w:p>
    <w:bookmarkStart w:id="20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t xml:space="preserve">针对第三问中</w:t>
      </w:r>
      <w:r>
        <w:t xml:space="preserve">“</w:t>
      </w:r>
      <w:r>
        <w:t xml:space="preserve">利用实测脑电验证视觉认知模型</w:t>
      </w:r>
      <w:r>
        <w:t xml:space="preserve">”</w:t>
      </w:r>
      <w:r>
        <w:t xml:space="preserve">的要求，本文整理一项可复现的提示方向解码实验。研究以四份连续记录中的 F3、Fz、F4 原始 EEG 为输入，按 VisCue 事件对齐；经零相位滤波与试次级质量控制后，cue 锁定阶段保留 387 个试次。每个试次构造 13 维特征，包括 250–500 ms 的基线校正 ERP 均值、θ/α/β 三频带在三通道上的对数功率，以及 F4−F3 α 功率对比。为了检验有限记录下的模型配置选择，设置 49 个预先限定的 Logistic、收缩 LDA、线性 SVM 与 RBF SVM 候选，并采用嵌套留一记录交叉验证；标准化参数只由相应训练折估计。</w:t>
      </w:r>
    </w:p>
    <w:p>
      <w:pPr>
        <w:pStyle w:val="BodyText"/>
      </w:pPr>
      <w:r>
        <w:t xml:space="preserve">以固定的 13 维 Logistic 回归（L2 系数 1）为基线，raw-QC cue 任务的四个外层记录 balanced accuracy 等权平均由 46.01% 提高至 52.06%，变化为 +6.05 个百分点，四个外层记录的变化均为正。该结果仍接近二分类机会水平，且 49 个候选在不同外层折中选出不同模型。对 Q1 质量匹配子集重新训练后，cue 提升消失（−0.02 个百分点）；target 锁定分析也未显示提升。因此，52.06% 应视为开发阶段、对样本口径敏感的探索性结果，不支持稳定泛化或临床诊断结论。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实测 EEG；视觉提示方向；balanced accuracy；嵌套交叉验证；模型选择；质量敏感性</w:t>
      </w:r>
    </w:p>
    <w:bookmarkEnd w:id="20"/>
    <w:bookmarkStart w:id="22" w:name="研究范围与第三问的衔接"/>
    <w:p>
      <w:pPr>
        <w:pStyle w:val="Heading1"/>
      </w:pPr>
      <w:r>
        <w:t xml:space="preserve">1 研究范围与第三问的衔接</w:t>
      </w:r>
    </w:p>
    <w:p>
      <w:pPr>
        <w:pStyle w:val="FirstParagraph"/>
      </w:pPr>
      <w:r>
        <w:t xml:space="preserve">《第三.pdf》提出的主体路线是：从实测 EEG 提取认知特征，建立视觉前馈状态 (V_i)、海马样记忆匹配状态 (H_i) 与前额叶样控制状态 (P_i)，并在数据允许时以试次级漂移扩散模型验证行为差异；认知信号终点约为应答前 100 ms。52.06% 的结果来自另一项已完成的分类实验：它以提示方向 (y_i</w:t>
      </w:r>
      <w:r>
        <w:t xml:space="preserve">{-1,+1}) 为标签，使用提示出现后的 cue 锁定 EEG 特征预测左/右提示。</w:t>
      </w:r>
    </w:p>
    <w:p>
      <w:pPr>
        <w:pStyle w:val="BodyText"/>
      </w:pPr>
      <w:r>
        <w:t xml:space="preserve">因此，本报告可以为完整模型提供一项</w:t>
      </w:r>
      <w:r>
        <w:rPr>
          <w:bCs/>
          <w:b/>
        </w:rPr>
        <w:t xml:space="preserve">观测特征层面的解码证据</w:t>
      </w:r>
      <w:r>
        <w:t xml:space="preserve">，用以回答</w:t>
      </w:r>
      <w:r>
        <w:t xml:space="preserve">“</w:t>
      </w:r>
      <w:r>
        <w:t xml:space="preserve">这组三通道 EEG 特征是否包含可泛化到未见记录的提示方向信息</w:t>
      </w:r>
      <w:r>
        <w:t xml:space="preserve">”</w:t>
      </w:r>
      <w:r>
        <w:t xml:space="preserve">。它不直接估计 (V_i,H_i,P_i)，不拟合观测矩阵 (C)，也不拟合 DDM 漂移率或反应时。它的时间窗也不是应答标记前 100 ms 的可变窗口。论文应分别报告两种时间窗与两个目标，不能把本报告的 52.06% 称为完整第三问模型的准确率。</w:t>
      </w:r>
    </w:p>
    <w:p>
      <w:pPr>
        <w:pStyle w:val="BodyText"/>
      </w:pPr>
      <w:r>
        <w:drawing>
          <wp:inline>
            <wp:extent cx="5334000" cy="1873373"/>
            <wp:effectExtent b="0" l="0" r="0" t="0"/>
            <wp:docPr descr="图1 分析流程与结果边界" title="" id="1" name="Picture"/>
            <a:graphic>
              <a:graphicData uri="http://schemas.openxmlformats.org/drawingml/2006/picture">
                <pic:pic>
                  <pic:nvPicPr>
                    <pic:cNvPr descr="figures/F01_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图1　当前 52.06% 结果的处理链与解释边界。问题二的 EEG 形成机制可作为生理解释背景，但本分类代码使用实测 EEG，不调用问题二的仿真输出。</w:t>
      </w:r>
    </w:p>
    <w:bookmarkEnd w:id="22"/>
    <w:bookmarkStart w:id="26" w:name="数据事件与试次筛选"/>
    <w:p>
      <w:pPr>
        <w:pStyle w:val="Heading1"/>
      </w:pPr>
      <w:r>
        <w:t xml:space="preserve">2 数据、事件与试次筛选</w:t>
      </w:r>
    </w:p>
    <w:bookmarkStart w:id="23" w:name="数据单元与标签"/>
    <w:p>
      <w:pPr>
        <w:pStyle w:val="Heading2"/>
      </w:pPr>
      <w:r>
        <w:t xml:space="preserve">2.1 数据单元与标签</w:t>
      </w:r>
    </w:p>
    <w:p>
      <w:pPr>
        <w:pStyle w:val="FirstParagraph"/>
      </w:pPr>
      <w:r>
        <w:t xml:space="preserve">分析对象为四份记录：VisualCogA_Task-1、VisualCogA_Task-2、VisualCogB_Task-1、VisualCogB_Task-2。源信号以 256 Hz 采样，分类只取 F3、Fz、F4 三个脑电通道。VisCue 事件提供提示发生时间和左右提示标签；时间戳用于将事件映射到 EEG 采样点。行为/应答通道仅作为 trial 元数据供其他分析使用，本分类的标签是 VisCue 提示侧，而不是第9通道选择侧、正确/错误或漏答标签。</w:t>
      </w:r>
    </w:p>
    <w:p>
      <w:pPr>
        <w:pStyle w:val="BodyText"/>
      </w:pPr>
      <w:r>
        <w:t xml:space="preserve">总共有 400 个候选 cue 试次。raw-QC cue 分析保留 387 个；其中左提示 200 个、右提示 187 个。为检查前序 Q1 清理口径对结论的影响，另按 Q1 试次映射保留 297 个质量匹配 cue 试次。target 锁定分析因窗口边缘与数据有效性不同而保留 396 个 raw-QC 试次；Q1 target 子集同为 297 个。Q1 的 EEG 波形不进入第三问特征计算，它只提供时间映射和质量标签。</w:t>
      </w:r>
    </w:p>
    <w:bookmarkEnd w:id="23"/>
    <w:bookmarkStart w:id="25" w:name="质量控制"/>
    <w:p>
      <w:pPr>
        <w:pStyle w:val="Heading2"/>
      </w:pPr>
      <w:r>
        <w:t xml:space="preserve">2.2 质量控制</w:t>
      </w:r>
    </w:p>
    <w:p>
      <w:pPr>
        <w:pStyle w:val="FirstParagraph"/>
      </w:pPr>
      <w:r>
        <w:t xml:space="preserve">事件窗口采用 raw 连续 EEG。ERP 分支与功率分支在连续信号上分别滤波后再切 epoch，以减少逐 trial 滤波带来的边缘效应。在滤波后的试次 epoch 中，任何通道出现非有限样本、绝对值达到 999.5，或通道峰峰值不超过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的 flatline，都会使对应特征分支的该 trial 判为无效。质量检查标记异常，不对样本插值或改写。由于只使用三路前额 EEG 且没有独立眼电参考，本流程不报告 ICA 去伪迹；仍可能有肌电、眼动与残余运动伪迹。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样本口径</w:t>
            </w:r>
          </w:p>
        </w:tc>
        <w:tc>
          <w:p>
            <w:pPr>
              <w:pStyle w:val="Compact"/>
              <w:jc w:val="right"/>
            </w:pPr>
            <w:r>
              <w:t xml:space="preserve">Cue 锁定</w:t>
            </w:r>
          </w:p>
        </w:tc>
        <w:tc>
          <w:p>
            <w:pPr>
              <w:pStyle w:val="Compact"/>
              <w:jc w:val="right"/>
            </w:pPr>
            <w:r>
              <w:t xml:space="preserve">Target 锁定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raw-QC</w:t>
            </w:r>
          </w:p>
        </w:tc>
        <w:tc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p>
            <w:pPr>
              <w:pStyle w:val="Compact"/>
              <w:jc w:val="right"/>
            </w:pPr>
            <w:r>
              <w:t xml:space="preserve">396</w:t>
            </w:r>
          </w:p>
        </w:tc>
        <w:tc>
          <w:p>
            <w:pPr>
              <w:pStyle w:val="Compact"/>
              <w:jc w:val="left"/>
            </w:pPr>
            <w:r>
              <w:t xml:space="preserve">主分类比较与事件阶段敏感性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质量匹配</w:t>
            </w:r>
          </w:p>
        </w:tc>
        <w:tc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p>
            <w:pPr>
              <w:pStyle w:val="Compact"/>
              <w:jc w:val="left"/>
            </w:pPr>
            <w:r>
              <w:t xml:space="preserve">样本口径敏感性分析</w:t>
            </w:r>
          </w:p>
        </w:tc>
      </w:tr>
    </w:tbl>
    <w:p>
      <w:pPr>
        <w:pStyle w:val="BodyText"/>
      </w:pPr>
      <w:r>
        <w:drawing>
          <wp:inline>
            <wp:extent cx="5334000" cy="2835288"/>
            <wp:effectExtent b="0" l="0" r="0" t="0"/>
            <wp:docPr descr="图2 trial 数量与筛选口径" title="" id="1" name="Picture"/>
            <a:graphic>
              <a:graphicData uri="http://schemas.openxmlformats.org/drawingml/2006/picture">
                <pic:pic>
                  <pic:nvPicPr>
                    <pic:cNvPr descr="figures/F02_trial_coun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图2　四份记录在 cue/target 阶段的有效 trial 数。target 事件时刻按 cue+2.2 s 的任务排程假设对齐，不能视为独立检测到的真实目标 marker。</w:t>
      </w:r>
    </w:p>
    <w:bookmarkEnd w:id="25"/>
    <w:bookmarkEnd w:id="26"/>
    <w:bookmarkStart w:id="28" w:name="信号预处理与事件窗"/>
    <w:p>
      <w:pPr>
        <w:pStyle w:val="Heading1"/>
      </w:pPr>
      <w:r>
        <w:t xml:space="preserve">3 信号预处理与事件窗</w:t>
      </w:r>
    </w:p>
    <w:p>
      <w:pPr>
        <w:pStyle w:val="FirstParagraph"/>
      </w:pPr>
      <w:r>
        <w:t xml:space="preserve">原始连续 EEG 以 256 Hz 读取，信号沿通道维组织为 ([F3,Fz,F4]^T)。ERP 分支经四阶 Butterworth 0.5–30 Hz 带通，功率分支经四阶 Butterworth 1–80 Hz 带通；均以 SOS 形式作前向—反向滤波，得到零相位结果。cue 锁定 epoch 为 ([-0.10,0.50]) s，基线为 ([-0.10,0)) s；ERP 候选均值取 ([0.25,0.50)) s。频带功率仅从事件后部分计算，即 cue 的 ([0,0.50)) s。target 锁定窗口为 ([-0.10,0.80]) s，时间锚点暂取 cue+2.2 s，仅用于次要敏感性分析。</w:t>
      </w:r>
    </w:p>
    <w:p>
      <w:pPr>
        <w:pStyle w:val="BodyText"/>
      </w:pPr>
      <w:r>
        <w:t xml:space="preserve">任务稿中的</w:t>
      </w:r>
      <w:r>
        <w:t xml:space="preserve">“</w:t>
      </w:r>
      <w:r>
        <w:t xml:space="preserve">应答前约 100 ms</w:t>
      </w:r>
      <w:r>
        <w:t xml:space="preserve">”</w:t>
      </w:r>
      <w:r>
        <w:t xml:space="preserve">信号另以应答标记时间 (t_{act}) 为锚，截取从 cue 到 (t_{act}-0.10) s 的可变长度片段；但这条可变长度分支没有进入 52.06% 模型。对于无应答 marker 的试次，也不能仅靠 marker 缺失断定行为漏答，除非实验时限和事件语义已验证。</w:t>
      </w:r>
    </w:p>
    <w:p>
      <w:pPr>
        <w:pStyle w:val="BodyText"/>
      </w:pPr>
      <w:r>
        <w:drawing>
          <wp:inline>
            <wp:extent cx="5334000" cy="3006232"/>
            <wp:effectExtent b="0" l="0" r="0" t="0"/>
            <wp:docPr descr="图3 事件窗口与信号分支" title="" id="1" name="Picture"/>
            <a:graphic>
              <a:graphicData uri="http://schemas.openxmlformats.org/drawingml/2006/picture">
                <pic:pic>
                  <pic:nvPicPr>
                    <pic:cNvPr descr="figures/F03_windows_filt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图3　cue 分类使用的 cue 锁定窗口、ERP 与功率频段；应答终点窗口用于第三问其他分支，不是 52.06% 分类器的输入。</w:t>
      </w:r>
    </w:p>
    <w:bookmarkEnd w:id="28"/>
    <w:bookmarkStart w:id="32" w:name="特征构造"/>
    <w:p>
      <w:pPr>
        <w:pStyle w:val="Heading1"/>
      </w:pPr>
      <w:r>
        <w:t xml:space="preserve">4 特征构造</w:t>
      </w:r>
    </w:p>
    <w:bookmarkStart w:id="31" w:name="维主特征"/>
    <w:p>
      <w:pPr>
        <w:pStyle w:val="Heading2"/>
      </w:pPr>
      <w:r>
        <w:t xml:space="preserve">4.1 13 维主特征</w:t>
      </w:r>
    </w:p>
    <w:p>
      <w:pPr>
        <w:pStyle w:val="FirstParagraph"/>
      </w:pPr>
      <w:r>
        <w:t xml:space="preserve">对 trial (i)，基线校正后的通道 ERP 均值定义为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  <m:sup>
              <m:r>
                <m:t>E</m:t>
              </m:r>
              <m:r>
                <m:t>R</m:t>
              </m:r>
              <m:r>
                <m:t>P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  <m:sup>
              <m:r>
                <m:t>E</m:t>
              </m:r>
              <m:r>
                <m:t>R</m:t>
              </m:r>
              <m:r>
                <m:t>P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 (c</w:t>
      </w:r>
      <w:r>
        <w:t xml:space="preserve">{F3,Fz,F4})，(W_B=[-0.10,0)) s 为基线窗，(W_E=[0.25,0.50)) s 为事件后均值窗，共 3 个 ERP 均值特征。本文将其称为</w:t>
      </w:r>
      <w:r>
        <w:rPr>
          <w:bCs/>
          <w:b/>
        </w:rPr>
        <w:t xml:space="preserve">额区 ERP 均值候选特征</w:t>
      </w:r>
      <w:r>
        <w:t xml:space="preserve">，不把它单独等同于典型顶区 P300：目前只有三个额区电极，缺少完整头皮拓扑证据。</w:t>
      </w:r>
    </w:p>
    <w:p>
      <w:pPr>
        <w:pStyle w:val="BodyText"/>
      </w:pPr>
      <w:r>
        <w:t xml:space="preserve">对功率分支，每个 trial 的事件后片段先减去片段均值，再用 Welch 方法估计功率谱密度。实现设置</w:t>
      </w:r>
      <w:r>
        <w:t xml:space="preserve"> </w:t>
      </w:r>
      <w:r>
        <w:rPr>
          <w:rStyle w:val="VerbatimChar"/>
        </w:rPr>
        <w:t xml:space="preserve">nperseg=片段长度</w:t>
      </w:r>
      <w:r>
        <w:t xml:space="preserve">、</w:t>
      </w:r>
      <w:r>
        <w:rPr>
          <w:rStyle w:val="VerbatimChar"/>
        </w:rPr>
        <w:t xml:space="preserve">noverlap=0</w:t>
      </w:r>
      <w:r>
        <w:t xml:space="preserve">、constant detrend 与 density scaling，并沿用默认 Hann 窗；在频带内对谱密度作梯形积分，最终取自然对数：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log</m:t>
          </m:r>
          <m:d>
            <m:dPr>
              <m:begChr m:val="("/>
              <m:endChr m:val=")"/>
              <m:grow/>
            </m:dPr>
            <m:e>
              <m:nary>
                <m:naryPr>
                  <m:chr m:val="∫"/>
                  <m:limLoc m:val="subSup"/>
                  <m:subHide m:val="0"/>
                  <m:supHide m:val="0"/>
                </m:naryPr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m</m:t>
                      </m:r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f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f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三个频带乘三个通道得到 9 个特征。由于 cue 功率窗长仅 0.5 s，离散频率间隔约为 2 Hz；θ频带的积分精度因此有限，不能过度解释窄频峰。</w:t>
      </w:r>
    </w:p>
    <w:p>
      <w:pPr>
        <w:pStyle w:val="BodyText"/>
      </w:pPr>
      <w:r>
        <w:t xml:space="preserve">最后增加一个前额 α 功率对比：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b>
            <m:e>
              <m:r>
                <m:t>I</m:t>
              </m:r>
            </m:e>
            <m:sub>
              <m:r>
                <m:t>α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α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α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三类特征合计 13 维。由于 (AI_</w:t>
      </w:r>
      <w:r>
        <w:t xml:space="preserve">) 是 F3/F4 α 对数功率的线性组合，候选空间同时包含删去该冗余项的 12 维版本。γ功率、ERP 峰值与潜伏期、ERP 不对称指数、试次级应答窗统计量未进入该次候选模型；通道9也未进入 EEG 特征矩阵。</w:t>
      </w:r>
    </w:p>
    <w:p>
      <w:pPr>
        <w:pStyle w:val="BodyText"/>
      </w:pPr>
      <w:r>
        <w:drawing>
          <wp:inline>
            <wp:extent cx="5334000" cy="2504199"/>
            <wp:effectExtent b="0" l="0" r="0" t="0"/>
            <wp:docPr descr="图4 13维 EEG 特征设计" title="" id="1" name="Picture"/>
            <a:graphic>
              <a:graphicData uri="http://schemas.openxmlformats.org/drawingml/2006/picture">
                <pic:pic>
                  <pic:nvPicPr>
                    <pic:cNvPr descr="figures/F04_feature_schem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图4　主特征的组成及 α 不对称项的冗余消融。</w:t>
      </w:r>
    </w:p>
    <w:p>
      <w:pPr>
        <w:pStyle w:val="BodyText"/>
      </w:pPr>
      <w:r>
        <w:drawing>
          <wp:inline>
            <wp:extent cx="5334000" cy="3418973"/>
            <wp:effectExtent b="0" l="0" r="0" t="0"/>
            <wp:docPr descr="图5 左右提示的描述性特征差异" title="" id="1" name="Picture"/>
            <a:graphic>
              <a:graphicData uri="http://schemas.openxmlformats.org/drawingml/2006/picture">
                <pic:pic>
                  <pic:nvPicPr>
                    <pic:cNvPr descr="figures/F05_feature_contra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8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图5　右提示与左提示的单变量标准化均值差。该图以最终 raw-QC cue 样本作事后描述，不用于筛选特征、拟合缩放参数或挑选模型。</w:t>
      </w:r>
    </w:p>
    <w:bookmarkEnd w:id="31"/>
    <w:bookmarkEnd w:id="32"/>
    <w:bookmarkStart w:id="36" w:name="分类器与参数设计"/>
    <w:p>
      <w:pPr>
        <w:pStyle w:val="Heading1"/>
      </w:pPr>
      <w:r>
        <w:t xml:space="preserve">5 分类器与参数设计</w:t>
      </w:r>
    </w:p>
    <w:bookmarkStart w:id="33" w:name="固定基线"/>
    <w:p>
      <w:pPr>
        <w:pStyle w:val="Heading2"/>
      </w:pPr>
      <w:r>
        <w:t xml:space="preserve">5.1 固定基线</w:t>
      </w:r>
    </w:p>
    <w:p>
      <w:pPr>
        <w:pStyle w:val="FirstParagraph"/>
      </w:pPr>
      <w:r>
        <w:t xml:space="preserve">比较基线为固定的 13 维 Logistic 回归，标准化后取 L2 惩罚系数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，概率阈值 0.5。实现优化的目标可写为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{</m:t>
              </m:r>
            </m:e>
          </m:nary>
          <m:r>
            <m:rPr>
              <m:nor/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sSub>
            <m:e>
              <m:r>
                <m:t>β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p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sSub>
            <m:e>
              <m:r>
                <m:t>β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p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截距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不受 L2 惩罚。该固定模型与被冻结的初始流程一致，因此可以做同折配对比较。</w:t>
      </w:r>
    </w:p>
    <w:bookmarkEnd w:id="33"/>
    <w:bookmarkStart w:id="35" w:name="个预设候选"/>
    <w:p>
      <w:pPr>
        <w:pStyle w:val="Heading2"/>
      </w:pPr>
      <w:r>
        <w:t xml:space="preserve">5.2 49 个预设候选</w:t>
      </w:r>
    </w:p>
    <w:p>
      <w:pPr>
        <w:pStyle w:val="FirstParagraph"/>
      </w:pPr>
      <w:r>
        <w:t xml:space="preserve">搜索空间包含 4 个特征集：完整 13 维、删除冗余 α 对比后的 12 维、3 维 ERP-only，以及 9 维 bandpower-only。分类器候选由标准 Logistic、收缩 LDA、robust-scaled Logistic、线性 SVM 与 RBF SVM 组成。全体候选在内层验证的平均 BA 上排序；不在外层测试记录上挑选配置。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候选族</w:t>
            </w:r>
          </w:p>
        </w:tc>
        <w:tc>
          <w:p>
            <w:pPr>
              <w:pStyle w:val="Compact"/>
              <w:jc w:val="left"/>
            </w:pPr>
            <w:r>
              <w:t xml:space="preserve">参数设置</w:t>
            </w:r>
          </w:p>
        </w:tc>
        <w:tc>
          <w:p>
            <w:pPr>
              <w:pStyle w:val="Compact"/>
              <w:jc w:val="left"/>
            </w:pPr>
            <w:r>
              <w:t xml:space="preserve">设计目的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标准 Logistic</w:t>
            </w:r>
          </w:p>
        </w:tc>
        <w:tc>
          <w:p>
            <w:pPr>
              <w:pStyle w:val="Compact"/>
              <w:jc w:val="left"/>
            </w:pPr>
            <m:oMath>
              <m:r>
                <m:t>λ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0.1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，另含固定基线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调整正则化强度，并比较四种特征集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收缩 LDA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solver=lsqr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shrinkage=auto</w:t>
            </w:r>
          </w:p>
        </w:tc>
        <w:tc>
          <w:p>
            <w:pPr>
              <w:pStyle w:val="Compact"/>
              <w:jc w:val="left"/>
            </w:pPr>
            <w:r>
              <w:t xml:space="preserve">小样本下进行协方差收缩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Robust Logistic</w:t>
            </w:r>
          </w:p>
        </w:tc>
        <w:tc>
          <w:p>
            <w:pPr>
              <w:pStyle w:val="Compact"/>
              <w:jc w:val="left"/>
            </w:pPr>
            <w:r>
              <w:t xml:space="preserve">robust scaler；</w:t>
            </w:r>
            <m:oMath>
              <m:r>
                <m:t>λ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0.1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</m:oMath>
            <w:r>
              <w:t xml:space="preserve">；完整或去冗余特征</w:t>
            </w:r>
          </w:p>
        </w:tc>
        <w:tc>
          <w:p>
            <w:pPr>
              <w:pStyle w:val="Compact"/>
              <w:jc w:val="left"/>
            </w:pPr>
            <w:r>
              <w:t xml:space="preserve">检查中位数/IQR 缩放对异常值敏感性的影响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线性 SVM</w:t>
            </w:r>
          </w:p>
        </w:tc>
        <w:tc>
          <w:p>
            <w:pPr>
              <w:pStyle w:val="Compact"/>
              <w:jc w:val="left"/>
            </w:pPr>
            <w:r>
              <w:t xml:space="preserve">标准 scaler；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0.01</m:t>
              </m:r>
              <m:r>
                <m:rPr>
                  <m:sty m:val="p"/>
                </m:rPr>
                <m:t>,</m:t>
              </m:r>
              <m:r>
                <m:t>0.1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</m:oMath>
            <w:r>
              <w:t xml:space="preserve">；完整或去冗余特征</w:t>
            </w:r>
          </w:p>
        </w:tc>
        <w:tc>
          <w:p>
            <w:pPr>
              <w:pStyle w:val="Compact"/>
              <w:jc w:val="left"/>
            </w:pPr>
            <w:r>
              <w:t xml:space="preserve">比较线性间隔与正则化强度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RBF SVM</w:t>
            </w:r>
          </w:p>
        </w:tc>
        <w:tc>
          <w:p>
            <w:pPr>
              <w:pStyle w:val="Compact"/>
              <w:jc w:val="left"/>
            </w:pPr>
            <w:r>
              <w:t xml:space="preserve">标准 scaler；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0.1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</m:oMath>
            <w:r>
              <w:t xml:space="preserve">，</w:t>
            </w:r>
            <m:oMath>
              <m:r>
                <m:t>γ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scale</m:t>
              </m:r>
              <m:r>
                <m:rPr>
                  <m:sty m:val="p"/>
                </m:rPr>
                <m:t>,</m:t>
              </m:r>
              <m:r>
                <m:t>0.03</m:t>
              </m:r>
              <m:r>
                <m:rPr>
                  <m:sty m:val="p"/>
                </m:rPr>
                <m:t>,</m:t>
              </m:r>
              <m:r>
                <m:t>0.1</m:t>
              </m:r>
              <m:r>
                <m:rPr>
                  <m:sty m:val="p"/>
                </m:rPr>
                <m:t>}</m:t>
              </m:r>
            </m:oMath>
            <w:r>
              <w:t xml:space="preserve">；完整或去冗余特征</w:t>
            </w:r>
          </w:p>
        </w:tc>
        <w:tc>
          <w:p>
            <w:pPr>
              <w:pStyle w:val="Compact"/>
              <w:jc w:val="left"/>
            </w:pPr>
            <w:r>
              <w:t xml:space="preserve">检查有限的非线性边界候选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standard</w:t>
      </w:r>
      <w:r>
        <w:t xml:space="preserve"> </w:t>
      </w:r>
      <w:r>
        <w:t xml:space="preserve">缩放使用训练折均值和标准差；</w:t>
      </w:r>
      <w:r>
        <w:rPr>
          <w:rStyle w:val="VerbatimChar"/>
        </w:rPr>
        <w:t xml:space="preserve">robust</w:t>
      </w:r>
      <w:r>
        <w:t xml:space="preserve"> </w:t>
      </w:r>
      <w:r>
        <w:t xml:space="preserve">缩放使用训练折中位数与四分位距。若训练折某列尺度非有限或近零，则将该列尺度设为 1。验证数据只使用训练折参数变换。概率型模型采用 0.5 阈值，SVM 决策函数采用 0 阈值；未调阈值。候选同分时按事先列出的候选顺序优先。</w:t>
      </w:r>
    </w:p>
    <w:p>
      <w:pPr>
        <w:pStyle w:val="BodyText"/>
      </w:pPr>
      <w:r>
        <w:drawing>
          <wp:inline>
            <wp:extent cx="5334000" cy="2588361"/>
            <wp:effectExtent b="0" l="0" r="0" t="0"/>
            <wp:docPr descr="图6 模型族与超参数网格" title="" id="1" name="Picture"/>
            <a:graphic>
              <a:graphicData uri="http://schemas.openxmlformats.org/drawingml/2006/picture">
                <pic:pic>
                  <pic:nvPicPr>
                    <pic:cNvPr descr="figures/F06_candidate_gri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8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图6　49 个候选配置的模型族数量和超参数取值。阈值、特征频段及搜索范围未通过外层测试得分反向调整。</w:t>
      </w:r>
    </w:p>
    <w:bookmarkEnd w:id="35"/>
    <w:bookmarkEnd w:id="36"/>
    <w:bookmarkStart w:id="38" w:name="嵌套留一记录验证"/>
    <w:p>
      <w:pPr>
        <w:pStyle w:val="Heading1"/>
      </w:pPr>
      <w:r>
        <w:t xml:space="preserve">6 嵌套留一记录验证</w:t>
      </w:r>
    </w:p>
    <w:p>
      <w:pPr>
        <w:pStyle w:val="FirstParagraph"/>
      </w:pPr>
      <w:r>
        <w:t xml:space="preserve">普通随机 trial 切分会使同一文件中的记录同时进入训练和测试，难以反映对新记录的迁移。这里将完整文件作为分组单位。外层依次留出四份记录之一，其余三份作为训练数据。对每个外层训练集合，内层再依次留出其中一份记录，对 49 个候选各自评估 3 个内层 BA，并取算术平均。平均内层 BA 最高的候选配置被选中；随后用三份外层训练记录重新估计缩放参数与模型，最后只在未见的外层记录上评分一次。</w:t>
      </w:r>
    </w:p>
    <w:p>
      <w:pPr>
        <w:pStyle w:val="BodyText"/>
      </w:pPr>
      <w:r>
        <w:t xml:space="preserve">主指标为记录级 balanced accuracy：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  <m:r>
                        <m:t>e</m:t>
                      </m:r>
                      <m:r>
                        <m:t>f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l</m:t>
                      </m:r>
                      <m:r>
                        <m:t>e</m:t>
                      </m:r>
                      <m:r>
                        <m:t>f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T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  <m:r>
                        <m:t>i</m:t>
                      </m:r>
                      <m:r>
                        <m:t>g</m:t>
                      </m:r>
                      <m:r>
                        <m:t>h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r</m:t>
                      </m:r>
                      <m:r>
                        <m:t>i</m:t>
                      </m:r>
                      <m:r>
                        <m:t>g</m:t>
                      </m:r>
                      <m:r>
                        <m:t>h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bar>
            <m:barPr>
              <m:pos m:val="top"/>
            </m:barPr>
            <m:e>
              <m:r>
                <m:t>B</m:t>
              </m:r>
              <m:r>
                <m:t>A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r>
                <m:t>B</m:t>
              </m:r>
            </m:e>
          </m:nary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即每个外层记录先对左右两类召回率取平均，再对四份记录等权平均。这是 52.06% 的计算口径；将 387 个外层预测直接汇总再计算 pooled BA 会得到另一个数值。BA 能降低每个记录内轻微类别数差异对评分的影响，但不能弥补只有四个记录组所带来的估计不确定性。</w:t>
      </w:r>
    </w:p>
    <w:p>
      <w:pPr>
        <w:pStyle w:val="BodyText"/>
      </w:pPr>
      <w:r>
        <w:drawing>
          <wp:inline>
            <wp:extent cx="5334000" cy="2407120"/>
            <wp:effectExtent b="0" l="0" r="0" t="0"/>
            <wp:docPr descr="图7 嵌套留一记录验证结构" title="" id="1" name="Picture"/>
            <a:graphic>
              <a:graphicData uri="http://schemas.openxmlformats.org/drawingml/2006/picture">
                <pic:pic>
                  <pic:nvPicPr>
                    <pic:cNvPr descr="figures/F07_nested_valid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图7　每份记录在外层只用于一次测试；超参数选择只查看剩余三份记录的内层验证结果。</w:t>
      </w:r>
    </w:p>
    <w:bookmarkEnd w:id="38"/>
    <w:bookmarkStart w:id="45" w:name="主结果与模型解释"/>
    <w:p>
      <w:pPr>
        <w:pStyle w:val="Heading1"/>
      </w:pPr>
      <w:r>
        <w:t xml:space="preserve">7 主结果与模型解释</w:t>
      </w:r>
    </w:p>
    <w:bookmarkStart w:id="40" w:name="的来源"/>
    <w:p>
      <w:pPr>
        <w:pStyle w:val="Heading2"/>
      </w:pPr>
      <w:r>
        <w:t xml:space="preserve">7.1 52.06% 的来源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指标（四外层折均值）</w:t>
            </w:r>
          </w:p>
        </w:tc>
        <w:tc>
          <w:p>
            <w:pPr>
              <w:pStyle w:val="Compact"/>
              <w:jc w:val="right"/>
            </w:pPr>
            <w:r>
              <w:t xml:space="preserve">固定 Logistic 基线</w:t>
            </w:r>
          </w:p>
        </w:tc>
        <w:tc>
          <w:p>
            <w:pPr>
              <w:pStyle w:val="Compact"/>
              <w:jc w:val="right"/>
            </w:pPr>
            <w:r>
              <w:t xml:space="preserve">嵌套选择程序</w:t>
            </w:r>
          </w:p>
        </w:tc>
        <w:tc>
          <w:p>
            <w:pPr>
              <w:pStyle w:val="Compact"/>
              <w:jc w:val="righ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Balanced accuracy（主指标）</w:t>
            </w:r>
          </w:p>
        </w:tc>
        <w:tc>
          <w:p>
            <w:pPr>
              <w:pStyle w:val="Compact"/>
              <w:jc w:val="right"/>
            </w:pPr>
            <w:r>
              <w:t xml:space="preserve">46.01%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52.06%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+6.05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right"/>
            </w:pPr>
            <w:r>
              <w:t xml:space="preserve">46.73%</w:t>
            </w:r>
          </w:p>
        </w:tc>
        <w:tc>
          <w:p>
            <w:pPr>
              <w:pStyle w:val="Compact"/>
              <w:jc w:val="right"/>
            </w:pPr>
            <w:r>
              <w:t xml:space="preserve">51.63%</w:t>
            </w:r>
          </w:p>
        </w:tc>
        <w:tc>
          <w:p>
            <w:pPr>
              <w:pStyle w:val="Compact"/>
              <w:jc w:val="right"/>
            </w:pPr>
            <w:r>
              <w:t xml:space="preserve">+4.91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ROC AUC（逐外层折后等权平均）</w:t>
            </w:r>
          </w:p>
        </w:tc>
        <w:tc>
          <w:p>
            <w:pPr>
              <w:pStyle w:val="Compact"/>
              <w:jc w:val="right"/>
            </w:pPr>
            <w:r>
              <w:t xml:space="preserve">48.34%</w:t>
            </w:r>
          </w:p>
        </w:tc>
        <w:tc>
          <w:p>
            <w:pPr>
              <w:pStyle w:val="Compact"/>
              <w:jc w:val="right"/>
            </w:pPr>
            <w:r>
              <w:t xml:space="preserve">52.52%</w:t>
            </w:r>
          </w:p>
        </w:tc>
        <w:tc>
          <w:p>
            <w:pPr>
              <w:pStyle w:val="Compact"/>
              <w:jc w:val="right"/>
            </w:pPr>
            <w:r>
              <w:t xml:space="preserve">+4.18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p>
            <w:pPr>
              <w:pStyle w:val="Compact"/>
              <w:jc w:val="right"/>
            </w:pPr>
            <w:r>
              <w:t xml:space="preserve">44.90%</w:t>
            </w:r>
          </w:p>
        </w:tc>
        <w:tc>
          <w:p>
            <w:pPr>
              <w:pStyle w:val="Compact"/>
              <w:jc w:val="right"/>
            </w:pPr>
            <w:r>
              <w:t xml:space="preserve">47.25%</w:t>
            </w:r>
          </w:p>
        </w:tc>
        <w:tc>
          <w:p>
            <w:pPr>
              <w:pStyle w:val="Compact"/>
              <w:jc w:val="right"/>
            </w:pPr>
            <w:r>
              <w:t xml:space="preserve">+2.35 pp</w:t>
            </w:r>
          </w:p>
        </w:tc>
      </w:tr>
    </w:tbl>
    <w:p>
      <w:pPr>
        <w:pStyle w:val="BodyText"/>
      </w:pPr>
      <w:r>
        <w:t xml:space="preserve">“</w:t>
      </w:r>
      <w:r>
        <w:t xml:space="preserve">+6.05 pp</w:t>
      </w:r>
      <w:r>
        <w:t xml:space="preserve">”</w:t>
      </w:r>
      <w:r>
        <w:t xml:space="preserve">表示 52.06%−46.01%=6.05 个百分点，不是相对增长 6.05%。四个外层记录的 BA 分别从 49.07%、41.67%、47.95%、45.35% 变为 54.35%、52.78%、52.22%、48.91%，折内增量均为正（+5.27、+11.11、+4.26、+3.56 pp）。分折一致性是这一轮搜索的积极迹象；但四个文件有限，仍无法提供稳定的总体泛化推断。</w:t>
      </w:r>
    </w:p>
    <w:p>
      <w:pPr>
        <w:pStyle w:val="BodyText"/>
      </w:pPr>
      <w:r>
        <w:drawing>
          <wp:inline>
            <wp:extent cx="5334000" cy="3343220"/>
            <wp:effectExtent b="0" l="0" r="0" t="0"/>
            <wp:docPr descr="图8 52.06%主结果及四折配对比较" title="" id="1" name="Picture"/>
            <a:graphic>
              <a:graphicData uri="http://schemas.openxmlformats.org/drawingml/2006/picture">
                <pic:pic>
                  <pic:nvPicPr>
                    <pic:cNvPr descr="figures/F08_primary_scor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图8　每个柱为一个外层记录 BA；虚线为四折等权均值。误差线未绘制，因为仅四折且记录并非充分随机抽样的独立大量样本。</w:t>
      </w:r>
    </w:p>
    <w:bookmarkEnd w:id="40"/>
    <w:bookmarkStart w:id="42" w:name="每折所选模型"/>
    <w:p>
      <w:pPr>
        <w:pStyle w:val="Heading2"/>
      </w:pPr>
      <w:r>
        <w:t xml:space="preserve">7.2 每折所选模型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留出记录</w:t>
            </w:r>
          </w:p>
        </w:tc>
        <w:tc>
          <w:p>
            <w:pPr>
              <w:pStyle w:val="Compact"/>
              <w:jc w:val="left"/>
            </w:pPr>
            <w:r>
              <w:t xml:space="preserve">内层所选配置</w:t>
            </w:r>
          </w:p>
        </w:tc>
        <w:tc>
          <w:p>
            <w:pPr>
              <w:pStyle w:val="Compact"/>
              <w:jc w:val="right"/>
            </w:pPr>
            <w:r>
              <w:t xml:space="preserve">外层 BA</w:t>
            </w:r>
          </w:p>
        </w:tc>
        <w:tc>
          <w:p>
            <w:pPr>
              <w:pStyle w:val="Compact"/>
              <w:jc w:val="right"/>
            </w:pPr>
            <w:r>
              <w:t xml:space="preserve">相对基线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p>
            <w:pPr>
              <w:pStyle w:val="Compact"/>
              <w:jc w:val="left"/>
            </w:pPr>
            <w:r>
              <w:t xml:space="preserve">RBF SVM；12维；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0.03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54.35%</w:t>
            </w:r>
          </w:p>
        </w:tc>
        <w:tc>
          <w:p>
            <w:pPr>
              <w:pStyle w:val="Compact"/>
              <w:jc w:val="right"/>
            </w:pPr>
            <w:r>
              <w:t xml:space="preserve">+5.27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p>
            <w:pPr>
              <w:pStyle w:val="Compact"/>
              <w:jc w:val="left"/>
            </w:pPr>
            <w:r>
              <w:t xml:space="preserve">RBF SVM；13维；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scale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52.78%</w:t>
            </w:r>
          </w:p>
        </w:tc>
        <w:tc>
          <w:p>
            <w:pPr>
              <w:pStyle w:val="Compact"/>
              <w:jc w:val="right"/>
            </w:pPr>
            <w:r>
              <w:t xml:space="preserve">+11.11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p>
            <w:pPr>
              <w:pStyle w:val="Compact"/>
              <w:jc w:val="left"/>
            </w:pPr>
            <w:r>
              <w:t xml:space="preserve">RBF SVM；12维；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52.22%</w:t>
            </w:r>
          </w:p>
        </w:tc>
        <w:tc>
          <w:p>
            <w:pPr>
              <w:pStyle w:val="Compact"/>
              <w:jc w:val="right"/>
            </w:pPr>
            <w:r>
              <w:t xml:space="preserve">+4.26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p>
            <w:pPr>
              <w:pStyle w:val="Compact"/>
              <w:jc w:val="left"/>
            </w:pPr>
            <w:r>
              <w:t xml:space="preserve">Logistic；ERP 3维；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48.91%</w:t>
            </w:r>
          </w:p>
        </w:tc>
        <w:tc>
          <w:p>
            <w:pPr>
              <w:pStyle w:val="Compact"/>
              <w:jc w:val="right"/>
            </w:pPr>
            <w:r>
              <w:t xml:space="preserve">+3.56 pp</w:t>
            </w:r>
          </w:p>
        </w:tc>
      </w:tr>
    </w:tbl>
    <w:p>
      <w:pPr>
        <w:pStyle w:val="BodyText"/>
      </w:pPr>
      <w:r>
        <w:t xml:space="preserve">其中 A-1/A-2/B-1/B-2 分别表示 VisualCogA_Task-1、VisualCogA_Task-2、VisualCogB_Task-1、VisualCogB_Task-2。各外层训练集分别包含 287、291、289、294 个 trial；对应留出集分别为 100、96、98、93 个 trial。</w:t>
      </w:r>
    </w:p>
    <w:p>
      <w:pPr>
        <w:pStyle w:val="BodyText"/>
      </w:pPr>
      <w:r>
        <w:t xml:space="preserve">选择结果以 RBF SVM 为主，但第四折选出强正则化的 ERP-only Logistic。因而这套流程没有得到一个稳定、唯一的分类器；若后续需要部署单一模型，应在新增训练记录上预先锁定模型与参数，然后另留独立测试记录。</w:t>
      </w:r>
    </w:p>
    <w:p>
      <w:pPr>
        <w:pStyle w:val="BodyText"/>
      </w:pPr>
      <w:r>
        <w:drawing>
          <wp:inline>
            <wp:extent cx="5334000" cy="2021265"/>
            <wp:effectExtent b="0" l="0" r="0" t="0"/>
            <wp:docPr descr="图9 各外层折选出的分类器与参数" title="" id="1" name="Picture"/>
            <a:graphic>
              <a:graphicData uri="http://schemas.openxmlformats.org/drawingml/2006/picture">
                <pic:pic>
                  <pic:nvPicPr>
                    <pic:cNvPr descr="figures/F09_selected_model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图9　配置按外层训练折分别选择。该表不能被解释为从测试集上逐折挑选出的</w:t>
      </w:r>
      <w:r>
        <w:rPr>
          <w:iCs/>
          <w:i/>
        </w:rPr>
        <w:t xml:space="preserve">“</w:t>
      </w:r>
      <w:r>
        <w:rPr>
          <w:iCs/>
          <w:i/>
        </w:rPr>
        <w:t xml:space="preserve">最佳模型</w:t>
      </w:r>
      <w:r>
        <w:rPr>
          <w:iCs/>
          <w:i/>
        </w:rPr>
        <w:t xml:space="preserve">”</w:t>
      </w:r>
      <w:r>
        <w:rPr>
          <w:iCs/>
          <w:i/>
        </w:rPr>
        <w:t xml:space="preserve">；选择依据始终是对应的内层 BA。</w:t>
      </w:r>
    </w:p>
    <w:bookmarkEnd w:id="42"/>
    <w:bookmarkStart w:id="44" w:name="错误类型的辅助观察"/>
    <w:p>
      <w:pPr>
        <w:pStyle w:val="Heading2"/>
      </w:pPr>
      <w:r>
        <w:t xml:space="preserve">7.3 错误类型的辅助观察</w:t>
      </w:r>
    </w:p>
    <w:p>
      <w:pPr>
        <w:pStyle w:val="FirstParagraph"/>
      </w:pPr>
      <w:r>
        <w:t xml:space="preserve">将所有外层预测按 trial 合并得到的计数矩阵为：基线</w:t>
      </w:r>
      <w:r>
        <w:t xml:space="preserve"> </w:t>
      </w:r>
      <m:oMath>
        <m:d>
          <m:dPr>
            <m:begChr m:val="["/>
            <m:endChr m:val="]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113</m:t>
                  </m:r>
                </m:e>
                <m:e>
                  <m:r>
                    <m:t>87</m:t>
                  </m:r>
                </m:e>
              </m:mr>
              <m:mr>
                <m:e>
                  <m:r>
                    <m:t>119</m:t>
                  </m:r>
                </m:e>
                <m:e>
                  <m:r>
                    <m:t>68</m:t>
                  </m:r>
                </m:e>
              </m:mr>
            </m:m>
          </m:e>
        </m:d>
      </m:oMath>
      <w:r>
        <w:t xml:space="preserve">，嵌套选择</w:t>
      </w:r>
      <w:r>
        <w:t xml:space="preserve"> </w:t>
      </w:r>
      <m:oMath>
        <m:d>
          <m:dPr>
            <m:begChr m:val="["/>
            <m:endChr m:val="]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135</m:t>
                  </m:r>
                </m:e>
                <m:e>
                  <m:r>
                    <m:t>65</m:t>
                  </m:r>
                </m:e>
              </m:mr>
              <m:mr>
                <m:e>
                  <m:r>
                    <m:t>122</m:t>
                  </m:r>
                </m:e>
                <m:e>
                  <m:r>
                    <m:t>65</m:t>
                  </m:r>
                </m:e>
              </m:mr>
            </m:m>
          </m:e>
        </m:d>
      </m:oMath>
      <w:r>
        <w:t xml:space="preserve">；行依次为实际左/右，列为预测左/右。嵌套选择减少了左提示误判为右的计数，但右提示召回并未相应改善。应答类别的漏判模式仍不平衡；这也是 pooled 分类准确率与 BA 需要同时解释的原因。</w:t>
      </w:r>
    </w:p>
    <w:p>
      <w:pPr>
        <w:pStyle w:val="BodyText"/>
      </w:pPr>
      <w:r>
        <w:drawing>
          <wp:inline>
            <wp:extent cx="5334000" cy="2627456"/>
            <wp:effectExtent b="0" l="0" r="0" t="0"/>
            <wp:docPr descr="图10 外层留出预测的混淆矩阵" title="" id="1" name="Picture"/>
            <a:graphic>
              <a:graphicData uri="http://schemas.openxmlformats.org/drawingml/2006/picture">
                <pic:pic>
                  <pic:nvPicPr>
                    <pic:cNvPr descr="figures/F10_confusion_matric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图10　基线与嵌套选择程序的外层留出预测计数。混淆矩阵用于看错误构成；主结论仍依据四折等权的 BA。</w:t>
      </w:r>
    </w:p>
    <w:bookmarkEnd w:id="44"/>
    <w:bookmarkEnd w:id="45"/>
    <w:bookmarkStart w:id="48" w:name="稳健性与样本口径敏感性"/>
    <w:p>
      <w:pPr>
        <w:pStyle w:val="Heading1"/>
      </w:pPr>
      <w:r>
        <w:t xml:space="preserve">8 稳健性与样本口径敏感性</w:t>
      </w:r>
    </w:p>
    <w:p>
      <w:pPr>
        <w:pStyle w:val="FirstParagraph"/>
      </w:pPr>
      <w:r>
        <w:t xml:space="preserve">为评估提升是否依赖某一种数据定义或事件阶段，在同一模型搜索协议下比较 raw-QC 与 Q1 质量匹配样本，并比较 cue/target 锁定分析。Q1 子集上的模型重新在 Q1 训练数据中进行内层选择，不能与 raw-QC 模型在 Q1 保留试次上的子组诊断混为一谈。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分析口径</w:t>
            </w:r>
          </w:p>
        </w:tc>
        <w:tc>
          <w:p>
            <w:pPr>
              <w:pStyle w:val="Compact"/>
              <w:jc w:val="right"/>
            </w:pPr>
            <w:r>
              <w:t xml:space="preserve">有效 trial 数</w:t>
            </w:r>
          </w:p>
        </w:tc>
        <w:tc>
          <w:p>
            <w:pPr>
              <w:pStyle w:val="Compact"/>
              <w:jc w:val="right"/>
            </w:pPr>
            <w:r>
              <w:t xml:space="preserve">基线 BA</w:t>
            </w:r>
          </w:p>
        </w:tc>
        <w:tc>
          <w:p>
            <w:pPr>
              <w:pStyle w:val="Compact"/>
              <w:jc w:val="right"/>
            </w:pPr>
            <w:r>
              <w:t xml:space="preserve">嵌套选择 BA</w:t>
            </w:r>
          </w:p>
        </w:tc>
        <w:tc>
          <w:p>
            <w:pPr>
              <w:pStyle w:val="Compact"/>
              <w:jc w:val="righ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raw-QC cue（主结果）</w:t>
            </w:r>
          </w:p>
        </w:tc>
        <w:tc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p>
            <w:pPr>
              <w:pStyle w:val="Compact"/>
              <w:jc w:val="right"/>
            </w:pPr>
            <w:r>
              <w:t xml:space="preserve">46.01%</w:t>
            </w:r>
          </w:p>
        </w:tc>
        <w:tc>
          <w:p>
            <w:pPr>
              <w:pStyle w:val="Compact"/>
              <w:jc w:val="right"/>
            </w:pPr>
            <w:r>
              <w:t xml:space="preserve">52.06%</w:t>
            </w:r>
          </w:p>
        </w:tc>
        <w:tc>
          <w:p>
            <w:pPr>
              <w:pStyle w:val="Compact"/>
              <w:jc w:val="right"/>
            </w:pPr>
            <w:r>
              <w:t xml:space="preserve">+6.05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匹配 cue</w:t>
            </w:r>
          </w:p>
        </w:tc>
        <w:tc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p>
            <w:pPr>
              <w:pStyle w:val="Compact"/>
              <w:jc w:val="right"/>
            </w:pPr>
            <w:r>
              <w:t xml:space="preserve">48.68%</w:t>
            </w:r>
          </w:p>
        </w:tc>
        <w:tc>
          <w:p>
            <w:pPr>
              <w:pStyle w:val="Compact"/>
              <w:jc w:val="right"/>
            </w:pPr>
            <w:r>
              <w:t xml:space="preserve">48.65%</w:t>
            </w:r>
          </w:p>
        </w:tc>
        <w:tc>
          <w:p>
            <w:pPr>
              <w:pStyle w:val="Compact"/>
              <w:jc w:val="right"/>
            </w:pPr>
            <w:r>
              <w:t xml:space="preserve">−0.02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raw-QC target</w:t>
            </w:r>
          </w:p>
        </w:tc>
        <w:tc>
          <w:p>
            <w:pPr>
              <w:pStyle w:val="Compact"/>
              <w:jc w:val="right"/>
            </w:pPr>
            <w:r>
              <w:t xml:space="preserve">396</w:t>
            </w:r>
          </w:p>
        </w:tc>
        <w:tc>
          <w:p>
            <w:pPr>
              <w:pStyle w:val="Compact"/>
              <w:jc w:val="right"/>
            </w:pPr>
            <w:r>
              <w:t xml:space="preserve">52.25%</w:t>
            </w:r>
          </w:p>
        </w:tc>
        <w:tc>
          <w:p>
            <w:pPr>
              <w:pStyle w:val="Compact"/>
              <w:jc w:val="right"/>
            </w:pPr>
            <w:r>
              <w:t xml:space="preserve">50.10%</w:t>
            </w:r>
          </w:p>
        </w:tc>
        <w:tc>
          <w:p>
            <w:pPr>
              <w:pStyle w:val="Compact"/>
              <w:jc w:val="right"/>
            </w:pPr>
            <w:r>
              <w:t xml:space="preserve">−2.15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匹配 target</w:t>
            </w:r>
          </w:p>
        </w:tc>
        <w:tc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p>
            <w:pPr>
              <w:pStyle w:val="Compact"/>
              <w:jc w:val="right"/>
            </w:pPr>
            <w:r>
              <w:t xml:space="preserve">51.04%</w:t>
            </w:r>
          </w:p>
        </w:tc>
        <w:tc>
          <w:p>
            <w:pPr>
              <w:pStyle w:val="Compact"/>
              <w:jc w:val="right"/>
            </w:pPr>
            <w:r>
              <w:t xml:space="preserve">49.70%</w:t>
            </w:r>
          </w:p>
        </w:tc>
        <w:tc>
          <w:p>
            <w:pPr>
              <w:pStyle w:val="Compact"/>
              <w:jc w:val="right"/>
            </w:pPr>
            <w:r>
              <w:t xml:space="preserve">−1.34 pp</w:t>
            </w:r>
          </w:p>
        </w:tc>
      </w:tr>
    </w:tbl>
    <w:p>
      <w:pPr>
        <w:pStyle w:val="BodyText"/>
      </w:pPr>
      <w:r>
        <w:drawing>
          <wp:inline>
            <wp:extent cx="5334000" cy="3124281"/>
            <wp:effectExtent b="0" l="0" r="0" t="0"/>
            <wp:docPr descr="图11 样本口径与事件阶段敏感性" title="" id="1" name="Picture"/>
            <a:graphic>
              <a:graphicData uri="http://schemas.openxmlformats.org/drawingml/2006/picture">
                <pic:pic>
                  <pic:nvPicPr>
                    <pic:cNvPr descr="figures/F11_scope_sensitiv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图11　只有 raw-QC cue 口径出现正向提升；Q1 匹配 cue 的嵌套选择与基线几乎相同，target 两种口径均未改善。</w:t>
      </w:r>
    </w:p>
    <w:p>
      <w:pPr>
        <w:pStyle w:val="BodyText"/>
      </w:pPr>
      <w:r>
        <w:t xml:space="preserve">进一步将 raw-QC 训练模型在留出记录上的预测按 Q1 质量标签分组，只作诊断，不影响候选选择。cue 的 Q1 保留组（297 trial）BA 从 44.2% 增至 54.2%；Q1 未保留但通过 raw-QC 的 90 trial BA 从 52.0% 降至 47.3%。这说明主结果的改善并未一致覆盖所有 EEG 质量子组。另一方面，重新限定训练样本后 Q1 cue 提升消失，提示训练样本构成和模型选择都可能影响这个结果。</w:t>
      </w:r>
    </w:p>
    <w:p>
      <w:pPr>
        <w:pStyle w:val="BodyText"/>
      </w:pPr>
      <w:r>
        <w:drawing>
          <wp:inline>
            <wp:extent cx="5334000" cy="3123277"/>
            <wp:effectExtent b="0" l="0" r="0" t="0"/>
            <wp:docPr descr="图12 held-out 质量子组诊断" title="" id="1" name="Picture"/>
            <a:graphic>
              <a:graphicData uri="http://schemas.openxmlformats.org/drawingml/2006/picture">
                <pic:pic>
                  <pic:nvPicPr>
                    <pic:cNvPr descr="figures/F12_quality_subgroup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图12　质量子组只在外层留出预测后分层；它是描述性诊断，样本量和分组差异不足以作因果解释。</w:t>
      </w:r>
    </w:p>
    <w:bookmarkEnd w:id="48"/>
    <w:bookmarkStart w:id="52" w:name="结论论文写法与局限"/>
    <w:p>
      <w:pPr>
        <w:pStyle w:val="Heading1"/>
      </w:pPr>
      <w:r>
        <w:t xml:space="preserve">9 结论、论文写法与局限</w:t>
      </w:r>
    </w:p>
    <w:bookmarkStart w:id="49" w:name="可报告结论"/>
    <w:p>
      <w:pPr>
        <w:pStyle w:val="Heading2"/>
      </w:pPr>
      <w:r>
        <w:t xml:space="preserve">9.1 可报告结论</w:t>
      </w:r>
    </w:p>
    <w:p>
      <w:pPr>
        <w:pStyle w:val="FirstParagraph"/>
      </w:pPr>
      <w:r>
        <w:t xml:space="preserve">在当前四份 EEG 记录和预设候选空间下，嵌套模型选择程序对 raw-QC cue 左右提示分类的外层 BA 均值为 52.06%，较固定 Logistic 基线 46.01% 增加 6.05 个百分点，且四个外层记录的单折变化均为正。这个结果支持</w:t>
      </w:r>
      <w:r>
        <w:t xml:space="preserve">“</w:t>
      </w:r>
      <w:r>
        <w:t xml:space="preserve">部分 cue 锁定额区 EEG 特征携带有限的左右提示相关信息</w:t>
      </w:r>
      <w:r>
        <w:t xml:space="preserve">”</w:t>
      </w:r>
      <w:r>
        <w:t xml:space="preserve">这一谨慎表述。由于 Q1 匹配与 target 锁定比较没有复现同等提升，结论应限定于当前 raw-QC cue 分析口径。</w:t>
      </w:r>
    </w:p>
    <w:bookmarkEnd w:id="49"/>
    <w:bookmarkStart w:id="50" w:name="应避免的表述"/>
    <w:p>
      <w:pPr>
        <w:pStyle w:val="Heading2"/>
      </w:pPr>
      <w:r>
        <w:t xml:space="preserve">9.2 应避免的表述</w:t>
      </w:r>
    </w:p>
    <w:p>
      <w:pPr>
        <w:pStyle w:val="FirstParagraph"/>
      </w:pPr>
      <w:r>
        <w:t xml:space="preserve">不得将 52.06% 写成第三问完整 V/H/P 状态模型的识别准确率、DDM 行为预测准确率、任务正确率或精神疾病诊断率；不得称 13 维输入中的 ERP 均值已确认是标准 P300；不得声称该模型对新个体或新实验室具有稳定泛化。尤其注意，Q1 匹配 cue 的独立嵌套结果没有提升，而 raw-QC 训练模型在 Q1 排除子组上表现下降。</w:t>
      </w:r>
    </w:p>
    <w:bookmarkEnd w:id="50"/>
    <w:bookmarkStart w:id="51" w:name="限制与下一步"/>
    <w:p>
      <w:pPr>
        <w:pStyle w:val="Heading2"/>
      </w:pPr>
      <w:r>
        <w:t xml:space="preserve">9.3 限制与下一步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独立记录数仅为4。</w:t>
      </w:r>
      <w:r>
        <w:t xml:space="preserve"> </w:t>
      </w:r>
      <w:r>
        <w:t xml:space="preserve">trial 数不能替代真正独立的记录/受试者数；当前外层 BA 的估计方差未知。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多轮开发比较共用同一批外层记录。</w:t>
      </w:r>
      <w:r>
        <w:t xml:space="preserve"> </w:t>
      </w:r>
      <w:r>
        <w:t xml:space="preserve">嵌套 CV 防止了本轮 49 个候选的直接外层调参泄漏，但不能消除团队跨多轮特征/模型探索造成的总体选择偏差。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样本口径敏感。</w:t>
      </w:r>
      <w:r>
        <w:t xml:space="preserve"> </w:t>
      </w:r>
      <w:r>
        <w:t xml:space="preserve">raw-QC cue 增益在重新限定到 Q1 子集后消失。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标签语义有限。</w:t>
      </w:r>
      <w:r>
        <w:t xml:space="preserve"> </w:t>
      </w:r>
      <w:r>
        <w:t xml:space="preserve">预测的是 VisCue 提示方向，不等于应答方向是否正确；应答 marker 编码、反应时和任务目标真值要单独审计。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EEG 空间信息有限。</w:t>
      </w:r>
      <w:r>
        <w:t xml:space="preserve"> </w:t>
      </w:r>
      <w:r>
        <w:t xml:space="preserve">只有 F3/Fz/F4，不能定位海马或 LGN，也无法确认 P300 的经典拓扑。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频带估计受短窗影响。</w:t>
      </w:r>
      <w:r>
        <w:t xml:space="preserve"> </w:t>
      </w:r>
      <w:r>
        <w:t xml:space="preserve">cue 功率窗口约 0.5 s，低频分辨率有限；短窗 Welch 积分不宜作精细谱峰解释。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目标事件锚点为排程假设。</w:t>
      </w:r>
      <w:r>
        <w:t xml:space="preserve"> </w:t>
      </w:r>
      <w:r>
        <w:t xml:space="preserve">cue+2.2 s target 结果只作为次要敏感性分析；主要 52.06% cue 结论不受该锚点影响。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当前分支未检验完整认知状态与 DDM。</w:t>
      </w:r>
      <w:r>
        <w:t xml:space="preserve"> </w:t>
      </w:r>
      <w:r>
        <w:t xml:space="preserve">后续应在独立流程中报告 (V/H/P) 估计、观测重建或消融、应答前 100 ms 特征、正确/错误/漏答分类以及行为 DDM 的拟合与预测检验。</w:t>
      </w:r>
    </w:p>
    <w:p>
      <w:pPr>
        <w:pStyle w:val="FirstParagraph"/>
      </w:pPr>
      <w:r>
        <w:t xml:space="preserve">建议最终论文将本结果写成一段补充验证，并将 52.06%、46.01% 和 +6.05 pp 同表展示；同时注明</w:t>
      </w:r>
      <w:r>
        <w:t xml:space="preserve"> </w:t>
      </w:r>
      <w:r>
        <w:rPr>
          <w:rStyle w:val="VerbatimChar"/>
        </w:rPr>
        <w:t xml:space="preserve">n=387</w:t>
      </w:r>
      <w:r>
        <w:t xml:space="preserve">、4 个留出文件、Q1 cue 敏感性结果为 −0.02 pp。若要保留显著性或总体推广结论，需新增独立记录或受试者后再作推断。</w:t>
      </w:r>
    </w:p>
    <w:bookmarkEnd w:id="51"/>
    <w:bookmarkEnd w:id="52"/>
    <w:bookmarkStart w:id="53" w:name="可复现性与结果追溯"/>
    <w:p>
      <w:pPr>
        <w:pStyle w:val="Heading1"/>
      </w:pPr>
      <w:r>
        <w:t xml:space="preserve">10 可复现性与结果追溯</w:t>
      </w:r>
    </w:p>
    <w:p>
      <w:pPr>
        <w:pStyle w:val="FirstParagraph"/>
      </w:pPr>
      <w:r>
        <w:t xml:space="preserve">本报告的主结果来自冻结初始输入特征与第一轮嵌套模型搜索，不覆盖 baseline snapshot。主要文件如下：</w:t>
      </w:r>
    </w:p>
    <w:p>
      <w:pPr>
        <w:numPr>
          <w:ilvl w:val="0"/>
          <w:numId w:val="1002"/>
        </w:numPr>
        <w:pStyle w:val="Compact"/>
      </w:pPr>
      <w:r>
        <w:t xml:space="preserve">冻结特征与基线：</w:t>
      </w:r>
      <w:r>
        <w:rPr>
          <w:rStyle w:val="VerbatimChar"/>
        </w:rPr>
        <w:t xml:space="preserve">baselines/20260925_initial/output/trial_features.csv</w:t>
      </w:r>
    </w:p>
    <w:p>
      <w:pPr>
        <w:numPr>
          <w:ilvl w:val="0"/>
          <w:numId w:val="1002"/>
        </w:numPr>
        <w:pStyle w:val="Compact"/>
      </w:pPr>
      <w:r>
        <w:t xml:space="preserve">搜索实现：</w:t>
      </w:r>
      <w:r>
        <w:rPr>
          <w:rStyle w:val="VerbatimChar"/>
        </w:rPr>
        <w:t xml:space="preserve">experiments/model_search.py</w:t>
      </w:r>
    </w:p>
    <w:p>
      <w:pPr>
        <w:numPr>
          <w:ilvl w:val="0"/>
          <w:numId w:val="1002"/>
        </w:numPr>
        <w:pStyle w:val="Compact"/>
      </w:pPr>
      <w:r>
        <w:t xml:space="preserve">第一轮实验输出目录：</w:t>
      </w:r>
      <w:r>
        <w:rPr>
          <w:rStyle w:val="VerbatimChar"/>
        </w:rPr>
        <w:t xml:space="preserve">output/experiments/20260925_model_search_v1/</w:t>
      </w:r>
    </w:p>
    <w:p>
      <w:pPr>
        <w:numPr>
          <w:ilvl w:val="0"/>
          <w:numId w:val="1002"/>
        </w:numPr>
        <w:pStyle w:val="Compact"/>
      </w:pPr>
      <w:r>
        <w:t xml:space="preserve">逐外层折结果：上述目录中的</w:t>
      </w:r>
      <w:r>
        <w:t xml:space="preserve"> </w:t>
      </w:r>
      <w:r>
        <w:rPr>
          <w:rStyle w:val="VerbatimChar"/>
        </w:rPr>
        <w:t xml:space="preserve">nested_selected_fold_metrics.csv</w:t>
      </w:r>
    </w:p>
    <w:p>
      <w:pPr>
        <w:numPr>
          <w:ilvl w:val="0"/>
          <w:numId w:val="1002"/>
        </w:numPr>
        <w:pStyle w:val="Compact"/>
      </w:pPr>
      <w:r>
        <w:t xml:space="preserve">基线与嵌套选择逐 trial 预测：上述目录中的</w:t>
      </w:r>
      <w:r>
        <w:t xml:space="preserve"> </w:t>
      </w:r>
      <w:r>
        <w:rPr>
          <w:rStyle w:val="VerbatimChar"/>
        </w:rPr>
        <w:t xml:space="preserve">baseline_oof_predictions.csv</w:t>
      </w:r>
      <w:r>
        <w:t xml:space="preserve">、</w:t>
      </w:r>
      <w:r>
        <w:rPr>
          <w:rStyle w:val="VerbatimChar"/>
        </w:rPr>
        <w:t xml:space="preserve">nested_selected_oof_predictions.csv</w:t>
      </w:r>
    </w:p>
    <w:p>
      <w:pPr>
        <w:numPr>
          <w:ilvl w:val="0"/>
          <w:numId w:val="1002"/>
        </w:numPr>
        <w:pStyle w:val="Compact"/>
      </w:pPr>
      <w:r>
        <w:t xml:space="preserve">参数、特征集与主要汇总：上述目录中的</w:t>
      </w:r>
      <w:r>
        <w:t xml:space="preserve"> </w:t>
      </w:r>
      <w:r>
        <w:rPr>
          <w:rStyle w:val="VerbatimChar"/>
        </w:rPr>
        <w:t xml:space="preserve">summary.json</w:t>
      </w:r>
    </w:p>
    <w:p>
      <w:pPr>
        <w:numPr>
          <w:ilvl w:val="0"/>
          <w:numId w:val="1002"/>
        </w:numPr>
        <w:pStyle w:val="Compact"/>
      </w:pPr>
      <w:r>
        <w:t xml:space="preserve">本报告图形的逐图数据来源、哈希和参数：同目录</w:t>
      </w:r>
      <w:r>
        <w:t xml:space="preserve"> </w:t>
      </w:r>
      <w:r>
        <w:rPr>
          <w:rStyle w:val="VerbatimChar"/>
        </w:rPr>
        <w:t xml:space="preserve">figures/*.figure.json</w:t>
      </w:r>
    </w:p>
    <w:p>
      <w:pPr>
        <w:pStyle w:val="FirstParagraph"/>
      </w:pPr>
      <w:r>
        <w:t xml:space="preserve">该结果的主要算式是：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B</m:t>
                  </m:r>
                  <m:r>
                    <m:t>A</m:t>
                  </m:r>
                </m:e>
              </m:bar>
            </m:e>
            <m:sub>
              <m:r>
                <m:t>n</m:t>
              </m:r>
              <m:r>
                <m:t>e</m:t>
              </m:r>
              <m:r>
                <m:t>s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0.543478</m:t>
              </m:r>
              <m:r>
                <m:rPr>
                  <m:sty m:val="p"/>
                </m:rPr>
                <m:t>+</m:t>
              </m:r>
              <m:r>
                <m:t>0.527778</m:t>
              </m:r>
              <m:r>
                <m:rPr>
                  <m:sty m:val="p"/>
                </m:rPr>
                <m:t>+</m:t>
              </m:r>
              <m:r>
                <m:t>0.522157</m:t>
              </m:r>
              <m:r>
                <m:rPr>
                  <m:sty m:val="p"/>
                </m:rPr>
                <m:t>+</m:t>
              </m:r>
              <m:r>
                <m:t>0.489130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0.520636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B</m:t>
                  </m:r>
                  <m:r>
                    <m:t>A</m:t>
                  </m:r>
                </m:e>
              </m:ba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0.490741</m:t>
              </m:r>
              <m:r>
                <m:rPr>
                  <m:sty m:val="p"/>
                </m:rPr>
                <m:t>+</m:t>
              </m:r>
              <m:r>
                <m:t>0.416667</m:t>
              </m:r>
              <m:r>
                <m:rPr>
                  <m:sty m:val="p"/>
                </m:rPr>
                <m:t>+</m:t>
              </m:r>
              <m:r>
                <m:t>0.479515</m:t>
              </m:r>
              <m:r>
                <m:rPr>
                  <m:sty m:val="p"/>
                </m:rPr>
                <m:t>+</m:t>
              </m:r>
              <m:r>
                <m:t>0.453515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0.460109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两者之差为 0.060526，即 +6.0526 个百分点。图和表中的百分数均由逐折文件重新读取，渲染图另保存 PNG、SVG 和 JSON 数据说明。</w:t>
      </w:r>
    </w:p>
    <w:bookmarkEnd w:id="53"/>
    <w:bookmarkStart w:id="54" w:name="参考资料"/>
    <w:p>
      <w:pPr>
        <w:pStyle w:val="Heading1"/>
      </w:pPr>
      <w:r>
        <w:t xml:space="preserve">参考资料</w:t>
      </w:r>
    </w:p>
    <w:p>
      <w:pPr>
        <w:numPr>
          <w:ilvl w:val="0"/>
          <w:numId w:val="1003"/>
        </w:numPr>
        <w:pStyle w:val="Compact"/>
      </w:pPr>
      <w:r>
        <w:t xml:space="preserve">第二十三届中国研究生数学建模竞赛 C 题：《服务于脑机接口与精神性疾病诊断的脑电图计算模型》，用户提供的题目文件。</w:t>
      </w:r>
    </w:p>
    <w:p>
      <w:pPr>
        <w:numPr>
          <w:ilvl w:val="0"/>
          <w:numId w:val="1003"/>
        </w:numPr>
        <w:pStyle w:val="Compact"/>
      </w:pPr>
      <w:r>
        <w:t xml:space="preserve">用户提供的《第三.pdf》（2026年9月24日版本），用于界定完整第三问的 V/H/P 状态建模、应答前窗口及 DDM 扩展分析范围。</w:t>
      </w:r>
    </w:p>
    <w:p>
      <w:pPr>
        <w:numPr>
          <w:ilvl w:val="0"/>
          <w:numId w:val="1003"/>
        </w:numPr>
        <w:pStyle w:val="Compact"/>
      </w:pPr>
      <w:r>
        <w:t xml:space="preserve">项目计算记录：冻结基线</w:t>
      </w:r>
      <w:r>
        <w:t xml:space="preserve"> </w:t>
      </w:r>
      <w:r>
        <w:rPr>
          <w:rStyle w:val="VerbatimChar"/>
        </w:rPr>
        <w:t xml:space="preserve">20260925_initial</w:t>
      </w:r>
      <w:r>
        <w:t xml:space="preserve"> </w:t>
      </w:r>
      <w:r>
        <w:t xml:space="preserve">与嵌套搜索</w:t>
      </w:r>
      <w:r>
        <w:t xml:space="preserve"> </w:t>
      </w:r>
      <w:r>
        <w:rPr>
          <w:rStyle w:val="VerbatimChar"/>
        </w:rPr>
        <w:t xml:space="preserve">20260925_model_search_v1</w:t>
      </w:r>
      <w:r>
        <w:t xml:space="preserve">。具体文件路径见第10节，可在相应 CSV/JSON 与源代码中追溯。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稿件状态：</w:t>
      </w:r>
      <w:r>
        <w:t xml:space="preserve"> </w:t>
      </w:r>
      <w:r>
        <w:t xml:space="preserve">论文写作参考稿；仍需与第三问完整 V/H/P 模型及 DDM 的实际输出合并，并在新增独立记录上确认泛化后，方可形成最终结论。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问题三实测脑电提示方向解码的模型验证报告（52.06%结果版）</dc:title>
  <dc:creator/>
  <dc:language>zh-CN</dc:language>
  <cp:keywords/>
  <dcterms:created xsi:type="dcterms:W3CDTF">2026-09-25T07:55:50Z</dcterms:created>
  <dcterms:modified xsi:type="dcterms:W3CDTF">2026-09-25T07:55:50Z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2026年9月25日</vt:lpwstr>
  </property>
</Properties>
</file>