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OF SEVERAL PARTICLES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RELATIVE MOTION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A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B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A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 xml:space="preserve">In relative motion, at the time when two bodies hit, they have the same position both </w:t>
      </w:r>
      <w:r>
        <w:rPr>
          <w:rFonts w:ascii="Liberation Mono" w:hAnsi="Liberation Mono"/>
          <w:b/>
          <w:bCs/>
          <w:sz w:val="22"/>
          <w:szCs w:val="22"/>
        </w:rPr>
        <w:t>relative to the same origin</w:t>
      </w:r>
      <w:r>
        <w:rPr>
          <w:rFonts w:ascii="Liberation Mono" w:hAnsi="Liberation Mono"/>
          <w:b w:val="false"/>
          <w:bCs w:val="false"/>
          <w:sz w:val="22"/>
          <w:szCs w:val="22"/>
        </w:rPr>
        <w:t>.: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DEPENDENT MOTION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The major method in solving this is the constant string length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In dependent motion: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take note of the direction of movement of the bodies for each;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take a reference axis at the center of the pulley connected to the body. The axis should be perpendicular to the direction of movement of the body.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When any of the bodies move, the length of the string remains constant; however, the distance from these reference points to the bodies or to other reference points will change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 xml:space="preserve">We don’t necessarily need to measure from a reference point to the body. We can measure from the reference point to another reference point. This is allowed because, the part that will be </w:t>
      </w:r>
      <w:r>
        <w:rPr>
          <w:rFonts w:ascii="Liberation Mono" w:hAnsi="Liberation Mono"/>
          <w:b w:val="false"/>
          <w:bCs w:val="false"/>
          <w:sz w:val="22"/>
          <w:szCs w:val="22"/>
          <w:u w:val="none"/>
        </w:rPr>
        <w:t>omitted</w:t>
      </w:r>
      <w:r>
        <w:rPr>
          <w:rFonts w:ascii="Liberation Mono" w:hAnsi="Liberation Mono"/>
          <w:b w:val="false"/>
          <w:bCs w:val="false"/>
          <w:sz w:val="22"/>
          <w:szCs w:val="22"/>
        </w:rPr>
        <w:t xml:space="preserve"> will always be constant.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So when calculating the length we can omit the constant parts because on differentiating a constant we will get 0.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So the length, l – which is constant – will be given as: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These motions have directions; and the positive direction should always point in the direction of the moving body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So when body B moves down, on differentiating we get the velocity (relationships)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Differentiating again, we get the acceleration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1360</TotalTime>
  <Application>LibreOffice/7.3.7.2$Linux_X86_64 LibreOffice_project/30$Build-2</Application>
  <AppVersion>15.0000</AppVersion>
  <Pages>1</Pages>
  <Words>218</Words>
  <Characters>1060</Characters>
  <CharactersWithSpaces>1264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2023-03-17T11:16:48Z</dcterms:created>
  <dc:creator/>
  <dc:description/>
  <dc:language>en-US</dc:language>
  <cp:lastModifiedBy/>
  <dcterms:modified xsi:type="dcterms:W3CDTF">2023-05-26T10:13:30Z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