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CIRCULAR MOTION</w:t>
      </w:r>
    </w:p>
    <w:p>
      <w:pPr>
        <w:pStyle w:val="Normal"/>
        <w:bidi w:val="0"/>
        <w:jc w:val="left"/>
        <w:rPr/>
      </w:pPr>
      <w:r>
        <w:rPr/>
        <w:t>Curvilinear motion is the motion of a particle moving along a curve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velocity of the particle is tangential to the path. However, the acceleration is not usually tangential to the path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PROJECTILE MOTION</w:t>
      </w:r>
    </w:p>
    <w:p>
      <w:pPr>
        <w:pStyle w:val="Normal"/>
        <w:bidi w:val="0"/>
        <w:jc w:val="left"/>
        <w:rPr/>
      </w:pPr>
      <w:r>
        <w:rPr/>
        <w:t>Initially, before the projection of the particle,</w:t>
      </w:r>
    </w:p>
    <w:p>
      <w:pPr>
        <w:pStyle w:val="Normal"/>
        <w:bidi w:val="0"/>
        <w:jc w:val="left"/>
        <w:rPr/>
      </w:pPr>
      <w:r>
        <w:rPr/>
        <w:t>x_o = y_o = z_o = 0</w:t>
      </w:r>
    </w:p>
    <w:p>
      <w:pPr>
        <w:pStyle w:val="Normal"/>
        <w:bidi w:val="0"/>
        <w:jc w:val="left"/>
        <w:rPr/>
      </w:pPr>
      <w:r>
        <w:rPr/>
        <w:t>All at the origin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a_x = 0, a_y = -g, a_z = 0</w:t>
      </w:r>
    </w:p>
    <w:p>
      <w:pPr>
        <w:pStyle w:val="Normal"/>
        <w:bidi w:val="0"/>
        <w:jc w:val="left"/>
        <w:rPr/>
      </w:pPr>
      <w:r>
        <w:rPr/>
        <w:t>When projected,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  <w:t>The horizontal motion in a projefctile motion is uniform. Therefore, there is no acceleration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v_y = u_y – gt</w:t>
      </w:r>
    </w:p>
    <w:p>
      <w:pPr>
        <w:pStyle w:val="Normal"/>
        <w:bidi w:val="0"/>
        <w:jc w:val="left"/>
        <w:rPr/>
      </w:pPr>
      <w:r>
        <w:rPr/>
        <w:t>x = {u rsub x}{t}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</m:sSub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g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/>
      </w:pPr>
      <w:r>
        <w:rPr/>
        <w:t>The motion in vertical is uniformly accelerated. Therefore there is a constant acceleration of (-g)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QUESTIONS ON PROJECTILES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VELOCITY VECTOR</w:t>
      </w:r>
    </w:p>
    <w:p>
      <w:pPr>
        <w:pStyle w:val="Normal"/>
        <w:bidi w:val="0"/>
        <w:jc w:val="left"/>
        <w:rPr/>
      </w:pPr>
      <w:r>
        <w:rPr/>
        <w:t>The velocity vector of a particle is tangential to the path of the particle. Acceleration vector is not tangential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velocity is tangential to the path and therefore will also have its unit vector (e_t) tangential to the path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two particles P and P` are moving, the relative velocity between them 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  <w:t>Also comparing their unit vectors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  <w:t xml:space="preserve">The angle between these two tangential unit vectors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/>
      </w:pPr>
      <w:r>
        <w:rPr/>
        <w:t>The relationship between the tangential unit vector and the normal unit vector is given by the relation</w:t>
      </w:r>
    </w:p>
    <w:p>
      <w:pPr>
        <w:pStyle w:val="Normal"/>
        <w:bidi w:val="0"/>
        <w:jc w:val="left"/>
        <w:rPr/>
      </w:pPr>
      <w:r>
        <w:rPr/>
        <w:t>lim from {} {{}{e_t}} = {e_n}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From the above, it can be seen that the velocity vector that is tangential is.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acc>
                    <m:accPr>
                      <m:chr m:val="⃗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From here, applying the product rule,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⃗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⃗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de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num>
            <m:den>
              <m:r>
                <w:rPr>
                  <w:rFonts w:ascii="Cambria Math" w:hAnsi="Cambria Math"/>
                </w:rPr>
                <m:t xml:space="preserve">ds</m:t>
              </m:r>
            </m:den>
          </m:f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ds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e_n = {d{e_t}} over {d{%theta}}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num>
            <m:den>
              <m:r>
                <w:rPr>
                  <w:rFonts w:ascii="Cambria Math" w:hAnsi="Cambria Math"/>
                </w:rPr>
                <m:t xml:space="preserve">ds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ρ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ρ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Rotation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radius</m:t>
          </m:r>
        </m:oMath>
      </m:oMathPara>
    </w:p>
    <w:p>
      <w:pPr>
        <w:pStyle w:val="Normal"/>
        <w:bidi w:val="0"/>
        <w:jc w:val="left"/>
        <w:rPr/>
      </w:pPr>
      <w:r>
        <w:rPr/>
        <w:t>{dS over dt} = v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⃗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de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num>
            <m:den>
              <m:r>
                <w:rPr>
                  <w:rFonts w:ascii="Cambria Math" w:hAnsi="Cambria Math"/>
                </w:rPr>
                <m:t xml:space="preserve">ds</m:t>
              </m:r>
            </m:den>
          </m:f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ds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ρ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</m:acc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ρ</m:t>
              </m:r>
            </m:den>
          </m:f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/>
        <w:t>, the tangential acceleration reflects the change in speed of the particle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, the normal acceleration reflects the change of direction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2</Pages>
  <Words>272</Words>
  <Characters>1298</Characters>
  <CharactersWithSpaces>1541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2023-04-25T10:48:39Z</dcterms:created>
  <dc:creator/>
  <dc:description/>
  <dc:language>en-US</dc:language>
  <cp:lastModifiedBy/>
  <dcterms:modified xsi:type="dcterms:W3CDTF">2023-04-25T12:33:22Z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