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ELECTROCHEMICAL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These are devices used for changing chemical energy into electrical energy.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There are two types of cells namely: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Secondary cells: These are also called accumulators. They are the opposite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An electrochemical cell consists of two electrodes of which each has its own electrolyte. The two electrodes are connected by a salt bridge or a porous partition.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 half-cell can be represented as </w:t>
      </w:r>
    </w:p>
    <w:p>
      <w:pPr>
        <w:pStyle w:val="Normal"/>
        <w:bidi w:val="0"/>
        <w:spacing w:lineRule="auto" w:line="360"/>
        <w:jc w:val="left"/>
        <w:rPr>
          <w:rFonts w:ascii="Liberation Sans" w:hAnsi="Liberation Sans"/>
          <w:sz w:val="22"/>
          <w:szCs w:val="2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Liberation Sans" w:hAnsi="Liberation Sans"/>
          <w:sz w:val="22"/>
          <w:szCs w:val="22"/>
        </w:rPr>
        <w:t xml:space="preserve">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An electrode has a quantitative property called the electrode potential.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Electrode potential is a measure in volts of the tendency of an atom of an element of the electrode to undergo oxidation and reduction.</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left"/>
        <w:rPr>
          <w:rFonts w:ascii="Liberation Sans" w:hAnsi="Liberation Sans"/>
          <w:sz w:val="22"/>
          <w:szCs w:val="2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Liberation Sans" w:hAnsi="Liberation Sans"/>
          <w:sz w:val="22"/>
          <w:szCs w:val="22"/>
        </w:rPr>
        <w:t>of an electrode have the same value but different signs (one is negative while the other is positive).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When all the concentrations of aqueous solutions are 1moldm</w:t>
      </w:r>
      <w:r>
        <w:rPr>
          <w:rFonts w:eastAsia="Adobe Fangsong Std R" w:ascii="Liberation Sans" w:hAnsi="Liberation Sans"/>
          <w:sz w:val="22"/>
          <w:szCs w:val="22"/>
          <w:vertAlign w:val="superscript"/>
        </w:rPr>
        <w:t>-3</w:t>
      </w:r>
      <w:r>
        <w:rPr>
          <w:rFonts w:eastAsia="Adobe Fangsong Std R" w:ascii="Liberation Sans" w:hAnsi="Liberation Sans"/>
          <w:sz w:val="22"/>
          <w:szCs w:val="22"/>
        </w:rPr>
        <w:t>, all gases taking part in the reactions are at 1atm and the temperature is 25</w:t>
      </w:r>
      <w:r>
        <w:rPr>
          <w:rFonts w:eastAsia="MS Mincho" w:cs="MS Mincho" w:ascii="Liberation Sans" w:hAnsi="Liberation Sans"/>
          <w:sz w:val="22"/>
          <w:szCs w:val="22"/>
        </w:rPr>
        <w:t>⁰</w:t>
      </w:r>
      <w:r>
        <w:rPr>
          <w:rFonts w:eastAsia="Adobe Fangsong Std R" w:ascii="Liberation Sans" w:hAnsi="Liberation Sans"/>
          <w:sz w:val="22"/>
          <w:szCs w:val="22"/>
        </w:rPr>
        <w:t>C (Room temp), the electrode potential is called the standard electrode potential.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hydrogen electrode was assigned a standard electrode potential of 0.000Volts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potentials of other elements can be determined using the standard hydrogen electrode as a reference.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 of an element is the potential difference set up between a standard hydrogen electrode and a half-cell.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It is called the electromotive force (emf) when a standard hydrogen electrode is coupled to the electrode of the element.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NB</w:t>
      </w:r>
      <w:r>
        <w:rPr>
          <w:rFonts w:eastAsia="Adobe Fangsong Std R" w:ascii="Liberation Sans" w:hAnsi="Liberation Sans"/>
          <w:sz w:val="22"/>
          <w:szCs w:val="22"/>
        </w:rPr>
        <w:t xml:space="preserve">: </w:t>
      </w:r>
    </w:p>
    <w:p>
      <w:pPr>
        <w:pStyle w:val="ListParagraph"/>
        <w:numPr>
          <w:ilvl w:val="0"/>
          <w:numId w:val="1"/>
        </w:numPr>
        <w:bidi w:val="0"/>
        <w:spacing w:lineRule="auto" w:line="360"/>
        <w:ind w:left="720" w:right="0" w:hanging="360"/>
        <w:jc w:val="left"/>
        <w:rPr>
          <w:rFonts w:ascii="Liberation Sans" w:hAnsi="Liberation Sans"/>
          <w:sz w:val="22"/>
          <w:szCs w:val="2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
      <m:oMath xmlns:m="http://schemas.openxmlformats.org/officeDocument/2006/math">
        <m:f>
          <m:fPr>
            <m:type m:val="lin"/>
          </m:fPr>
          <m:num>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num>
          <m:den>
            <m:r>
              <w:rPr>
                <w:rFonts w:ascii="Cambria Math" w:hAnsi="Cambria Math"/>
              </w:rPr>
              <m:t xml:space="preserve">A</m:t>
            </m:r>
          </m:den>
        </m:f>
      </m:oMath>
      <w:r>
        <w:rPr>
          <w:rFonts w:eastAsia="Adobe Fangsong Std R" w:ascii="Liberation Sans" w:hAnsi="Liberation Sans"/>
          <w:sz w:val="22"/>
          <w:szCs w:val="22"/>
        </w:rPr>
        <w:t xml:space="preserve"> </w:t>
      </w:r>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
      <m:oMathPara xmlns:m="http://schemas.openxmlformats.org/officeDocument/2006/math">
        <m:oMathParaPr>
          <m:jc m:val="left"/>
        </m:oMathParaPr>
        <m:oMath>
          <m:f>
            <m:fPr>
              <m:type m:val="lin"/>
            </m:fPr>
            <m:num>
              <m:f>
                <m:fPr>
                  <m:type m:val="lin"/>
                </m:fPr>
                <m:num>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num>
                <m:den>
                  <m:sSup>
                    <m:e>
                      <m:r>
                        <w:rPr>
                          <w:rFonts w:ascii="Cambria Math" w:hAnsi="Cambria Math"/>
                        </w:rPr>
                        <m:t xml:space="preserve">B</m:t>
                      </m:r>
                    </m:e>
                    <m:sup>
                      <m:r>
                        <w:rPr>
                          <w:rFonts w:ascii="Cambria Math" w:hAnsi="Cambria Math"/>
                        </w:rPr>
                        <m:t xml:space="preserve">n</m:t>
                      </m:r>
                      <m:r>
                        <w:rPr>
                          <w:rFonts w:ascii="Cambria Math" w:hAnsi="Cambria Math"/>
                        </w:rPr>
                        <m:t xml:space="preserve">+</m:t>
                      </m:r>
                    </m:sup>
                  </m:sSup>
                </m:den>
              </m:f>
            </m:num>
            <m:den>
              <m:r>
                <w:rPr>
                  <w:rFonts w:ascii="Cambria Math" w:hAnsi="Cambria Math"/>
                </w:rPr>
                <m:t xml:space="preserve">B</m:t>
              </m:r>
            </m:den>
          </m:f>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E.g. </w:t>
      </w:r>
    </w:p>
    <w:p>
      <w:pPr>
        <w:pStyle w:val="Normal"/>
        <w:bidi w:val="0"/>
        <w:spacing w:lineRule="auto" w:line="360"/>
        <w:jc w:val="left"/>
        <w:rPr>
          <w:rFonts w:ascii="Liberation Sans" w:hAnsi="Liberation Sans"/>
          <w:sz w:val="22"/>
          <w:szCs w:val="2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When calculating the emf of a cell,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 Write the anodic reaction (Oxidation)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 Write the cathode reaction (Reduction)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iii. Make electrons gain equal to electrons lost.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iv. Add the two electrode potentials i.e.</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of a cell (after calculation) is positive, then the reaction is spontaneous and the Gibb’s free energy is negative.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is negative, the reaction will not take place.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0.79</w:t>
            </w:r>
          </w:p>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DEFECTS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eastAsia="Adobe Fangsong Std R"/>
          <w:u w:val="single"/>
        </w:rPr>
      </w:pPr>
      <w:r>
        <w:rPr>
          <w:rFonts w:eastAsia="Adobe Fangsong Std R"/>
          <w:u w:val="single"/>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ARRANGEMENT OF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Series Arrangement: Cells are arranged in series in order to increase their effective emf</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 reason it is plus or minus is because, some times if two terminals of the same sign are put together, there will be a minus</w:t>
      </w:r>
    </w:p>
    <w:p>
      <w:pPr>
        <w:pStyle w:val="Normal"/>
        <w:bidi w:val="0"/>
        <w:spacing w:lineRule="auto" w:line="360"/>
        <w:jc w:val="left"/>
        <w:rPr>
          <w:rFonts w:ascii="Liberation Sans" w:hAnsi="Liberation Sans"/>
          <w:sz w:val="22"/>
          <w:szCs w:val="22"/>
        </w:rPr>
      </w:pPr>
      <w:r>
        <w:rPr>
          <w:rFonts w:ascii="Liberation Sans" w:hAnsi="Liberation Sans"/>
          <w:sz w:val="22"/>
          <w:szCs w:val="22"/>
        </w:rPr>
        <w:t>Cells are connected posive negative to positive negative to positive negative. However, if there is an error in connection and one gets connected negative to negative, there will be a loss of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internal resistance of the combined cells in series is expressed</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Parallel Arrangement: Cells are arranged in parallel in order to reduce their effective internal resistance and hence increasing the amount of current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emf of all the cells have is value in a parallel arrangement in the circuit.</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seen above that the formula from electric fields has been repeated</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it can be understood that the electric potential (V) is actually a potential difference (E)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of a cell is mathematically the sum of the terminal voltage (V) and the lost volt (L)</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there is no energy loss in the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lost volt equals zero</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 for an ideal circuit,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EFFICIENCY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(percentage) ratio of the power output to the power input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t xml:space="preserve">The maximum power </w:t>
      </w:r>
      <w:r>
        <w:rPr/>
        <w:t xml:space="preserve">is </w:t>
      </w:r>
      <w:r>
        <w:rPr/>
        <w:t xml:space="preserve">transferred by the battery when load resistance </w:t>
      </w:r>
      <w:r>
        <w:rPr/>
        <w:t xml:space="preserve">(R) </w:t>
      </w:r>
      <w:r>
        <w:rPr/>
        <w:t xml:space="preserve">is equal to the internal resistance </w:t>
      </w:r>
      <w:r>
        <w:rPr/>
        <w:t>(r) of the battery.</w:t>
      </w:r>
    </w:p>
    <w:p>
      <w:pPr>
        <w:pStyle w:val="Normal"/>
        <w:bidi w:val="0"/>
        <w:spacing w:lineRule="auto" w:line="360"/>
        <w:jc w:val="left"/>
        <w:rPr>
          <w:rFonts w:ascii="Liberation Sans" w:hAnsi="Liberation Sans"/>
          <w:b w:val="false"/>
          <w:b w:val="false"/>
          <w:bCs w:val="false"/>
          <w:sz w:val="22"/>
          <w:szCs w:val="22"/>
          <w:u w:val="none"/>
        </w:rPr>
      </w:pPr>
      <w:r>
        <w:rPr/>
        <w:t xml:space="preserve">However, the efficiency at that point will only be 50%.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6</Pages>
  <Words>1061</Words>
  <Characters>5435</Characters>
  <CharactersWithSpaces>6353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2023-04-29T06:35:48Z</dcterms:created>
  <dc:creator/>
  <dc:description/>
  <dc:language>en-US</dc:language>
  <cp:lastModifiedBy/>
  <dcterms:modified xsi:type="dcterms:W3CDTF">2023-05-21T15:00:06Z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