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sz w:val="52"/>
          <w:szCs w:val="52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SECOND ORDER LINEAR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Let y be the dependent variable and x be the independent variable.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 theory, a second order differential equation should have two solutions.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3.2 The general form of the second order linear differential</w:t>
      </w:r>
      <w:r>
        <w:rPr>
          <w:rFonts w:ascii="Liberation Mono" w:hAnsi="Liberation Mono"/>
          <w:sz w:val="26"/>
          <w:szCs w:val="26"/>
        </w:rPr>
        <w:t xml:space="preserve"> equation is given as: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3.3 STANDARD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Dividing by a(x)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can then be reduced to the standard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3.4 HOMOGENEOUS AND NON-HOMOGENEOUS DE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Given the standard form of a second-order linear differential equation: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above is said to be homogeneous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.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 and it is a function of x, then it is non-homogeneous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3.5 SUPERPOSITION THEOREM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theorem is going to be used a lot especially when solving questions relating to non-homogeneous differential equations.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bookmarkStart w:id="0" w:name="__DdeLink__491_611427052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bookmarkEnd w:id="0"/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are two solutions of the homogeneous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then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is also a solution for any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3.5.1 PROOF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Define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>(This is a linear operator)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solutions.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operator is linear because it meets the requirement of linearity: That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Then considering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Therefore, y is also a solution.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You see this side above of linearity and shit, when I wrote it initially it was God and I that understood what the fuck that was; but rn that I am reviewing it, only God understands oh.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3.6 LINEAR INDEPENDENCE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3.6.1 DEFINITION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 for any value of x i.e. if the equation on the left actually equals zero, then this implies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, we say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</w:t>
      </w:r>
      <w:r>
        <w:rPr>
          <w:rFonts w:ascii="Liberation Mono" w:hAnsi="Liberation Mono"/>
          <w:b/>
          <w:bCs/>
          <w:sz w:val="26"/>
          <w:szCs w:val="26"/>
        </w:rPr>
        <w:t>linear independent</w:t>
      </w:r>
      <w:r>
        <w:rPr>
          <w:rFonts w:ascii="Liberation Mono" w:hAnsi="Liberation Mono"/>
          <w:sz w:val="26"/>
          <w:szCs w:val="26"/>
        </w:rPr>
        <w:t>. If the functions are not linearly independent, they are linearly dependent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Show that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Answer: Suppose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 for any x.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Substitute, x=0,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implies that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Now,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Thus,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Therefore by the definition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linearly independent.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3.6.2 TEST FOR LINEAR INDEPENDENCE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3.6.2.1 WROSKIAN TEST FOR LINEAR INDEPENDENCE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For some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, then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linearly independent.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Show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6"/>
          <w:szCs w:val="26"/>
        </w:rPr>
        <w:t xml:space="preserve"> are linearly independent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’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’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Since the answer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for any x, then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linearly independent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Note: The following sets and their subsets are linearly independent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5.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6.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7.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8.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Theorem to note: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are two linearly independent solutions of the homogeneous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solution is given by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are constants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Shit!!!! WTF did I write here. I’m so clueless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Theorem: Existence and Uniqueness theorem: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p,q and f are continuous on the on some interval containing a,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>, has a unique solution satisfying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4</Pages>
  <Words>387</Words>
  <Characters>1883</Characters>
  <CharactersWithSpaces>2253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2024-02-26T14:29:15Z</dcterms:created>
  <dc:creator/>
  <dc:description/>
  <dc:language>en-GB</dc:language>
  <cp:lastModifiedBy/>
  <dcterms:modified xsi:type="dcterms:W3CDTF">2024-03-05T01:35:21Z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