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Poppins" w:hAnsi="Poppins"/>
          <w:b/>
          <w:sz w:val="20"/>
        </w:rPr>
        <w:t>Private and Confidential</w:t>
      </w:r>
    </w:p>
    <w:p>
      <w:r>
        <w:rPr>
          <w:rFonts w:ascii="Poppins" w:hAnsi="Poppins"/>
          <w:sz w:val="20"/>
        </w:rPr>
        <w:t>Mr D. I. Davies</w:t>
      </w:r>
    </w:p>
    <w:p>
      <w:r>
        <w:rPr>
          <w:rFonts w:ascii="Poppins" w:hAnsi="Poppins"/>
          <w:sz w:val="20"/>
        </w:rPr>
        <w:t>Abbotsford</w:t>
      </w:r>
    </w:p>
    <w:p>
      <w:r>
        <w:rPr>
          <w:rFonts w:ascii="Poppins" w:hAnsi="Poppins"/>
          <w:sz w:val="20"/>
        </w:rPr>
        <w:t>Trimmingham Road</w:t>
      </w:r>
    </w:p>
    <w:p>
      <w:r>
        <w:rPr>
          <w:rFonts w:ascii="Poppins" w:hAnsi="Poppins"/>
          <w:sz w:val="20"/>
        </w:rPr>
        <w:t>Halifax</w:t>
      </w:r>
    </w:p>
    <w:p>
      <w:r>
        <w:rPr>
          <w:rFonts w:ascii="Poppins" w:hAnsi="Poppins"/>
          <w:sz w:val="20"/>
        </w:rPr>
        <w:t>West Yorkshire</w:t>
      </w:r>
    </w:p>
    <w:p>
      <w:r>
        <w:rPr>
          <w:rFonts w:ascii="Poppins" w:hAnsi="Poppins"/>
          <w:sz w:val="20"/>
        </w:rPr>
        <w:t>HX2 7PX</w:t>
      </w:r>
    </w:p>
    <w:p/>
    <w:p>
      <w:pPr>
        <w:jc w:val="right"/>
      </w:pPr>
      <w:r>
        <w:t>6 January 2026</w:t>
      </w:r>
    </w:p>
    <w:p>
      <w:r>
        <w:rPr>
          <w:rFonts w:ascii="Poppins" w:hAnsi="Poppins"/>
          <w:sz w:val="20"/>
        </w:rPr>
        <w:t>Dear Ioan,</w:t>
      </w:r>
    </w:p>
    <w:p/>
    <w:p>
      <w:r>
        <w:rPr>
          <w:rFonts w:ascii="Poppins" w:hAnsi="Poppins"/>
          <w:b/>
          <w:sz w:val="20"/>
        </w:rPr>
        <w:t>RE: Retirement Planning</w:t>
      </w:r>
    </w:p>
    <w:p/>
    <w:p>
      <w:r>
        <w:rPr>
          <w:rFonts w:ascii="Poppins" w:hAnsi="Poppins"/>
          <w:sz w:val="20"/>
        </w:rPr>
        <w:t>I am writing further to our recent discussion on 5 December 2025 to confirm my recommendation.</w:t>
      </w:r>
    </w:p>
    <w:p/>
    <w:p>
      <w:r>
        <w:rPr>
          <w:rFonts w:ascii="Poppins" w:hAnsi="Poppins"/>
          <w:sz w:val="20"/>
        </w:rPr>
        <w:t>You wanted to focus on Retirement Planning.</w:t>
      </w:r>
    </w:p>
    <w:p/>
    <w:p>
      <w:r>
        <w:rPr>
          <w:rFonts w:ascii="Poppins" w:hAnsi="Poppins"/>
          <w:sz w:val="20"/>
        </w:rPr>
        <w:t>We discussed areas such as health, life events, financial capability, and resilience that you feel I should be aware of. You confirmed there are no circumstances which may impact my advice or influence your ability to discuss and understand my advice.</w:t>
      </w:r>
    </w:p>
    <w:p/>
    <w:p>
      <w:r>
        <w:rPr>
          <w:rFonts w:ascii="Poppins" w:hAnsi="Poppins"/>
          <w:sz w:val="20"/>
        </w:rPr>
        <w:t>The rest of this report is separated into the following parts:</w:t>
      </w:r>
    </w:p>
    <w:p>
      <w:pPr>
        <w:ind w:left="720" w:hanging="360"/>
      </w:pPr>
      <w:r>
        <w:rPr>
          <w:rFonts w:ascii="Poppins" w:hAnsi="Poppins"/>
          <w:sz w:val="20"/>
        </w:rPr>
        <w:t>•</w:t>
        <w:tab/>
        <w:t>Part 1 - sets out your objectives based on the information you provided to me;</w:t>
      </w:r>
    </w:p>
    <w:p>
      <w:pPr>
        <w:ind w:left="720" w:hanging="360"/>
      </w:pPr>
      <w:r>
        <w:rPr>
          <w:rFonts w:ascii="Poppins" w:hAnsi="Poppins"/>
          <w:sz w:val="20"/>
        </w:rPr>
        <w:t>•</w:t>
        <w:tab/>
        <w:t>Part 2 - details the reasons for my recommendation;</w:t>
      </w:r>
    </w:p>
    <w:p>
      <w:pPr>
        <w:ind w:left="720" w:hanging="360"/>
      </w:pPr>
      <w:r>
        <w:rPr>
          <w:rFonts w:ascii="Poppins" w:hAnsi="Poppins"/>
          <w:sz w:val="20"/>
        </w:rPr>
        <w:t>•</w:t>
        <w:tab/>
        <w:t>Part 3 - explains the issues to be considered when replacing your existing retirement arrangements;</w:t>
      </w:r>
    </w:p>
    <w:p>
      <w:pPr>
        <w:ind w:left="720" w:hanging="360"/>
      </w:pPr>
      <w:r>
        <w:rPr>
          <w:rFonts w:ascii="Poppins" w:hAnsi="Poppins"/>
          <w:sz w:val="20"/>
        </w:rPr>
        <w:t>•</w:t>
        <w:tab/>
        <w:t>Part 4 - confirms your attitude to investment risk and fund selection.</w:t>
      </w:r>
    </w:p>
    <w:p/>
    <w:p>
      <w:r>
        <w:rPr>
          <w:rFonts w:ascii="Poppins" w:hAnsi="Poppins"/>
          <w:sz w:val="20"/>
        </w:rPr>
        <w:t>The Appendices to the report contain more details and background to the underlying reasons for my advice, as well as details of the alternative options available and a Product Comparison.</w:t>
      </w:r>
    </w:p>
    <w:p/>
    <w:p>
      <w:pPr>
        <w:spacing w:before="120" w:after="120"/>
      </w:pPr>
      <w:r>
        <w:rPr>
          <w:rFonts w:ascii="Poppins SemiBold" w:hAnsi="Poppins SemiBold"/>
          <w:color w:val="0F1E3C"/>
          <w:sz w:val="24"/>
        </w:rPr>
        <w:t>Other Documentation</w:t>
      </w:r>
    </w:p>
    <w:p>
      <w:r>
        <w:rPr>
          <w:rFonts w:ascii="Poppins" w:hAnsi="Poppins"/>
          <w:sz w:val="20"/>
        </w:rPr>
        <w:t>In addition to this report, during our discussions I provided you with various other documents which are listed below:</w:t>
      </w:r>
    </w:p>
    <w:p>
      <w:pPr>
        <w:ind w:left="720" w:hanging="360"/>
      </w:pPr>
      <w:r>
        <w:rPr>
          <w:rFonts w:ascii="Poppins" w:hAnsi="Poppins"/>
          <w:sz w:val="20"/>
        </w:rPr>
        <w:t>•</w:t>
        <w:tab/>
        <w:t>Services and Costs Disclosure Document – which describes the products we offer, the service we provide and our Terms of Business. It also highlights the cost of our advice to you, including our Ongoing Advice Charge. I will continue to provide advice to your Personal Representatives of your estate in the event of your death, should they wish to continue paying for this service;</w:t>
      </w:r>
    </w:p>
    <w:p>
      <w:pPr>
        <w:ind w:left="720" w:hanging="360"/>
      </w:pPr>
      <w:r>
        <w:rPr>
          <w:rFonts w:ascii="Poppins" w:hAnsi="Poppins"/>
          <w:sz w:val="20"/>
        </w:rPr>
        <w:t>•</w:t>
        <w:tab/>
        <w:t>Key Features Booklet – which provides important information about your investment, including details of rights, such as cancellations;</w:t>
      </w:r>
    </w:p>
    <w:p>
      <w:pPr>
        <w:ind w:left="720" w:hanging="360"/>
      </w:pPr>
      <w:r>
        <w:rPr>
          <w:rFonts w:ascii="Poppins" w:hAnsi="Poppins"/>
          <w:sz w:val="20"/>
        </w:rPr>
        <w:t>•</w:t>
        <w:tab/>
        <w:t>Illustration – which explains the impact of charges on your investment based on the funds you are invested in;</w:t>
      </w:r>
    </w:p>
    <w:p>
      <w:pPr>
        <w:ind w:left="720" w:hanging="360"/>
      </w:pPr>
      <w:r>
        <w:rPr>
          <w:rFonts w:ascii="Poppins" w:hAnsi="Poppins"/>
          <w:sz w:val="20"/>
        </w:rPr>
        <w:t>•</w:t>
        <w:tab/>
        <w:t>Understanding the Balance Between Risk and Reward – which explains investment risk and information about the risk ratings and special risk factors relating to our range of funds;</w:t>
      </w:r>
    </w:p>
    <w:p/>
    <w:p>
      <w:r>
        <w:rPr>
          <w:rFonts w:ascii="Poppins" w:hAnsi="Poppins"/>
          <w:sz w:val="20"/>
        </w:rPr>
        <w:t>It is important that you have read and understood these documents and I suggest you keep them with this report. Please let me know should you have any questions in respect of these.</w:t>
      </w:r>
    </w:p>
    <w:p/>
    <w:p>
      <w:pPr>
        <w:spacing w:before="120" w:after="120"/>
      </w:pPr>
      <w:r>
        <w:rPr>
          <w:rFonts w:ascii="Poppins SemiBold" w:hAnsi="Poppins SemiBold"/>
          <w:color w:val="0F1E3C"/>
          <w:sz w:val="24"/>
        </w:rPr>
        <w:t>Ongoing Advice</w:t>
      </w:r>
    </w:p>
    <w:p>
      <w:r>
        <w:rPr>
          <w:rFonts w:ascii="Poppins" w:hAnsi="Poppins"/>
          <w:sz w:val="20"/>
        </w:rPr>
        <w:t>A key element of financial planning is conducting regular reviews of your circumstances to ensure the course of action taken today remains appropriate, as it is likely your objectives and circumstances will change over time.</w:t>
      </w:r>
    </w:p>
    <w:p/>
    <w:p>
      <w:r>
        <w:rPr>
          <w:rFonts w:ascii="Poppins" w:hAnsi="Poppins"/>
          <w:sz w:val="20"/>
        </w:rPr>
        <w:t>As part of my ongoing service, I will contact you on at least an annual basis to arrange face-to-face review meetings and I will also be available via phone or email should you have any queries that you wish to discuss. You will also receive an annual statement in respect of your investments.</w:t>
      </w:r>
    </w:p>
    <w:p/>
    <w:p>
      <w:pPr>
        <w:spacing w:before="120" w:after="120"/>
      </w:pPr>
      <w:r>
        <w:rPr>
          <w:rFonts w:ascii="Poppins SemiBold" w:hAnsi="Poppins SemiBold"/>
          <w:color w:val="0F1E3C"/>
          <w:sz w:val="24"/>
        </w:rPr>
        <w:t>Next Steps</w:t>
      </w:r>
    </w:p>
    <w:p>
      <w:r>
        <w:rPr>
          <w:rFonts w:ascii="Poppins" w:hAnsi="Poppins"/>
          <w:sz w:val="20"/>
        </w:rPr>
        <w:t>Please find enclosed my recommendation and once agreed I will forward your application for processing meaning you should receive confirmation of your investment shortly.</w:t>
      </w:r>
    </w:p>
    <w:p/>
    <w:p>
      <w:r>
        <w:rPr>
          <w:rFonts w:ascii="Poppins" w:hAnsi="Poppins"/>
          <w:sz w:val="20"/>
        </w:rPr>
        <w:t>I have explained your money will not be invested in the time between cashing in your existing funds and the proceeds being re-invested with St. James's Place. While the proceeds are not invested, you will not benefit from any increase in the value of your chosen funds and you will also not suffer from any reduction in their value.</w:t>
      </w:r>
    </w:p>
    <w:p/>
    <w:p>
      <w:r>
        <w:rPr>
          <w:rFonts w:ascii="Poppins" w:hAnsi="Poppins"/>
          <w:sz w:val="20"/>
        </w:rPr>
        <w:t>In the meantime, if anything within this report is incorrect or you have any questions about its contents or any of the documents I have provided you with, please contact me using the details I have previously supplied you with.</w:t>
      </w:r>
    </w:p>
    <w:p/>
    <w:p>
      <w:r>
        <w:rPr>
          <w:rFonts w:ascii="Poppins" w:hAnsi="Poppins"/>
          <w:sz w:val="20"/>
        </w:rPr>
        <w:t>Yours sincerely,</w:t>
      </w:r>
    </w:p>
    <w:p/>
    <w:p/>
    <w:p>
      <w:r>
        <w:rPr>
          <w:rFonts w:ascii="Poppins" w:hAnsi="Poppins"/>
          <w:b/>
          <w:sz w:val="20"/>
        </w:rPr>
        <w:t>Peter Ryan</w:t>
      </w:r>
    </w:p>
    <w:p>
      <w:r>
        <w:rPr>
          <w:rFonts w:ascii="Poppins" w:hAnsi="Poppins"/>
          <w:sz w:val="20"/>
        </w:rPr>
        <w:t>Financial Adviser</w:t>
      </w:r>
    </w:p>
    <w:p>
      <w:r>
        <w:rPr>
          <w:rFonts w:ascii="Poppins" w:hAnsi="Poppins"/>
          <w:sz w:val="20"/>
        </w:rPr>
        <w:t>Bradbys Wealth Management</w:t>
      </w:r>
    </w:p>
    <w:p>
      <w:r>
        <w:br w:type="page"/>
      </w:r>
    </w:p>
    <w:p>
      <w:pPr>
        <w:spacing w:after="120"/>
      </w:pPr>
      <w:r>
        <w:rPr>
          <w:rFonts w:ascii="Noe Display SJP Bold" w:hAnsi="Noe Display SJP Bold"/>
          <w:color w:val="0F1E3C"/>
          <w:sz w:val="40"/>
        </w:rPr>
        <w:t>Part 1 - Your Objectives, Needs and Circumstances</w:t>
      </w:r>
    </w:p>
    <w:p/>
    <w:p>
      <w:pPr>
        <w:spacing w:before="120" w:after="120"/>
      </w:pPr>
      <w:r>
        <w:rPr>
          <w:rFonts w:ascii="Poppins SemiBold" w:hAnsi="Poppins SemiBold"/>
          <w:color w:val="0F1E3C"/>
          <w:sz w:val="24"/>
        </w:rPr>
        <w:t>Your Immediate Objectives</w:t>
      </w:r>
    </w:p>
    <w:p/>
    <w:p>
      <w:r>
        <w:rPr>
          <w:rFonts w:ascii="Poppins" w:hAnsi="Poppins"/>
          <w:sz w:val="20"/>
        </w:rPr>
        <w:t>During our discussions, we spoke in depth around your objectives regarding your retirement planning. We agreed your overall objectives were to:</w:t>
      </w:r>
    </w:p>
    <w:p/>
    <w:p>
      <w:pPr>
        <w:ind w:left="720" w:hanging="360"/>
      </w:pPr>
      <w:r>
        <w:rPr>
          <w:rFonts w:ascii="Poppins" w:hAnsi="Poppins"/>
          <w:sz w:val="20"/>
        </w:rPr>
        <w:t>•</w:t>
        <w:tab/>
        <w:t>invest for your retirement</w:t>
      </w:r>
    </w:p>
    <w:p>
      <w:pPr>
        <w:ind w:left="720" w:hanging="360"/>
      </w:pPr>
      <w:r>
        <w:rPr>
          <w:rFonts w:ascii="Poppins" w:hAnsi="Poppins"/>
          <w:sz w:val="20"/>
        </w:rPr>
        <w:t>•</w:t>
        <w:tab/>
        <w:t>access ongoing service and advice</w:t>
      </w:r>
    </w:p>
    <w:p>
      <w:pPr>
        <w:ind w:left="720" w:hanging="360"/>
      </w:pPr>
      <w:r>
        <w:rPr>
          <w:rFonts w:ascii="Poppins" w:hAnsi="Poppins"/>
          <w:sz w:val="20"/>
        </w:rPr>
        <w:t>•</w:t>
        <w:tab/>
        <w:t>utilise the St. James's Place Investment Management Approach</w:t>
      </w:r>
    </w:p>
    <w:p>
      <w:pPr>
        <w:ind w:left="720" w:hanging="360"/>
      </w:pPr>
      <w:r>
        <w:rPr>
          <w:rFonts w:ascii="Poppins" w:hAnsi="Poppins"/>
          <w:sz w:val="20"/>
        </w:rPr>
        <w:t>•</w:t>
        <w:tab/>
        <w:t>consolidate your pension arrangements</w:t>
      </w:r>
    </w:p>
    <w:p/>
    <w:p>
      <w:r>
        <w:rPr>
          <w:rFonts w:ascii="Poppins" w:hAnsi="Poppins"/>
          <w:sz w:val="20"/>
        </w:rPr>
        <w:t>You wish to invest funds for future benefits. You believe that the earliest possible age you will need to access these funds is 65.</w:t>
      </w:r>
    </w:p>
    <w:p/>
    <w:p>
      <w:r>
        <w:rPr>
          <w:rFonts w:ascii="Poppins" w:hAnsi="Poppins"/>
          <w:sz w:val="20"/>
        </w:rPr>
        <w:t>You like the idea of the service and ongoing advice which I am able to offer on an ongoing basis. You believe this will be of benefit to you in the future because you are keen to continue benefitting from professional, face-to-face advice from an adviser you feel you can trust and who understands your financial needs.</w:t>
      </w:r>
    </w:p>
    <w:p/>
    <w:p>
      <w:r>
        <w:rPr>
          <w:rFonts w:ascii="Poppins" w:hAnsi="Poppins"/>
          <w:sz w:val="20"/>
        </w:rPr>
        <w:t>At St. James's Place, we do not employ our own investment managers but select from the best managers around the world to manage our funds. I also described the role of the Investment Committee, our in-house team of analysts, and independent consultancies in the selection, monitoring and, when necessary, changing of these managers.</w:t>
      </w:r>
    </w:p>
    <w:p/>
    <w:p>
      <w:r>
        <w:rPr>
          <w:rFonts w:ascii="Poppins" w:hAnsi="Poppins"/>
          <w:sz w:val="20"/>
        </w:rPr>
        <w:t>Following our discussions and the information provided, you told me you believed the St. James's Place Approach to Investment Management will benefit you because you like the diversification approach offered to reduce risk and the active investment management approach that identifies poorly performing fund managers, which are then removed and replaced by our investment management team.</w:t>
      </w:r>
    </w:p>
    <w:p/>
    <w:p>
      <w:r>
        <w:rPr>
          <w:rFonts w:ascii="Poppins" w:hAnsi="Poppins"/>
          <w:sz w:val="20"/>
        </w:rPr>
        <w:t>Based on this I recommended the St. James's Place Approach to Investment Management to you.</w:t>
      </w:r>
    </w:p>
    <w:p/>
    <w:p>
      <w:r>
        <w:rPr>
          <w:rFonts w:ascii="Poppins" w:hAnsi="Poppins"/>
          <w:sz w:val="20"/>
        </w:rPr>
        <w:t>You want to consolidate your Scottish Widows Plan into your existing St. James's Place retirement account. You believe this will simplify the administration of your retirement planning as you will reduce the number of providers your funds are held with from three to two. In addition, this approach allows you to benefit from my ongoing advice and the convenience of face-to-face support, which is not offered through your existing arrangement with Scottish Widows. Additionally, without industry specific knowledge and investment expertise you find managing your plan alone cumbersome and therefore do not feel that your plan is working as hard as it could be for you.</w:t>
      </w:r>
    </w:p>
    <w:p/>
    <w:p>
      <w:r>
        <w:rPr>
          <w:rFonts w:ascii="Poppins" w:hAnsi="Poppins"/>
          <w:sz w:val="20"/>
        </w:rPr>
        <w:t>Having considered each of your objectives, the key factors that I took into consideration when considering a potential recommendation were:</w:t>
      </w:r>
    </w:p>
    <w:p/>
    <w:p>
      <w:pPr>
        <w:ind w:left="720" w:hanging="360"/>
      </w:pPr>
      <w:r>
        <w:rPr>
          <w:rFonts w:ascii="Poppins" w:hAnsi="Poppins"/>
          <w:sz w:val="20"/>
        </w:rPr>
        <w:t>•</w:t>
        <w:tab/>
        <w:t>your desire to invest for your retirement</w:t>
      </w:r>
    </w:p>
    <w:p>
      <w:pPr>
        <w:ind w:left="720" w:hanging="360"/>
      </w:pPr>
      <w:r>
        <w:rPr>
          <w:rFonts w:ascii="Poppins" w:hAnsi="Poppins"/>
          <w:sz w:val="20"/>
        </w:rPr>
        <w:t>•</w:t>
        <w:tab/>
        <w:t>the ongoing service and advice that you want</w:t>
      </w:r>
    </w:p>
    <w:p>
      <w:pPr>
        <w:ind w:left="720" w:hanging="360"/>
      </w:pPr>
      <w:r>
        <w:rPr>
          <w:rFonts w:ascii="Poppins" w:hAnsi="Poppins"/>
          <w:sz w:val="20"/>
        </w:rPr>
        <w:t>•</w:t>
        <w:tab/>
        <w:t>the St. James's Place Investment Management Approach</w:t>
      </w:r>
    </w:p>
    <w:p>
      <w:pPr>
        <w:ind w:left="720" w:hanging="360"/>
      </w:pPr>
      <w:r>
        <w:rPr>
          <w:rFonts w:ascii="Poppins" w:hAnsi="Poppins"/>
          <w:sz w:val="20"/>
        </w:rPr>
        <w:t>•</w:t>
        <w:tab/>
        <w:t>the flexibility required when taking benefits</w:t>
      </w:r>
    </w:p>
    <w:p>
      <w:pPr>
        <w:ind w:left="720" w:hanging="360"/>
      </w:pPr>
      <w:r>
        <w:rPr>
          <w:rFonts w:ascii="Poppins" w:hAnsi="Poppins"/>
          <w:sz w:val="20"/>
        </w:rPr>
        <w:t>•</w:t>
        <w:tab/>
        <w:t>your requirement for regular reviews</w:t>
      </w:r>
    </w:p>
    <w:p/>
    <w:p>
      <w:pPr>
        <w:spacing w:before="120" w:after="120"/>
      </w:pPr>
      <w:r>
        <w:rPr>
          <w:rFonts w:ascii="Poppins SemiBold" w:hAnsi="Poppins SemiBold"/>
          <w:color w:val="0F1E3C"/>
          <w:sz w:val="24"/>
        </w:rPr>
        <w:t>Pension Arrangements</w:t>
      </w:r>
    </w:p>
    <w:p/>
    <w:p>
      <w:r>
        <w:rPr>
          <w:rFonts w:ascii="Poppins" w:hAnsi="Poppins"/>
          <w:sz w:val="20"/>
        </w:rPr>
        <w:t>You currently have the following pension arrangements in place:</w:t>
      </w:r>
    </w:p>
    <w:p/>
    <w:tbl>
      <w:tblPr>
        <w:tblStyle w:val="TableGrid"/>
        <w:tblW w:type="auto" w:w="0"/>
        <w:tblLayout w:type="fixed"/>
        <w:tblLook w:firstColumn="1" w:firstRow="1" w:lastColumn="0" w:lastRow="0" w:noHBand="0" w:noVBand="1" w:val="04A0"/>
      </w:tblPr>
      <w:tblGrid>
        <w:gridCol w:w="1806"/>
        <w:gridCol w:w="1806"/>
        <w:gridCol w:w="1806"/>
        <w:gridCol w:w="1806"/>
        <w:gridCol w:w="1806"/>
      </w:tblGrid>
      <w:tr>
        <w:tc>
          <w:tcPr>
            <w:tcW w:type="dxa" w:w="1806"/>
            <w:shd w:fill="3FDCC8" w:val="clear"/>
            <w:vAlign w:val="center"/>
          </w:tcPr>
          <w:p>
            <w:pPr>
              <w:jc w:val="center"/>
            </w:pPr>
            <w:r>
              <w:rPr>
                <w:rFonts w:ascii="Poppins" w:hAnsi="Poppins"/>
                <w:b/>
                <w:sz w:val="18"/>
              </w:rPr>
              <w:t>Provider Type of Plan / Plan Number</w:t>
            </w:r>
          </w:p>
        </w:tc>
        <w:tc>
          <w:tcPr>
            <w:tcW w:type="dxa" w:w="1806"/>
            <w:shd w:fill="3FDCC8" w:val="clear"/>
            <w:vAlign w:val="center"/>
          </w:tcPr>
          <w:p>
            <w:pPr>
              <w:jc w:val="center"/>
            </w:pPr>
            <w:r>
              <w:rPr>
                <w:rFonts w:ascii="Poppins" w:hAnsi="Poppins"/>
                <w:b/>
                <w:sz w:val="18"/>
              </w:rPr>
              <w:t>Current Value</w:t>
            </w:r>
          </w:p>
        </w:tc>
        <w:tc>
          <w:tcPr>
            <w:tcW w:type="dxa" w:w="1806"/>
            <w:shd w:fill="3FDCC8" w:val="clear"/>
            <w:vAlign w:val="center"/>
          </w:tcPr>
          <w:p>
            <w:pPr>
              <w:jc w:val="center"/>
            </w:pPr>
            <w:r>
              <w:rPr>
                <w:rFonts w:ascii="Poppins" w:hAnsi="Poppins"/>
                <w:b/>
                <w:sz w:val="18"/>
              </w:rPr>
              <w:t>Transfer Value</w:t>
            </w:r>
          </w:p>
        </w:tc>
        <w:tc>
          <w:tcPr>
            <w:tcW w:type="dxa" w:w="1806"/>
            <w:shd w:fill="3FDCC8" w:val="clear"/>
            <w:vAlign w:val="center"/>
          </w:tcPr>
          <w:p>
            <w:pPr>
              <w:jc w:val="center"/>
            </w:pPr>
            <w:r>
              <w:rPr>
                <w:rFonts w:ascii="Poppins" w:hAnsi="Poppins"/>
                <w:b/>
                <w:sz w:val="18"/>
              </w:rPr>
              <w:t>Ongoing Contribution</w:t>
            </w:r>
          </w:p>
        </w:tc>
        <w:tc>
          <w:tcPr>
            <w:tcW w:type="dxa" w:w="1806"/>
            <w:shd w:fill="3FDCC8" w:val="clear"/>
            <w:vAlign w:val="center"/>
          </w:tcPr>
          <w:p>
            <w:pPr>
              <w:jc w:val="center"/>
            </w:pPr>
            <w:r>
              <w:rPr>
                <w:rFonts w:ascii="Poppins" w:hAnsi="Poppins"/>
                <w:b/>
                <w:sz w:val="18"/>
              </w:rPr>
              <w:t>Proposed Action</w:t>
            </w:r>
          </w:p>
        </w:tc>
      </w:tr>
      <w:tr>
        <w:tc>
          <w:tcPr>
            <w:tcW w:type="dxa" w:w="1806"/>
            <w:vAlign w:val="center"/>
          </w:tcPr>
          <w:p>
            <w:pPr>
              <w:jc w:val="center"/>
            </w:pPr>
            <w:r>
              <w:rPr>
                <w:rFonts w:ascii="Poppins" w:hAnsi="Poppins"/>
                <w:sz w:val="18"/>
              </w:rPr>
              <w:t>St. James's Place Retirement Account RA267073640001</w:t>
            </w:r>
          </w:p>
        </w:tc>
        <w:tc>
          <w:tcPr>
            <w:tcW w:type="dxa" w:w="1806"/>
            <w:vAlign w:val="center"/>
          </w:tcPr>
          <w:p>
            <w:pPr>
              <w:jc w:val="center"/>
            </w:pPr>
            <w:r>
              <w:rPr>
                <w:rFonts w:ascii="Poppins" w:hAnsi="Poppins"/>
                <w:sz w:val="18"/>
              </w:rPr>
              <w:t>£189,850.06</w:t>
            </w:r>
          </w:p>
        </w:tc>
        <w:tc>
          <w:tcPr>
            <w:tcW w:type="dxa" w:w="1806"/>
            <w:vAlign w:val="center"/>
          </w:tcPr>
          <w:p>
            <w:pPr>
              <w:jc w:val="center"/>
            </w:pPr>
            <w:r>
              <w:rPr>
                <w:rFonts w:ascii="Poppins" w:hAnsi="Poppins"/>
                <w:sz w:val="18"/>
              </w:rPr>
              <w:t>£185,974.14</w:t>
            </w:r>
          </w:p>
        </w:tc>
        <w:tc>
          <w:tcPr>
            <w:tcW w:type="dxa" w:w="1806"/>
            <w:vAlign w:val="center"/>
          </w:tcPr>
          <w:p>
            <w:pPr>
              <w:jc w:val="center"/>
            </w:pPr>
            <w:r>
              <w:rPr>
                <w:rFonts w:ascii="Poppins" w:hAnsi="Poppins"/>
                <w:sz w:val="18"/>
              </w:rPr>
              <w:t>None</w:t>
            </w:r>
          </w:p>
        </w:tc>
        <w:tc>
          <w:tcPr>
            <w:tcW w:type="dxa" w:w="1806"/>
            <w:vAlign w:val="center"/>
          </w:tcPr>
          <w:p>
            <w:pPr>
              <w:jc w:val="center"/>
            </w:pPr>
            <w:r>
              <w:rPr>
                <w:rFonts w:ascii="Poppins" w:hAnsi="Poppins"/>
                <w:sz w:val="18"/>
              </w:rPr>
              <w:t>None</w:t>
            </w:r>
          </w:p>
        </w:tc>
      </w:tr>
      <w:tr>
        <w:tc>
          <w:tcPr>
            <w:tcW w:type="dxa" w:w="1806"/>
            <w:vAlign w:val="center"/>
          </w:tcPr>
          <w:p>
            <w:pPr>
              <w:jc w:val="center"/>
            </w:pPr>
            <w:r>
              <w:rPr>
                <w:rFonts w:ascii="Poppins" w:hAnsi="Poppins"/>
                <w:sz w:val="18"/>
              </w:rPr>
              <w:t>Scottish Widows Group Personal Pension SW3223427</w:t>
            </w:r>
          </w:p>
        </w:tc>
        <w:tc>
          <w:tcPr>
            <w:tcW w:type="dxa" w:w="1806"/>
            <w:vAlign w:val="center"/>
          </w:tcPr>
          <w:p>
            <w:pPr>
              <w:jc w:val="center"/>
            </w:pPr>
            <w:r>
              <w:rPr>
                <w:rFonts w:ascii="Poppins" w:hAnsi="Poppins"/>
                <w:sz w:val="18"/>
              </w:rPr>
              <w:t>£356,385.50</w:t>
            </w:r>
          </w:p>
        </w:tc>
        <w:tc>
          <w:tcPr>
            <w:tcW w:type="dxa" w:w="1806"/>
            <w:vAlign w:val="center"/>
          </w:tcPr>
          <w:p>
            <w:pPr>
              <w:jc w:val="center"/>
            </w:pPr>
            <w:r>
              <w:rPr>
                <w:rFonts w:ascii="Poppins" w:hAnsi="Poppins"/>
                <w:sz w:val="18"/>
              </w:rPr>
              <w:t>£356,385.50</w:t>
            </w:r>
          </w:p>
        </w:tc>
        <w:tc>
          <w:tcPr>
            <w:tcW w:type="dxa" w:w="1806"/>
            <w:vAlign w:val="center"/>
          </w:tcPr>
          <w:p>
            <w:pPr>
              <w:jc w:val="center"/>
            </w:pPr>
            <w:r>
              <w:rPr>
                <w:rFonts w:ascii="Poppins" w:hAnsi="Poppins"/>
                <w:sz w:val="18"/>
              </w:rPr>
              <w:t>None</w:t>
            </w:r>
          </w:p>
        </w:tc>
        <w:tc>
          <w:tcPr>
            <w:tcW w:type="dxa" w:w="1806"/>
            <w:vAlign w:val="center"/>
          </w:tcPr>
          <w:p>
            <w:pPr>
              <w:jc w:val="center"/>
            </w:pPr>
            <w:r>
              <w:rPr>
                <w:rFonts w:ascii="Poppins" w:hAnsi="Poppins"/>
                <w:sz w:val="18"/>
              </w:rPr>
              <w:t>Transfer</w:t>
            </w:r>
          </w:p>
        </w:tc>
      </w:tr>
      <w:tr>
        <w:tc>
          <w:tcPr>
            <w:tcW w:type="dxa" w:w="1806"/>
            <w:vAlign w:val="center"/>
          </w:tcPr>
          <w:p>
            <w:pPr>
              <w:jc w:val="center"/>
            </w:pPr>
            <w:r>
              <w:rPr>
                <w:rFonts w:ascii="Poppins" w:hAnsi="Poppins"/>
                <w:sz w:val="18"/>
              </w:rPr>
              <w:t>Aviva Group Personal Pension - TK13341044</w:t>
            </w:r>
          </w:p>
        </w:tc>
        <w:tc>
          <w:tcPr>
            <w:tcW w:type="dxa" w:w="1806"/>
            <w:vAlign w:val="center"/>
          </w:tcPr>
          <w:p>
            <w:pPr>
              <w:jc w:val="center"/>
            </w:pPr>
            <w:r>
              <w:rPr>
                <w:rFonts w:ascii="Poppins" w:hAnsi="Poppins"/>
                <w:sz w:val="18"/>
              </w:rPr>
              <w:t>£4,015.03</w:t>
            </w:r>
          </w:p>
        </w:tc>
        <w:tc>
          <w:tcPr>
            <w:tcW w:type="dxa" w:w="1806"/>
            <w:vAlign w:val="center"/>
          </w:tcPr>
          <w:p>
            <w:pPr>
              <w:jc w:val="center"/>
            </w:pPr>
            <w:r>
              <w:rPr>
                <w:rFonts w:ascii="Poppins" w:hAnsi="Poppins"/>
                <w:sz w:val="18"/>
              </w:rPr>
              <w:t>£4,015.03</w:t>
            </w:r>
          </w:p>
        </w:tc>
        <w:tc>
          <w:tcPr>
            <w:tcW w:type="dxa" w:w="1806"/>
            <w:vAlign w:val="center"/>
          </w:tcPr>
          <w:p>
            <w:pPr>
              <w:jc w:val="center"/>
            </w:pPr>
            <w:r>
              <w:rPr>
                <w:rFonts w:ascii="Poppins" w:hAnsi="Poppins"/>
                <w:sz w:val="18"/>
              </w:rPr>
              <w:t>£1,989.27 p.m.</w:t>
            </w:r>
          </w:p>
        </w:tc>
        <w:tc>
          <w:tcPr>
            <w:tcW w:type="dxa" w:w="1806"/>
            <w:vAlign w:val="center"/>
          </w:tcPr>
          <w:p>
            <w:pPr>
              <w:jc w:val="center"/>
            </w:pPr>
            <w:r>
              <w:rPr>
                <w:rFonts w:ascii="Poppins" w:hAnsi="Poppins"/>
                <w:sz w:val="18"/>
              </w:rPr>
              <w:t>None</w:t>
            </w:r>
          </w:p>
        </w:tc>
      </w:tr>
    </w:tbl>
    <w:p/>
    <w:p>
      <w:pPr>
        <w:spacing w:before="120" w:after="120"/>
      </w:pPr>
      <w:r>
        <w:rPr>
          <w:rFonts w:ascii="Poppins SemiBold" w:hAnsi="Poppins SemiBold"/>
          <w:color w:val="0F1E3C"/>
          <w:sz w:val="24"/>
        </w:rPr>
        <w:t>Scottish Widows Group Personal Pension SW3223427</w:t>
      </w:r>
    </w:p>
    <w:p>
      <w:pPr>
        <w:ind w:left="720" w:hanging="360"/>
      </w:pPr>
      <w:r>
        <w:rPr>
          <w:rFonts w:ascii="Poppins" w:hAnsi="Poppins"/>
          <w:sz w:val="20"/>
        </w:rPr>
        <w:t>•</w:t>
        <w:tab/>
        <w:t>This plan commenced on 28 September 2013</w:t>
      </w:r>
    </w:p>
    <w:p>
      <w:pPr>
        <w:ind w:left="720" w:hanging="360"/>
      </w:pPr>
      <w:r>
        <w:rPr>
          <w:rFonts w:ascii="Poppins" w:hAnsi="Poppins"/>
          <w:sz w:val="20"/>
        </w:rPr>
        <w:t>•</w:t>
        <w:tab/>
        <w:t>Contributions into the plan were being paid by your previous employer and have ceased now that you have left their employment.</w:t>
      </w:r>
    </w:p>
    <w:p>
      <w:pPr>
        <w:ind w:left="720" w:hanging="360"/>
      </w:pPr>
      <w:r>
        <w:rPr>
          <w:rFonts w:ascii="Poppins" w:hAnsi="Poppins"/>
          <w:sz w:val="20"/>
        </w:rPr>
        <w:t>•</w:t>
        <w:tab/>
        <w:t>The last contribution was paid on 21 August 2025</w:t>
      </w:r>
    </w:p>
    <w:p>
      <w:pPr>
        <w:ind w:left="720" w:hanging="360"/>
      </w:pPr>
      <w:r>
        <w:rPr>
          <w:rFonts w:ascii="Poppins" w:hAnsi="Poppins"/>
          <w:sz w:val="20"/>
        </w:rPr>
        <w:t>•</w:t>
        <w:tab/>
        <w:t>The plan has previously had 2 transfers in</w:t>
      </w:r>
    </w:p>
    <w:p>
      <w:pPr>
        <w:ind w:left="720" w:hanging="360"/>
      </w:pPr>
      <w:r>
        <w:rPr>
          <w:rFonts w:ascii="Poppins" w:hAnsi="Poppins"/>
          <w:sz w:val="20"/>
        </w:rPr>
        <w:t>•</w:t>
        <w:tab/>
        <w:t>Your plan has never had a bulk/block transfer in</w:t>
      </w:r>
    </w:p>
    <w:p>
      <w:pPr>
        <w:ind w:left="720" w:hanging="360"/>
      </w:pPr>
      <w:r>
        <w:rPr>
          <w:rFonts w:ascii="Poppins" w:hAnsi="Poppins"/>
          <w:sz w:val="20"/>
        </w:rPr>
        <w:t>•</w:t>
        <w:tab/>
        <w:t>The scheme has confirmed that no protected tax-free cash applies, the maximum tax-free cash at retirement would be 25%</w:t>
      </w:r>
    </w:p>
    <w:p>
      <w:pPr>
        <w:ind w:left="720" w:hanging="360"/>
      </w:pPr>
      <w:r>
        <w:rPr>
          <w:rFonts w:ascii="Poppins" w:hAnsi="Poppins"/>
          <w:sz w:val="20"/>
        </w:rPr>
        <w:t>•</w:t>
        <w:tab/>
        <w:t>Your plan is invested in as follows:</w:t>
      </w:r>
    </w:p>
    <w:p>
      <w:pPr>
        <w:ind w:left="1080"/>
      </w:pPr>
      <w:r>
        <w:rPr>
          <w:rFonts w:ascii="Poppins" w:hAnsi="Poppins"/>
          <w:sz w:val="20"/>
        </w:rPr>
        <w:t>o   Scottish Widows Pension Portfolio Four CSB                 £64,945.44</w:t>
      </w:r>
    </w:p>
    <w:p>
      <w:pPr>
        <w:ind w:left="1080"/>
      </w:pPr>
      <w:r>
        <w:rPr>
          <w:rFonts w:ascii="Poppins" w:hAnsi="Poppins"/>
          <w:sz w:val="20"/>
        </w:rPr>
        <w:t>o   Scottish Widows Pension Portfolio Three CSB                 £291,440.06</w:t>
      </w:r>
    </w:p>
    <w:p>
      <w:pPr>
        <w:ind w:left="720" w:hanging="360"/>
      </w:pPr>
      <w:r>
        <w:rPr>
          <w:rFonts w:ascii="Poppins" w:hAnsi="Poppins"/>
          <w:sz w:val="20"/>
        </w:rPr>
        <w:t>•</w:t>
        <w:tab/>
        <w:t>The only charges applicable to the plan are:</w:t>
      </w:r>
    </w:p>
    <w:p>
      <w:pPr>
        <w:ind w:left="1080"/>
      </w:pPr>
      <w:r>
        <w:rPr>
          <w:rFonts w:ascii="Poppins" w:hAnsi="Poppins"/>
          <w:sz w:val="20"/>
        </w:rPr>
        <w:t>o   Annual management charge                              0.15%</w:t>
      </w:r>
    </w:p>
    <w:p>
      <w:pPr>
        <w:ind w:left="1080"/>
      </w:pPr>
      <w:r>
        <w:rPr>
          <w:rFonts w:ascii="Poppins" w:hAnsi="Poppins"/>
          <w:sz w:val="20"/>
        </w:rPr>
        <w:t>o   Fund charge                                           0.10%</w:t>
      </w:r>
    </w:p>
    <w:p>
      <w:pPr>
        <w:ind w:left="720" w:hanging="360"/>
      </w:pPr>
      <w:r>
        <w:rPr>
          <w:rFonts w:ascii="Poppins" w:hAnsi="Poppins"/>
          <w:sz w:val="20"/>
        </w:rPr>
        <w:t>•</w:t>
        <w:tab/>
        <w:t>There is no discount, loyalty bonus or tiered charging</w:t>
      </w:r>
    </w:p>
    <w:p>
      <w:pPr>
        <w:ind w:left="720" w:hanging="360"/>
      </w:pPr>
      <w:r>
        <w:rPr>
          <w:rFonts w:ascii="Poppins" w:hAnsi="Poppins"/>
          <w:sz w:val="20"/>
        </w:rPr>
        <w:t>•</w:t>
        <w:tab/>
        <w:t>There is no annual policy fee nor any other charges including exit charges</w:t>
      </w:r>
    </w:p>
    <w:p>
      <w:pPr>
        <w:ind w:left="720" w:hanging="360"/>
      </w:pPr>
      <w:r>
        <w:rPr>
          <w:rFonts w:ascii="Poppins" w:hAnsi="Poppins"/>
          <w:sz w:val="20"/>
        </w:rPr>
        <w:t>•</w:t>
        <w:tab/>
        <w:t>You have paid no initial charges.</w:t>
      </w:r>
    </w:p>
    <w:p>
      <w:pPr>
        <w:ind w:left="720" w:hanging="360"/>
      </w:pPr>
      <w:r>
        <w:rPr>
          <w:rFonts w:ascii="Poppins" w:hAnsi="Poppins"/>
          <w:sz w:val="20"/>
        </w:rPr>
        <w:t>•</w:t>
        <w:tab/>
        <w:t>Your plan is invested in a lifestyle strategy</w:t>
      </w:r>
    </w:p>
    <w:p>
      <w:pPr>
        <w:ind w:left="720" w:hanging="360"/>
      </w:pPr>
      <w:r>
        <w:rPr>
          <w:rFonts w:ascii="Poppins" w:hAnsi="Poppins"/>
          <w:sz w:val="20"/>
        </w:rPr>
        <w:t>•</w:t>
        <w:tab/>
        <w:t>There is no bid offer spread</w:t>
      </w:r>
    </w:p>
    <w:p>
      <w:pPr>
        <w:ind w:left="720" w:hanging="360"/>
      </w:pPr>
      <w:r>
        <w:rPr>
          <w:rFonts w:ascii="Poppins" w:hAnsi="Poppins"/>
          <w:sz w:val="20"/>
        </w:rPr>
        <w:t>•</w:t>
        <w:tab/>
        <w:t>Allocation rate is 100%</w:t>
      </w:r>
    </w:p>
    <w:p>
      <w:pPr>
        <w:ind w:left="720" w:hanging="360"/>
      </w:pPr>
      <w:r>
        <w:rPr>
          <w:rFonts w:ascii="Poppins" w:hAnsi="Poppins"/>
          <w:sz w:val="20"/>
        </w:rPr>
        <w:t>•</w:t>
        <w:tab/>
        <w:t>The plan does not contain GMP, RST, GAR, Enhanced tax-free cash in excess of 25%, With Profits, MVR, loyalty bonus, waiver of contributions or any additional life cover</w:t>
      </w:r>
    </w:p>
    <w:p>
      <w:pPr>
        <w:ind w:left="720" w:hanging="360"/>
      </w:pPr>
      <w:r>
        <w:rPr>
          <w:rFonts w:ascii="Poppins" w:hAnsi="Poppins"/>
          <w:sz w:val="20"/>
        </w:rPr>
        <w:t>•</w:t>
        <w:tab/>
        <w:t>There is no adviser attached to this plan nor one available through the scheme nor any adviser charging</w:t>
      </w:r>
    </w:p>
    <w:p>
      <w:pPr>
        <w:ind w:left="720" w:hanging="360"/>
      </w:pPr>
      <w:r>
        <w:rPr>
          <w:rFonts w:ascii="Poppins" w:hAnsi="Poppins"/>
          <w:sz w:val="20"/>
        </w:rPr>
        <w:t>•</w:t>
        <w:tab/>
        <w:t>The death benefit is a return of fund value</w:t>
      </w:r>
    </w:p>
    <w:p>
      <w:pPr>
        <w:ind w:left="720" w:hanging="360"/>
      </w:pPr>
      <w:r>
        <w:rPr>
          <w:rFonts w:ascii="Poppins" w:hAnsi="Poppins"/>
          <w:sz w:val="20"/>
        </w:rPr>
        <w:t>•</w:t>
        <w:tab/>
        <w:t>There will be no reduction in tax-free cash on the transfer to another pension provider</w:t>
      </w:r>
    </w:p>
    <w:p>
      <w:pPr>
        <w:ind w:left="720" w:hanging="360"/>
      </w:pPr>
      <w:r>
        <w:rPr>
          <w:rFonts w:ascii="Poppins" w:hAnsi="Poppins"/>
          <w:sz w:val="20"/>
        </w:rPr>
        <w:t>•</w:t>
        <w:tab/>
        <w:t>The plan does facilitate full UFPLS and partial UFPLS</w:t>
      </w:r>
    </w:p>
    <w:p>
      <w:pPr>
        <w:ind w:left="720" w:hanging="360"/>
      </w:pPr>
      <w:r>
        <w:rPr>
          <w:rFonts w:ascii="Poppins" w:hAnsi="Poppins"/>
          <w:sz w:val="20"/>
        </w:rPr>
        <w:t>•</w:t>
        <w:tab/>
        <w:t>Your plan does facilitate Flexi-Access Drawdown</w:t>
      </w:r>
    </w:p>
    <w:p>
      <w:pPr>
        <w:ind w:left="720" w:hanging="360"/>
      </w:pPr>
      <w:r>
        <w:rPr>
          <w:rFonts w:ascii="Poppins" w:hAnsi="Poppins"/>
          <w:sz w:val="20"/>
        </w:rPr>
        <w:t>•</w:t>
        <w:tab/>
        <w:t>Your plan value is as of 10 October 2025</w:t>
      </w:r>
    </w:p>
    <w:p/>
    <w:p>
      <w:pPr>
        <w:spacing w:before="120" w:after="120"/>
      </w:pPr>
      <w:r>
        <w:rPr>
          <w:rFonts w:ascii="Poppins SemiBold" w:hAnsi="Poppins SemiBold"/>
          <w:color w:val="0F1E3C"/>
          <w:sz w:val="24"/>
        </w:rPr>
        <w:t>Lump Sum Allowance (LSA) and Lump Sum and Death Benefit Allowance (LSDBA)</w:t>
      </w:r>
    </w:p>
    <w:p/>
    <w:p>
      <w:r>
        <w:rPr>
          <w:rFonts w:ascii="Poppins" w:hAnsi="Poppins"/>
          <w:sz w:val="20"/>
        </w:rPr>
        <w:t>The Lump Sum Allowance (LSA) is the maximum amount of tax-free lump sum which could be paid from your pensions during your lifetime.</w:t>
      </w:r>
    </w:p>
    <w:p/>
    <w:p>
      <w:r>
        <w:rPr>
          <w:rFonts w:ascii="Poppins" w:hAnsi="Poppins"/>
          <w:sz w:val="20"/>
        </w:rPr>
        <w:t>The Lump Sum and Death Benefit Allowance (LSDBA) is the maximum tax-free lump sum which can be paid from your pensions during your lifetime (but this is usually first limited by your LSA) and on your death if you die before age 75.</w:t>
      </w:r>
    </w:p>
    <w:p/>
    <w:p>
      <w:r>
        <w:rPr>
          <w:rFonts w:ascii="Poppins" w:hAnsi="Poppins"/>
          <w:sz w:val="20"/>
        </w:rPr>
        <w:t>When drawing pension benefits during your lifetime, the tax-free lump sum available is dependent on the value of your pension, as well as your remaining LSA and LSDBA at that point. Lump sums withdrawn over your remaining allowances will be subject to Income Tax.</w:t>
      </w:r>
    </w:p>
    <w:p/>
    <w:p>
      <w:r>
        <w:rPr>
          <w:rFonts w:ascii="Poppins" w:hAnsi="Poppins"/>
          <w:sz w:val="20"/>
        </w:rPr>
        <w:t>Your LSA is £268,275 and your LSDBA is £1.0731 million.</w:t>
      </w:r>
    </w:p>
    <w:p/>
    <w:p>
      <w:r>
        <w:rPr>
          <w:rFonts w:ascii="Poppins" w:hAnsi="Poppins"/>
          <w:b/>
          <w:sz w:val="20"/>
        </w:rPr>
        <w:t>You have not triggered the Money Purchase Annual Allowance (MPAA) of £10,000.00 because you have not accessed or taken any benefits from your pensions.</w:t>
      </w:r>
    </w:p>
    <w:p>
      <w:r>
        <w:br w:type="page"/>
      </w:r>
    </w:p>
    <w:p>
      <w:pPr>
        <w:spacing w:after="120"/>
      </w:pPr>
      <w:r>
        <w:rPr>
          <w:rFonts w:ascii="Noe Display SJP Bold" w:hAnsi="Noe Display SJP Bold"/>
          <w:color w:val="0F1E3C"/>
          <w:sz w:val="40"/>
        </w:rPr>
        <w:t>Part 2 - My Recommendation</w:t>
      </w:r>
    </w:p>
    <w:p/>
    <w:p>
      <w:pPr>
        <w:spacing w:before="120" w:after="120"/>
      </w:pPr>
      <w:r>
        <w:rPr>
          <w:rFonts w:ascii="Poppins SemiBold" w:hAnsi="Poppins SemiBold"/>
          <w:color w:val="0F1E3C"/>
          <w:sz w:val="24"/>
        </w:rPr>
        <w:t>Recommended Actions</w:t>
      </w:r>
    </w:p>
    <w:p/>
    <w:p>
      <w:r>
        <w:rPr>
          <w:rFonts w:ascii="Poppins" w:hAnsi="Poppins"/>
          <w:sz w:val="20"/>
        </w:rPr>
        <w:t>I recommend you replace the following existing arrangements with a St. James's Place Retirement Account:</w:t>
      </w:r>
    </w:p>
    <w:p/>
    <w:tbl>
      <w:tblPr>
        <w:tblStyle w:val="TableGrid"/>
        <w:tblW w:type="auto" w:w="0"/>
        <w:tblLayout w:type="fixed"/>
        <w:tblLook w:firstColumn="1" w:firstRow="1" w:lastColumn="0" w:lastRow="0" w:noHBand="0" w:noVBand="1" w:val="04A0"/>
      </w:tblPr>
      <w:tblGrid>
        <w:gridCol w:w="1806"/>
        <w:gridCol w:w="1806"/>
        <w:gridCol w:w="1806"/>
        <w:gridCol w:w="1806"/>
        <w:gridCol w:w="1806"/>
      </w:tblGrid>
      <w:tr>
        <w:tc>
          <w:tcPr>
            <w:tcW w:type="dxa" w:w="1806"/>
            <w:shd w:fill="3FDCC8" w:val="clear"/>
            <w:vAlign w:val="center"/>
          </w:tcPr>
          <w:p>
            <w:pPr>
              <w:jc w:val="center"/>
            </w:pPr>
            <w:r>
              <w:rPr>
                <w:rFonts w:ascii="Poppins" w:hAnsi="Poppins"/>
                <w:b/>
                <w:sz w:val="18"/>
              </w:rPr>
              <w:t>Source</w:t>
            </w:r>
          </w:p>
        </w:tc>
        <w:tc>
          <w:tcPr>
            <w:tcW w:type="dxa" w:w="1806"/>
            <w:shd w:fill="3FDCC8" w:val="clear"/>
            <w:vAlign w:val="center"/>
          </w:tcPr>
          <w:p>
            <w:pPr>
              <w:jc w:val="center"/>
            </w:pPr>
            <w:r>
              <w:rPr>
                <w:rFonts w:ascii="Poppins" w:hAnsi="Poppins"/>
                <w:b/>
                <w:sz w:val="18"/>
              </w:rPr>
              <w:t>Transfer/Redirection</w:t>
            </w:r>
          </w:p>
        </w:tc>
        <w:tc>
          <w:tcPr>
            <w:tcW w:type="dxa" w:w="1806"/>
            <w:shd w:fill="3FDCC8" w:val="clear"/>
            <w:vAlign w:val="center"/>
          </w:tcPr>
          <w:p>
            <w:pPr>
              <w:jc w:val="center"/>
            </w:pPr>
            <w:r>
              <w:rPr>
                <w:rFonts w:ascii="Poppins" w:hAnsi="Poppins"/>
                <w:b/>
                <w:sz w:val="18"/>
              </w:rPr>
              <w:t>Lump Sum Amount</w:t>
            </w:r>
          </w:p>
        </w:tc>
        <w:tc>
          <w:tcPr>
            <w:tcW w:type="dxa" w:w="1806"/>
            <w:shd w:fill="3FDCC8" w:val="clear"/>
            <w:vAlign w:val="center"/>
          </w:tcPr>
          <w:p>
            <w:pPr>
              <w:jc w:val="center"/>
            </w:pPr>
            <w:r>
              <w:rPr>
                <w:rFonts w:ascii="Poppins" w:hAnsi="Poppins"/>
                <w:b/>
                <w:sz w:val="18"/>
              </w:rPr>
              <w:t>Regular Contribution</w:t>
            </w:r>
          </w:p>
        </w:tc>
        <w:tc>
          <w:tcPr>
            <w:tcW w:type="dxa" w:w="1806"/>
            <w:shd w:fill="3FDCC8" w:val="clear"/>
            <w:vAlign w:val="center"/>
          </w:tcPr>
          <w:p>
            <w:pPr>
              <w:jc w:val="center"/>
            </w:pPr>
            <w:r>
              <w:rPr>
                <w:rFonts w:ascii="Poppins" w:hAnsi="Poppins"/>
                <w:b/>
                <w:sz w:val="18"/>
              </w:rPr>
              <w:t>Indexation</w:t>
            </w:r>
          </w:p>
        </w:tc>
      </w:tr>
      <w:tr>
        <w:tc>
          <w:tcPr>
            <w:tcW w:type="dxa" w:w="1806"/>
            <w:vAlign w:val="center"/>
          </w:tcPr>
          <w:p>
            <w:pPr>
              <w:jc w:val="center"/>
            </w:pPr>
            <w:r>
              <w:rPr>
                <w:rFonts w:ascii="Poppins" w:hAnsi="Poppins"/>
                <w:sz w:val="18"/>
              </w:rPr>
              <w:t>Scottish Widows Group Personal Pension SW3223427</w:t>
            </w:r>
          </w:p>
        </w:tc>
        <w:tc>
          <w:tcPr>
            <w:tcW w:type="dxa" w:w="1806"/>
            <w:vAlign w:val="center"/>
          </w:tcPr>
          <w:p>
            <w:pPr>
              <w:jc w:val="center"/>
            </w:pPr>
            <w:r>
              <w:rPr>
                <w:rFonts w:ascii="Poppins" w:hAnsi="Poppins"/>
                <w:sz w:val="18"/>
              </w:rPr>
              <w:t>Transfer</w:t>
            </w:r>
          </w:p>
        </w:tc>
        <w:tc>
          <w:tcPr>
            <w:tcW w:type="dxa" w:w="1806"/>
            <w:vAlign w:val="center"/>
          </w:tcPr>
          <w:p>
            <w:pPr>
              <w:jc w:val="center"/>
            </w:pPr>
            <w:r>
              <w:rPr>
                <w:rFonts w:ascii="Poppins" w:hAnsi="Poppins"/>
                <w:sz w:val="18"/>
              </w:rPr>
              <w:t>£356,385.50</w:t>
            </w:r>
          </w:p>
        </w:tc>
        <w:tc>
          <w:tcPr>
            <w:tcW w:type="dxa" w:w="1806"/>
            <w:vAlign w:val="center"/>
          </w:tcPr>
          <w:p>
            <w:pPr>
              <w:jc w:val="center"/>
            </w:pPr>
            <w:r>
              <w:rPr>
                <w:rFonts w:ascii="Poppins" w:hAnsi="Poppins"/>
                <w:sz w:val="18"/>
              </w:rPr>
              <w:t>None</w:t>
            </w:r>
          </w:p>
        </w:tc>
        <w:tc>
          <w:tcPr>
            <w:tcW w:type="dxa" w:w="1806"/>
            <w:vAlign w:val="center"/>
          </w:tcPr>
          <w:p>
            <w:pPr>
              <w:jc w:val="center"/>
            </w:pPr>
            <w:r>
              <w:rPr>
                <w:rFonts w:ascii="Poppins" w:hAnsi="Poppins"/>
                <w:sz w:val="18"/>
              </w:rPr>
              <w:t>None</w:t>
            </w:r>
          </w:p>
        </w:tc>
      </w:tr>
    </w:tbl>
    <w:p/>
    <w:p>
      <w:r>
        <w:rPr>
          <w:rFonts w:ascii="Poppins" w:hAnsi="Poppins"/>
          <w:sz w:val="20"/>
        </w:rPr>
        <w:t>My recommendation is based on your needs and objectives as set out in Part 1 of this report and my specific reasons for the recommendation are set out below.</w:t>
      </w:r>
    </w:p>
    <w:p/>
    <w:p>
      <w:r>
        <w:rPr>
          <w:rFonts w:ascii="Poppins" w:hAnsi="Poppins"/>
          <w:sz w:val="20"/>
        </w:rPr>
        <w:t>The St. James's Place Retirement Account will allow you to accumulate funds for future benefits. In line with your plans for retirement you are able to access these funds at age 65.</w:t>
      </w:r>
    </w:p>
    <w:p/>
    <w:p>
      <w:r>
        <w:rPr>
          <w:rFonts w:ascii="Poppins" w:hAnsi="Poppins"/>
          <w:sz w:val="20"/>
        </w:rPr>
        <w:t>You will receive the service and ongoing advice that I am able to offer. I believe this will be of benefit to you in the future because you currently receive no advice on your externally held pension fund. You wish to continue to benefit from my convenient face-to-face advice, under investment allocations catered to your bespoke needs and ongoing changing requirements.</w:t>
      </w:r>
    </w:p>
    <w:p/>
    <w:p>
      <w:r>
        <w:rPr>
          <w:rFonts w:ascii="Poppins" w:hAnsi="Poppins"/>
          <w:sz w:val="20"/>
        </w:rPr>
        <w:t>By utilising a St. James's Place Retirement Account, you will have access to the St. James's Place Approach to Investment Management. This forms a central part of my recommendation because we will invest your monies in alignment with your stated risk profile using a diversified fund selection to encourage capital growth.</w:t>
      </w:r>
    </w:p>
    <w:p/>
    <w:p>
      <w:r>
        <w:rPr>
          <w:rFonts w:ascii="Poppins" w:hAnsi="Poppins"/>
          <w:sz w:val="20"/>
        </w:rPr>
        <w:t>My recommendation addresses your concerns about your existing provider as they will no longer be responsible for managing your funds and a new relationship will be established with St. James's Place as a result of moving these funds to a St. James's Place Retirement Account.</w:t>
      </w:r>
    </w:p>
    <w:p/>
    <w:p>
      <w:r>
        <w:rPr>
          <w:rFonts w:ascii="Poppins" w:hAnsi="Poppins"/>
          <w:sz w:val="20"/>
        </w:rPr>
        <w:t>I have recommended a St. James's Place Retirement Account because you want to build a healthy pot for your retirement.</w:t>
      </w:r>
    </w:p>
    <w:p/>
    <w:p>
      <w:r>
        <w:rPr>
          <w:rFonts w:ascii="Poppins" w:hAnsi="Poppins"/>
          <w:sz w:val="20"/>
        </w:rPr>
        <w:t>I do not recommend you transfer benefits from your plan with Aviva because this is your current employer scheme that you have recently joined. You wish to keep it where it is to continue receiving contributions from your employer.</w:t>
      </w:r>
    </w:p>
    <w:p/>
    <w:p>
      <w:pPr>
        <w:spacing w:before="120" w:after="120"/>
      </w:pPr>
      <w:r>
        <w:rPr>
          <w:rFonts w:ascii="Poppins SemiBold" w:hAnsi="Poppins SemiBold"/>
          <w:color w:val="0F1E3C"/>
          <w:sz w:val="24"/>
        </w:rPr>
        <w:t>Employer Schemes</w:t>
      </w:r>
    </w:p>
    <w:p>
      <w:r>
        <w:rPr>
          <w:rFonts w:ascii="Poppins" w:hAnsi="Poppins"/>
          <w:sz w:val="20"/>
        </w:rPr>
        <w:t>Your employer offers you the benefit of contribution matching for your current scheme. However, you are already making the maximum contributions to receive this benefit.</w:t>
      </w:r>
    </w:p>
    <w:p/>
    <w:tbl>
      <w:tblPr>
        <w:tblStyle w:val="TableGrid"/>
        <w:tblW w:type="auto" w:w="0"/>
        <w:tblLayout w:type="fixed"/>
        <w:tblLook w:firstColumn="1" w:firstRow="1" w:lastColumn="0" w:lastRow="0" w:noHBand="0" w:noVBand="1" w:val="04A0"/>
      </w:tblPr>
      <w:tblGrid>
        <w:gridCol w:w="2257"/>
        <w:gridCol w:w="2257"/>
        <w:gridCol w:w="2257"/>
        <w:gridCol w:w="2257"/>
      </w:tblGrid>
      <w:tr>
        <w:tc>
          <w:tcPr>
            <w:tcW w:type="dxa" w:w="2257"/>
            <w:shd w:fill="3FDCC8" w:val="clear"/>
            <w:vAlign w:val="center"/>
          </w:tcPr>
          <w:p>
            <w:pPr>
              <w:jc w:val="center"/>
            </w:pPr>
            <w:r>
              <w:rPr>
                <w:rFonts w:ascii="Poppins" w:hAnsi="Poppins"/>
                <w:b/>
                <w:sz w:val="18"/>
              </w:rPr>
              <w:t>Contribution Type</w:t>
            </w:r>
          </w:p>
        </w:tc>
        <w:tc>
          <w:tcPr>
            <w:tcW w:type="dxa" w:w="2257"/>
            <w:shd w:fill="3FDCC8" w:val="clear"/>
            <w:vAlign w:val="center"/>
          </w:tcPr>
          <w:p>
            <w:pPr>
              <w:jc w:val="center"/>
            </w:pPr>
            <w:r>
              <w:rPr>
                <w:rFonts w:ascii="Poppins" w:hAnsi="Poppins"/>
                <w:b/>
                <w:sz w:val="18"/>
              </w:rPr>
              <w:t>Source</w:t>
            </w:r>
          </w:p>
        </w:tc>
        <w:tc>
          <w:tcPr>
            <w:tcW w:type="dxa" w:w="2257"/>
            <w:shd w:fill="3FDCC8" w:val="clear"/>
            <w:vAlign w:val="center"/>
          </w:tcPr>
          <w:p>
            <w:pPr>
              <w:jc w:val="center"/>
            </w:pPr>
            <w:r>
              <w:rPr>
                <w:rFonts w:ascii="Poppins" w:hAnsi="Poppins"/>
                <w:b/>
                <w:sz w:val="18"/>
              </w:rPr>
              <w:t>Can the employer accept this type of contribution?</w:t>
            </w:r>
          </w:p>
        </w:tc>
        <w:tc>
          <w:tcPr>
            <w:tcW w:type="dxa" w:w="2257"/>
            <w:shd w:fill="3FDCC8" w:val="clear"/>
            <w:vAlign w:val="center"/>
          </w:tcPr>
          <w:p>
            <w:pPr>
              <w:jc w:val="center"/>
            </w:pPr>
            <w:r>
              <w:rPr>
                <w:rFonts w:ascii="Poppins" w:hAnsi="Poppins"/>
                <w:b/>
                <w:sz w:val="18"/>
              </w:rPr>
              <w:t>Type of Employer Scheme</w:t>
            </w:r>
          </w:p>
        </w:tc>
      </w:tr>
      <w:tr>
        <w:tc>
          <w:tcPr>
            <w:tcW w:type="dxa" w:w="2257"/>
            <w:vAlign w:val="center"/>
          </w:tcPr>
          <w:p>
            <w:pPr>
              <w:jc w:val="center"/>
            </w:pPr>
            <w:r>
              <w:rPr>
                <w:rFonts w:ascii="Poppins" w:hAnsi="Poppins"/>
                <w:sz w:val="18"/>
              </w:rPr>
              <w:t>Transfer</w:t>
            </w:r>
          </w:p>
        </w:tc>
        <w:tc>
          <w:tcPr>
            <w:tcW w:type="dxa" w:w="2257"/>
            <w:vAlign w:val="center"/>
          </w:tcPr>
          <w:p>
            <w:pPr>
              <w:jc w:val="center"/>
            </w:pPr>
            <w:r>
              <w:rPr>
                <w:rFonts w:ascii="Poppins" w:hAnsi="Poppins"/>
                <w:sz w:val="18"/>
              </w:rPr>
              <w:t>Transfer from Scottish Widows</w:t>
            </w:r>
          </w:p>
        </w:tc>
        <w:tc>
          <w:tcPr>
            <w:tcW w:type="dxa" w:w="2257"/>
            <w:vAlign w:val="center"/>
          </w:tcPr>
          <w:p>
            <w:pPr>
              <w:jc w:val="center"/>
            </w:pPr>
            <w:r>
              <w:rPr>
                <w:rFonts w:ascii="Poppins" w:hAnsi="Poppins"/>
                <w:sz w:val="18"/>
              </w:rPr>
              <w:t>Yes</w:t>
            </w:r>
          </w:p>
        </w:tc>
        <w:tc>
          <w:tcPr>
            <w:tcW w:type="dxa" w:w="2257"/>
            <w:vAlign w:val="center"/>
          </w:tcPr>
          <w:p>
            <w:pPr>
              <w:jc w:val="center"/>
            </w:pPr>
            <w:r>
              <w:rPr>
                <w:rFonts w:ascii="Poppins" w:hAnsi="Poppins"/>
                <w:sz w:val="18"/>
              </w:rPr>
              <w:t>Money Purchase</w:t>
            </w:r>
          </w:p>
        </w:tc>
      </w:tr>
    </w:tbl>
    <w:p/>
    <w:p>
      <w:r>
        <w:rPr>
          <w:rFonts w:ascii="Poppins" w:hAnsi="Poppins"/>
          <w:sz w:val="20"/>
        </w:rPr>
        <w:t>Your employer's scheme has charges of 0.27% per annum compared to the charges on your St. James's Place Retirement Account of 1.80% per annum. This means the recommended plan would need to grow by 1.53% more per annum, or £5,361.69 more in the first year, than your employer's scheme in order to match the fund you could have had if you had invested via your employer scheme.</w:t>
      </w:r>
    </w:p>
    <w:p/>
    <w:p>
      <w:r>
        <w:rPr>
          <w:rFonts w:ascii="Poppins" w:hAnsi="Poppins"/>
          <w:sz w:val="20"/>
        </w:rPr>
        <w:t>Taking into account my calculations, I have recommended you contribute to a St. James's Place Retirement Account rather than your employer's scheme because though the Retirement Account may be more expensive, you feel that since there is no advice being offered on your employer scheme you would be more comfortable investing with St James's Place and enjoying the ongoing advice and reviews that I am able to provide you with.</w:t>
      </w:r>
    </w:p>
    <w:p/>
    <w:p>
      <w:pPr>
        <w:spacing w:before="120" w:after="120"/>
      </w:pPr>
      <w:r>
        <w:rPr>
          <w:rFonts w:ascii="Poppins SemiBold" w:hAnsi="Poppins SemiBold"/>
          <w:color w:val="0F1E3C"/>
          <w:sz w:val="24"/>
        </w:rPr>
        <w:t>Salary Sacrifice</w:t>
      </w:r>
    </w:p>
    <w:p>
      <w:r>
        <w:rPr>
          <w:rFonts w:ascii="Poppins" w:hAnsi="Poppins"/>
          <w:sz w:val="20"/>
        </w:rPr>
        <w:t>Your employer has confirmed that pension contributions can be made via salary sacrifice, but this doesn't include the employer's national insurance saving. The benefits of paying pension contributions via salary sacrifice are:</w:t>
        <w:br/>
        <w:br/>
        <w:t>You will pay less income tax on your earnings.</w:t>
        <w:br/>
        <w:t>You will pay less national insurance on your earnings. Your employer saves on national insurance.</w:t>
      </w:r>
    </w:p>
    <w:p/>
    <w:p>
      <w:pPr>
        <w:spacing w:before="120" w:after="120"/>
      </w:pPr>
      <w:r>
        <w:rPr>
          <w:rFonts w:ascii="Poppins SemiBold" w:hAnsi="Poppins SemiBold"/>
          <w:color w:val="0F1E3C"/>
          <w:sz w:val="24"/>
        </w:rPr>
        <w:t>Use of the Legacy Preservation Trust</w:t>
      </w:r>
    </w:p>
    <w:p>
      <w:r>
        <w:rPr>
          <w:rFonts w:ascii="Poppins" w:hAnsi="Poppins"/>
          <w:sz w:val="20"/>
        </w:rPr>
        <w:t>I have recommended you set up a Legacy Preservation Trust, a provision which we offer as part of our standard service and at no additional cost to you. It is specifically designed to receive death benefits, including accrued pension funds, from most pension schemes. If used on death, the trust will protect your pension benefits for your beneficiaries and will prevent the value of the pension forming part of their individual estates for Inheritance Tax purposes.</w:t>
      </w:r>
    </w:p>
    <w:p/>
    <w:p>
      <w:r>
        <w:rPr>
          <w:rFonts w:ascii="Poppins" w:hAnsi="Poppins"/>
          <w:sz w:val="20"/>
        </w:rPr>
        <w:t>While you accepted my recommendation, you have not yet completed the necessary paperwork as you are still deciding on how to structure the Trust. I left the relevant paperwork with you, and you will look to complete this as soon as possible as you understand until this has been completed, the Trust will not be created.</w:t>
      </w:r>
    </w:p>
    <w:p/>
    <w:p>
      <w:r>
        <w:rPr>
          <w:rFonts w:ascii="Poppins" w:hAnsi="Poppins"/>
          <w:sz w:val="20"/>
        </w:rPr>
        <w:t>I have also recommended you complete an Expression of Wish form, which you have agreed to. An Expression of Wish form ensures that your wishes are considered prior to payment of your pension death benefits. Please provide your completed form as soon as you can, and I will update your record.</w:t>
      </w:r>
    </w:p>
    <w:p>
      <w:r>
        <w:br w:type="page"/>
      </w:r>
    </w:p>
    <w:p>
      <w:pPr>
        <w:spacing w:after="120"/>
      </w:pPr>
      <w:r>
        <w:rPr>
          <w:rFonts w:ascii="Noe Display SJP Bold" w:hAnsi="Noe Display SJP Bold"/>
          <w:color w:val="0F1E3C"/>
          <w:sz w:val="40"/>
        </w:rPr>
        <w:t>Part 3 - Impact of Replacement</w:t>
      </w:r>
    </w:p>
    <w:p/>
    <w:p>
      <w:pPr>
        <w:spacing w:before="120" w:after="120"/>
      </w:pPr>
      <w:r>
        <w:rPr>
          <w:rFonts w:ascii="Poppins SemiBold" w:hAnsi="Poppins SemiBold"/>
          <w:color w:val="0F1E3C"/>
          <w:sz w:val="24"/>
        </w:rPr>
        <w:t>Pension Plans to be transferred</w:t>
      </w:r>
    </w:p>
    <w:tbl>
      <w:tblPr>
        <w:tblStyle w:val="TableGrid"/>
        <w:tblW w:type="auto" w:w="0"/>
        <w:tblLayout w:type="fixed"/>
        <w:tblLook w:firstColumn="1" w:firstRow="1" w:lastColumn="0" w:lastRow="0" w:noHBand="0" w:noVBand="1" w:val="04A0"/>
      </w:tblPr>
      <w:tblGrid>
        <w:gridCol w:w="1505"/>
        <w:gridCol w:w="1505"/>
        <w:gridCol w:w="1505"/>
        <w:gridCol w:w="1505"/>
        <w:gridCol w:w="1505"/>
        <w:gridCol w:w="1505"/>
      </w:tblGrid>
      <w:tr>
        <w:tc>
          <w:tcPr>
            <w:tcW w:type="dxa" w:w="1505"/>
            <w:shd w:fill="3FDCC8" w:val="clear"/>
            <w:vAlign w:val="center"/>
          </w:tcPr>
          <w:p>
            <w:pPr>
              <w:jc w:val="center"/>
            </w:pPr>
            <w:r>
              <w:rPr>
                <w:rFonts w:ascii="Poppins" w:hAnsi="Poppins"/>
                <w:b/>
                <w:sz w:val="18"/>
              </w:rPr>
              <w:t>Provider Plan</w:t>
            </w:r>
          </w:p>
        </w:tc>
        <w:tc>
          <w:tcPr>
            <w:tcW w:type="dxa" w:w="1505"/>
            <w:shd w:fill="3FDCC8" w:val="clear"/>
            <w:vAlign w:val="center"/>
          </w:tcPr>
          <w:p>
            <w:pPr>
              <w:jc w:val="center"/>
            </w:pPr>
            <w:r>
              <w:rPr>
                <w:rFonts w:ascii="Poppins" w:hAnsi="Poppins"/>
                <w:b/>
                <w:sz w:val="18"/>
              </w:rPr>
              <w:t>Transfer Value</w:t>
            </w:r>
          </w:p>
        </w:tc>
        <w:tc>
          <w:tcPr>
            <w:tcW w:type="dxa" w:w="1505"/>
            <w:shd w:fill="3FDCC8" w:val="clear"/>
            <w:vAlign w:val="center"/>
          </w:tcPr>
          <w:p>
            <w:pPr>
              <w:jc w:val="center"/>
            </w:pPr>
            <w:r>
              <w:rPr>
                <w:rFonts w:ascii="Poppins" w:hAnsi="Poppins"/>
                <w:b/>
                <w:sz w:val="18"/>
              </w:rPr>
              <w:t>Charge on Transfer</w:t>
            </w:r>
          </w:p>
        </w:tc>
        <w:tc>
          <w:tcPr>
            <w:tcW w:type="dxa" w:w="1505"/>
            <w:shd w:fill="3FDCC8" w:val="clear"/>
            <w:vAlign w:val="center"/>
          </w:tcPr>
          <w:p>
            <w:pPr>
              <w:jc w:val="center"/>
            </w:pPr>
            <w:r>
              <w:rPr>
                <w:rFonts w:ascii="Poppins" w:hAnsi="Poppins"/>
                <w:b/>
                <w:sz w:val="18"/>
              </w:rPr>
              <w:t>Protected Tax-Free Cash</w:t>
            </w:r>
          </w:p>
        </w:tc>
        <w:tc>
          <w:tcPr>
            <w:tcW w:type="dxa" w:w="1505"/>
            <w:shd w:fill="3FDCC8" w:val="clear"/>
            <w:vAlign w:val="center"/>
          </w:tcPr>
          <w:p>
            <w:pPr>
              <w:jc w:val="center"/>
            </w:pPr>
            <w:r>
              <w:rPr>
                <w:rFonts w:ascii="Poppins" w:hAnsi="Poppins"/>
                <w:b/>
                <w:sz w:val="18"/>
              </w:rPr>
              <w:t>Guarantees</w:t>
            </w:r>
          </w:p>
        </w:tc>
        <w:tc>
          <w:tcPr>
            <w:tcW w:type="dxa" w:w="1505"/>
            <w:shd w:fill="3FDCC8" w:val="clear"/>
            <w:vAlign w:val="center"/>
          </w:tcPr>
          <w:p>
            <w:pPr>
              <w:jc w:val="center"/>
            </w:pPr>
            <w:r>
              <w:rPr>
                <w:rFonts w:ascii="Poppins" w:hAnsi="Poppins"/>
                <w:b/>
                <w:sz w:val="18"/>
              </w:rPr>
              <w:t>Terminal Bonus</w:t>
            </w:r>
          </w:p>
        </w:tc>
      </w:tr>
      <w:tr>
        <w:tc>
          <w:tcPr>
            <w:tcW w:type="dxa" w:w="1505"/>
            <w:vAlign w:val="center"/>
          </w:tcPr>
          <w:p>
            <w:pPr>
              <w:jc w:val="center"/>
            </w:pPr>
            <w:r>
              <w:rPr>
                <w:rFonts w:ascii="Poppins" w:hAnsi="Poppins"/>
                <w:sz w:val="18"/>
              </w:rPr>
              <w:t>Scottish Widows Group Personal Pension SW3223427</w:t>
            </w:r>
          </w:p>
        </w:tc>
        <w:tc>
          <w:tcPr>
            <w:tcW w:type="dxa" w:w="1505"/>
            <w:vAlign w:val="center"/>
          </w:tcPr>
          <w:p>
            <w:pPr>
              <w:jc w:val="center"/>
            </w:pPr>
            <w:r>
              <w:rPr>
                <w:rFonts w:ascii="Poppins" w:hAnsi="Poppins"/>
                <w:sz w:val="18"/>
              </w:rPr>
              <w:t>£356,385.50</w:t>
            </w:r>
          </w:p>
        </w:tc>
        <w:tc>
          <w:tcPr>
            <w:tcW w:type="dxa" w:w="1505"/>
            <w:vAlign w:val="center"/>
          </w:tcPr>
          <w:p>
            <w:pPr>
              <w:jc w:val="center"/>
            </w:pPr>
            <w:r>
              <w:rPr>
                <w:rFonts w:ascii="Poppins" w:hAnsi="Poppins"/>
                <w:sz w:val="18"/>
              </w:rPr>
              <w:t>None</w:t>
            </w:r>
          </w:p>
        </w:tc>
        <w:tc>
          <w:tcPr>
            <w:tcW w:type="dxa" w:w="1505"/>
            <w:vAlign w:val="center"/>
          </w:tcPr>
          <w:p>
            <w:pPr>
              <w:jc w:val="center"/>
            </w:pPr>
            <w:r>
              <w:rPr>
                <w:rFonts w:ascii="Poppins" w:hAnsi="Poppins"/>
                <w:sz w:val="18"/>
              </w:rPr>
              <w:t>No</w:t>
            </w:r>
          </w:p>
        </w:tc>
        <w:tc>
          <w:tcPr>
            <w:tcW w:type="dxa" w:w="1505"/>
            <w:vAlign w:val="center"/>
          </w:tcPr>
          <w:p>
            <w:pPr>
              <w:jc w:val="center"/>
            </w:pPr>
            <w:r>
              <w:rPr>
                <w:rFonts w:ascii="Poppins" w:hAnsi="Poppins"/>
                <w:sz w:val="18"/>
              </w:rPr>
              <w:t>No</w:t>
            </w:r>
          </w:p>
        </w:tc>
        <w:tc>
          <w:tcPr>
            <w:tcW w:type="dxa" w:w="1505"/>
            <w:vAlign w:val="center"/>
          </w:tcPr>
          <w:p>
            <w:pPr>
              <w:jc w:val="center"/>
            </w:pPr>
            <w:r>
              <w:rPr>
                <w:rFonts w:ascii="Poppins" w:hAnsi="Poppins"/>
                <w:sz w:val="18"/>
              </w:rPr>
              <w:t>No</w:t>
            </w:r>
          </w:p>
        </w:tc>
      </w:tr>
    </w:tbl>
    <w:p/>
    <w:p>
      <w:r>
        <w:rPr>
          <w:rFonts w:ascii="Poppins" w:hAnsi="Poppins"/>
          <w:b/>
          <w:sz w:val="20"/>
        </w:rPr>
        <w:t>Scottish Widows Group Personal Pension SW3223427</w:t>
      </w:r>
    </w:p>
    <w:p/>
    <w:p>
      <w:pPr>
        <w:spacing w:before="120" w:after="120"/>
      </w:pPr>
      <w:r>
        <w:rPr>
          <w:rFonts w:ascii="Poppins SemiBold" w:hAnsi="Poppins SemiBold"/>
          <w:color w:val="0F1E3C"/>
          <w:sz w:val="24"/>
        </w:rPr>
        <w:t>Changes to Your Tax-Free Cash Entitlement</w:t>
      </w:r>
    </w:p>
    <w:p>
      <w:r>
        <w:rPr>
          <w:rFonts w:ascii="Poppins" w:hAnsi="Poppins"/>
          <w:sz w:val="20"/>
        </w:rPr>
        <w:t>There will be no change to your tax-free cash entitlement from the uncrystallised funds relating to the transfer of your plan from Scottish Widows.</w:t>
      </w:r>
    </w:p>
    <w:p/>
    <w:p>
      <w:pPr>
        <w:spacing w:before="120" w:after="120"/>
      </w:pPr>
      <w:r>
        <w:rPr>
          <w:rFonts w:ascii="Poppins SemiBold" w:hAnsi="Poppins SemiBold"/>
          <w:color w:val="0F1E3C"/>
          <w:sz w:val="24"/>
        </w:rPr>
        <w:t>The Impact of Charges on your Benefits</w:t>
      </w:r>
    </w:p>
    <w:p>
      <w:r>
        <w:rPr>
          <w:rFonts w:ascii="Poppins" w:hAnsi="Poppins"/>
          <w:sz w:val="20"/>
        </w:rPr>
        <w:t>Moving funds as recommended into a Retirement Account will usually mean there will be a change in the level of charges which you pay. As part of my recommendation, I have therefore considered the difference in charges between your existing arrangements and the Retirement Account and set out the results in the table below.</w:t>
      </w:r>
    </w:p>
    <w:p/>
    <w:p>
      <w:r>
        <w:rPr>
          <w:rFonts w:ascii="Poppins" w:hAnsi="Poppins"/>
          <w:sz w:val="20"/>
        </w:rPr>
        <w:t>Our comparison includes the product charge, fund charge, ongoing advice charge and initial charge (as detailed in appendix). For our calculations, the initial charge has been spread over 10 years, 9 months.</w:t>
      </w:r>
    </w:p>
    <w:p/>
    <w:p>
      <w:r>
        <w:rPr>
          <w:rFonts w:ascii="Poppins" w:hAnsi="Poppins"/>
          <w:sz w:val="20"/>
        </w:rPr>
        <w:t>The outperformance shown below is the additional growth your Retirement Account needs to achieve to match these funds, based on the increase in charges. If this level of outperformance is not achieved, your fund and therefore the benefits it can pay, will be lower than if you had not transferred.</w:t>
      </w:r>
    </w:p>
    <w:p/>
    <w:tbl>
      <w:tblPr>
        <w:tblStyle w:val="TableGrid"/>
        <w:tblW w:type="auto" w:w="0"/>
        <w:tblLayout w:type="fixed"/>
        <w:tblLook w:firstColumn="1" w:firstRow="1" w:lastColumn="0" w:lastRow="0" w:noHBand="0" w:noVBand="1" w:val="04A0"/>
      </w:tblPr>
      <w:tblGrid>
        <w:gridCol w:w="2257"/>
        <w:gridCol w:w="2257"/>
        <w:gridCol w:w="2257"/>
        <w:gridCol w:w="2257"/>
      </w:tblGrid>
      <w:tr>
        <w:tc>
          <w:tcPr>
            <w:tcW w:type="dxa" w:w="2257"/>
            <w:shd w:fill="3FDCC8" w:val="clear"/>
            <w:vAlign w:val="center"/>
          </w:tcPr>
          <w:p>
            <w:pPr>
              <w:jc w:val="center"/>
            </w:pPr>
            <w:r>
              <w:rPr>
                <w:rFonts w:ascii="Poppins" w:hAnsi="Poppins"/>
                <w:b/>
                <w:sz w:val="18"/>
              </w:rPr>
              <w:t>Provider Plan</w:t>
            </w:r>
          </w:p>
        </w:tc>
        <w:tc>
          <w:tcPr>
            <w:tcW w:type="dxa" w:w="2257"/>
            <w:shd w:fill="3FDCC8" w:val="clear"/>
            <w:vAlign w:val="center"/>
          </w:tcPr>
          <w:p>
            <w:pPr>
              <w:jc w:val="center"/>
            </w:pPr>
            <w:r>
              <w:rPr>
                <w:rFonts w:ascii="Poppins" w:hAnsi="Poppins"/>
                <w:b/>
                <w:sz w:val="18"/>
              </w:rPr>
              <w:t>Action</w:t>
            </w:r>
          </w:p>
        </w:tc>
        <w:tc>
          <w:tcPr>
            <w:tcW w:type="dxa" w:w="2257"/>
            <w:shd w:fill="3FDCC8" w:val="clear"/>
            <w:vAlign w:val="center"/>
          </w:tcPr>
          <w:p>
            <w:pPr>
              <w:jc w:val="center"/>
            </w:pPr>
            <w:r>
              <w:rPr>
                <w:rFonts w:ascii="Poppins" w:hAnsi="Poppins"/>
                <w:b/>
                <w:sz w:val="18"/>
              </w:rPr>
              <w:t>Level of Outperformance Required</w:t>
            </w:r>
          </w:p>
        </w:tc>
        <w:tc>
          <w:tcPr>
            <w:tcW w:type="dxa" w:w="2257"/>
            <w:shd w:fill="3FDCC8" w:val="clear"/>
            <w:vAlign w:val="center"/>
          </w:tcPr>
          <w:p>
            <w:pPr>
              <w:jc w:val="center"/>
            </w:pPr>
            <w:r>
              <w:rPr>
                <w:rFonts w:ascii="Poppins" w:hAnsi="Poppins"/>
                <w:b/>
                <w:sz w:val="18"/>
              </w:rPr>
              <w:t>Monetary Equivalent in First Year</w:t>
            </w:r>
          </w:p>
        </w:tc>
      </w:tr>
      <w:tr>
        <w:tc>
          <w:tcPr>
            <w:tcW w:type="dxa" w:w="2257"/>
            <w:vAlign w:val="center"/>
          </w:tcPr>
          <w:p>
            <w:pPr>
              <w:jc w:val="center"/>
            </w:pPr>
            <w:r>
              <w:rPr>
                <w:rFonts w:ascii="Poppins" w:hAnsi="Poppins"/>
                <w:sz w:val="18"/>
              </w:rPr>
              <w:t>Scottish Widows Group Personal Pension SW3223427</w:t>
            </w:r>
          </w:p>
        </w:tc>
        <w:tc>
          <w:tcPr>
            <w:tcW w:type="dxa" w:w="2257"/>
            <w:vAlign w:val="center"/>
          </w:tcPr>
          <w:p>
            <w:pPr>
              <w:jc w:val="center"/>
            </w:pPr>
            <w:r>
              <w:rPr>
                <w:rFonts w:ascii="Poppins" w:hAnsi="Poppins"/>
                <w:sz w:val="18"/>
              </w:rPr>
              <w:t>Transfer</w:t>
            </w:r>
          </w:p>
        </w:tc>
        <w:tc>
          <w:tcPr>
            <w:tcW w:type="dxa" w:w="2257"/>
            <w:vAlign w:val="center"/>
          </w:tcPr>
          <w:p>
            <w:pPr>
              <w:jc w:val="center"/>
            </w:pPr>
            <w:r>
              <w:rPr>
                <w:rFonts w:ascii="Poppins" w:hAnsi="Poppins"/>
                <w:sz w:val="18"/>
              </w:rPr>
              <w:t>1.65%</w:t>
            </w:r>
          </w:p>
        </w:tc>
        <w:tc>
          <w:tcPr>
            <w:tcW w:type="dxa" w:w="2257"/>
            <w:vAlign w:val="center"/>
          </w:tcPr>
          <w:p>
            <w:pPr>
              <w:jc w:val="center"/>
            </w:pPr>
            <w:r>
              <w:rPr>
                <w:rFonts w:ascii="Poppins" w:hAnsi="Poppins"/>
                <w:sz w:val="18"/>
              </w:rPr>
              <w:t>£5,708.86</w:t>
            </w:r>
          </w:p>
        </w:tc>
      </w:tr>
    </w:tbl>
    <w:p/>
    <w:p>
      <w:pPr>
        <w:spacing w:before="120" w:after="120"/>
      </w:pPr>
      <w:r>
        <w:rPr>
          <w:rFonts w:ascii="Poppins SemiBold" w:hAnsi="Poppins SemiBold"/>
          <w:color w:val="0F1E3C"/>
          <w:sz w:val="24"/>
        </w:rPr>
        <w:t>Potential Disadvantages of Replacing Your Existing Plan</w:t>
      </w:r>
    </w:p>
    <w:p>
      <w:r>
        <w:rPr>
          <w:rFonts w:ascii="Poppins" w:hAnsi="Poppins"/>
          <w:sz w:val="20"/>
        </w:rPr>
        <w:t>In addition to the above points the proposed Retirement Account has the following disadvantages:</w:t>
      </w:r>
    </w:p>
    <w:p>
      <w:pPr>
        <w:ind w:left="720" w:hanging="360"/>
      </w:pPr>
      <w:r>
        <w:rPr>
          <w:rFonts w:ascii="Poppins" w:hAnsi="Poppins"/>
          <w:sz w:val="20"/>
        </w:rPr>
        <w:t>•</w:t>
        <w:tab/>
        <w:t>Higher charges</w:t>
      </w:r>
    </w:p>
    <w:p>
      <w:pPr>
        <w:ind w:left="720" w:hanging="360"/>
      </w:pPr>
      <w:r>
        <w:rPr>
          <w:rFonts w:ascii="Poppins" w:hAnsi="Poppins"/>
          <w:sz w:val="20"/>
        </w:rPr>
        <w:t>•</w:t>
        <w:tab/>
        <w:t>A new Initial Advice Charge will be applied</w:t>
      </w:r>
    </w:p>
    <w:p>
      <w:pPr>
        <w:ind w:left="720" w:hanging="360"/>
      </w:pPr>
      <w:r>
        <w:rPr>
          <w:rFonts w:ascii="Poppins" w:hAnsi="Poppins"/>
          <w:sz w:val="20"/>
        </w:rPr>
        <w:t>•</w:t>
        <w:tab/>
        <w:t>Fewer funds to invest in</w:t>
      </w:r>
    </w:p>
    <w:p>
      <w:pPr>
        <w:ind w:left="720" w:hanging="360"/>
      </w:pPr>
      <w:r>
        <w:rPr>
          <w:rFonts w:ascii="Poppins" w:hAnsi="Poppins"/>
          <w:sz w:val="20"/>
        </w:rPr>
        <w:t>•</w:t>
        <w:tab/>
        <w:t>Loss of Lifestyling. Lifestyling is where your existing provider would facilitate automatic fund switches to de-risk your pension as you near retirement.</w:t>
      </w:r>
    </w:p>
    <w:p>
      <w:pPr>
        <w:ind w:left="720" w:hanging="360"/>
      </w:pPr>
      <w:r>
        <w:rPr>
          <w:rFonts w:ascii="Poppins" w:hAnsi="Poppins"/>
          <w:sz w:val="20"/>
        </w:rPr>
        <w:t>•</w:t>
        <w:tab/>
        <w:t>Loss of accidental death cover</w:t>
      </w:r>
    </w:p>
    <w:p/>
    <w:p>
      <w:pPr>
        <w:spacing w:before="120" w:after="120"/>
      </w:pPr>
      <w:r>
        <w:rPr>
          <w:rFonts w:ascii="Poppins SemiBold" w:hAnsi="Poppins SemiBold"/>
          <w:color w:val="0F1E3C"/>
          <w:sz w:val="24"/>
        </w:rPr>
        <w:t>Special terms</w:t>
      </w:r>
    </w:p>
    <w:p>
      <w:r>
        <w:rPr>
          <w:rFonts w:ascii="Poppins" w:hAnsi="Poppins"/>
          <w:sz w:val="20"/>
        </w:rPr>
        <w:t>Following the calculation of the impact of the difference in charges between the recommended St. James's Place Retirement Account and your existing arrangements, I have arranged Special Terms to reduce the Initial Advice Charge payable on transfer to the St. James's Place Retirement Account. These are reflected in the reduced charges shown on the Illustration that accompanies this report.</w:t>
      </w:r>
    </w:p>
    <w:p/>
    <w:p>
      <w:r>
        <w:rPr>
          <w:rFonts w:ascii="Poppins" w:hAnsi="Poppins"/>
          <w:sz w:val="20"/>
        </w:rPr>
        <w:t>After applying these terms, the combined outperformance is 1.55% per annum which is equivalent to £5,431.78 in the next twelve months.</w:t>
      </w:r>
    </w:p>
    <w:p/>
    <w:p>
      <w:r>
        <w:rPr>
          <w:rFonts w:ascii="Poppins" w:hAnsi="Poppins"/>
          <w:sz w:val="20"/>
        </w:rPr>
        <w:t>You understand past performance is no guide to future performance and there is no guarantee St. James's Place funds will outperform an existing provider. Having discussed this in detail, you felt there was a reasonable opportunity for sufficient growth to be achieved and you are willing to accept the risk it might not be.</w:t>
      </w:r>
    </w:p>
    <w:p>
      <w:r>
        <w:br w:type="page"/>
      </w:r>
    </w:p>
    <w:p>
      <w:pPr>
        <w:spacing w:after="120"/>
      </w:pPr>
      <w:r>
        <w:rPr>
          <w:rFonts w:ascii="Noe Display SJP Bold" w:hAnsi="Noe Display SJP Bold"/>
          <w:color w:val="0F1E3C"/>
          <w:sz w:val="40"/>
        </w:rPr>
        <w:t>Part 4 - Your Attitude to Risk and fund selection</w:t>
      </w:r>
    </w:p>
    <w:p/>
    <w:p>
      <w:r>
        <w:rPr>
          <w:rFonts w:ascii="Poppins" w:hAnsi="Poppins"/>
          <w:sz w:val="20"/>
        </w:rPr>
        <w:t>We had a conversation about investment risk as part of our discussions. Some key factors we discussed were your objectives, your investment experience, the time horizon over which you are investing and your attitude to, and ability to withstand, investment losses.</w:t>
      </w:r>
    </w:p>
    <w:p/>
    <w:p>
      <w:r>
        <w:rPr>
          <w:rFonts w:ascii="Poppins" w:hAnsi="Poppins"/>
          <w:sz w:val="20"/>
        </w:rPr>
        <w:t>We also discussed the range of example portfolios and funds offered by St. James's Place, and the importance of holding a diversified range of investments.</w:t>
      </w:r>
    </w:p>
    <w:p/>
    <w:p>
      <w:pPr>
        <w:spacing w:before="120" w:after="120"/>
      </w:pPr>
      <w:r>
        <w:rPr>
          <w:rFonts w:ascii="Poppins SemiBold" w:hAnsi="Poppins SemiBold"/>
          <w:color w:val="0F1E3C"/>
          <w:sz w:val="24"/>
        </w:rPr>
        <w:t>Your investment knowledge and experience</w:t>
      </w:r>
    </w:p>
    <w:p>
      <w:r>
        <w:rPr>
          <w:rFonts w:ascii="Poppins" w:hAnsi="Poppins"/>
          <w:sz w:val="20"/>
        </w:rPr>
        <w:t>When considering your level of investment knowledge and experience, a key factor is the extent to which your existing or previous investments have been exposed to market volatility.</w:t>
      </w:r>
    </w:p>
    <w:p/>
    <w:p>
      <w:r>
        <w:rPr>
          <w:rFonts w:ascii="Poppins" w:hAnsi="Poppins"/>
          <w:sz w:val="20"/>
        </w:rPr>
        <w:t>Having discussed this with you, we agreed that you have a moderate level of investment knowledge and experience because:</w:t>
      </w:r>
    </w:p>
    <w:p>
      <w:pPr>
        <w:ind w:left="720" w:hanging="360"/>
      </w:pPr>
      <w:r>
        <w:rPr>
          <w:rFonts w:ascii="Poppins" w:hAnsi="Poppins"/>
          <w:sz w:val="20"/>
        </w:rPr>
        <w:t>•</w:t>
        <w:tab/>
        <w:t>You have purchased investments and have experienced significant investment volatility since acquiring these.</w:t>
      </w:r>
    </w:p>
    <w:p/>
    <w:p>
      <w:pPr>
        <w:spacing w:before="120" w:after="120"/>
      </w:pPr>
      <w:r>
        <w:rPr>
          <w:rFonts w:ascii="Poppins SemiBold" w:hAnsi="Poppins SemiBold"/>
          <w:color w:val="0F1E3C"/>
          <w:sz w:val="24"/>
        </w:rPr>
        <w:t>Your capacity for loss</w:t>
      </w:r>
    </w:p>
    <w:p>
      <w:r>
        <w:rPr>
          <w:rFonts w:ascii="Poppins" w:hAnsi="Poppins"/>
          <w:sz w:val="20"/>
        </w:rPr>
        <w:t>Capacity for loss relates to your ability to withstand investment losses and cope financially should there be a market downturn either at the point you need to access your investment, or if investment returns are less favourable than expected. Considering your capacity for loss, in conjunction with your investment knowledge and experience, is particularly important when making investment decisions.</w:t>
      </w:r>
    </w:p>
    <w:p/>
    <w:p>
      <w:r>
        <w:rPr>
          <w:rFonts w:ascii="Poppins" w:hAnsi="Poppins"/>
          <w:sz w:val="20"/>
        </w:rPr>
        <w:t>We agreed you have a moderate capacity to withstand investment losses because:</w:t>
      </w:r>
    </w:p>
    <w:p>
      <w:pPr>
        <w:ind w:left="720" w:hanging="360"/>
      </w:pPr>
      <w:r>
        <w:rPr>
          <w:rFonts w:ascii="Poppins" w:hAnsi="Poppins"/>
          <w:sz w:val="20"/>
        </w:rPr>
        <w:t>•</w:t>
        <w:tab/>
        <w:t>You have sufficient net disposable income providing you with the ability to save.</w:t>
      </w:r>
    </w:p>
    <w:p>
      <w:pPr>
        <w:ind w:left="720" w:hanging="360"/>
      </w:pPr>
      <w:r>
        <w:rPr>
          <w:rFonts w:ascii="Poppins" w:hAnsi="Poppins"/>
          <w:sz w:val="20"/>
        </w:rPr>
        <w:t>•</w:t>
        <w:tab/>
        <w:t>You are not primarily reliant on any investment income.</w:t>
      </w:r>
    </w:p>
    <w:p/>
    <w:p>
      <w:r>
        <w:rPr>
          <w:rFonts w:ascii="Poppins" w:hAnsi="Poppins"/>
          <w:sz w:val="20"/>
        </w:rPr>
        <w:t>An emergency fund of £10,000.00 is held in accessible cash accounts.</w:t>
      </w:r>
    </w:p>
    <w:p/>
    <w:p>
      <w:r>
        <w:rPr>
          <w:rFonts w:ascii="Poppins" w:hAnsi="Poppins"/>
          <w:sz w:val="20"/>
        </w:rPr>
        <w:t>I believe that your emergency fund is sufficient for your needs because after taking into account your current and future sources of income, your cash deposits and the possible replacement costs for white goods and services in your household, I recommend that £10,000.00 is sufficient for your needs.</w:t>
      </w:r>
    </w:p>
    <w:p/>
    <w:p>
      <w:pPr>
        <w:spacing w:before="120" w:after="120"/>
      </w:pPr>
      <w:r>
        <w:rPr>
          <w:rFonts w:ascii="Poppins SemiBold" w:hAnsi="Poppins SemiBold"/>
          <w:color w:val="0F1E3C"/>
          <w:sz w:val="24"/>
        </w:rPr>
        <w:t>Your Risk Profile</w:t>
      </w:r>
    </w:p>
    <w:p>
      <w:r>
        <w:rPr>
          <w:rFonts w:ascii="Poppins" w:hAnsi="Poppins"/>
          <w:sz w:val="20"/>
        </w:rPr>
        <w:t>Taking into account all these factors, we agreed you are a Medium Risk investor on our risk spectrum. Investors in this category are willing to take a balanced approach to investment risk. Such investors would like the value of their money to keep pace with inflation and are prepared to invest over a minimum of five years. However, neither do they want to take too much investment risk. Therefore, any investment in this category will be invested, either with a more balanced weighting between equities, bonds and gilts, or a higher weighting to equities. This is to enable moderate growth over the longer term, compared to investment solely into cash, bonds or gilts. Such investors can accept moderate to significant falls in the value of their investment and also understand it is possible to lose some of their initial money (capital).</w:t>
      </w:r>
    </w:p>
    <w:p/>
    <w:p>
      <w:r>
        <w:rPr>
          <w:rFonts w:ascii="Poppins" w:hAnsi="Poppins"/>
          <w:sz w:val="20"/>
        </w:rPr>
        <w:t>I recommended that you invest in a fund selection as follows:</w:t>
      </w:r>
    </w:p>
    <w:p/>
    <w:p>
      <w:r>
        <w:rPr>
          <w:rFonts w:ascii="Poppins" w:hAnsi="Poppins"/>
          <w:sz w:val="20"/>
        </w:rPr>
        <w:t>Contribution: Transfer</w:t>
      </w:r>
    </w:p>
    <w:tbl>
      <w:tblPr>
        <w:tblStyle w:val="TableGrid"/>
        <w:tblW w:type="auto" w:w="0"/>
        <w:tblLayout w:type="fixed"/>
        <w:tblLook w:firstColumn="1" w:firstRow="1" w:lastColumn="0" w:lastRow="0" w:noHBand="0" w:noVBand="1" w:val="04A0"/>
      </w:tblPr>
      <w:tblGrid>
        <w:gridCol w:w="1806"/>
        <w:gridCol w:w="1806"/>
        <w:gridCol w:w="1806"/>
        <w:gridCol w:w="1806"/>
        <w:gridCol w:w="1806"/>
      </w:tblGrid>
      <w:tr>
        <w:tc>
          <w:tcPr>
            <w:tcW w:type="dxa" w:w="1806"/>
            <w:shd w:fill="3FDCC8" w:val="clear"/>
            <w:vAlign w:val="center"/>
          </w:tcPr>
          <w:p>
            <w:pPr>
              <w:jc w:val="center"/>
            </w:pPr>
            <w:r>
              <w:rPr>
                <w:rFonts w:ascii="Poppins" w:hAnsi="Poppins"/>
                <w:b/>
                <w:sz w:val="18"/>
              </w:rPr>
              <w:t>Category</w:t>
            </w:r>
          </w:p>
        </w:tc>
        <w:tc>
          <w:tcPr>
            <w:tcW w:type="dxa" w:w="1806"/>
            <w:shd w:fill="3FDCC8" w:val="clear"/>
            <w:vAlign w:val="center"/>
          </w:tcPr>
          <w:p>
            <w:pPr>
              <w:jc w:val="center"/>
            </w:pPr>
            <w:r>
              <w:rPr>
                <w:rFonts w:ascii="Poppins" w:hAnsi="Poppins"/>
                <w:b/>
                <w:sz w:val="18"/>
              </w:rPr>
              <w:t>Fund Selection</w:t>
            </w:r>
          </w:p>
        </w:tc>
        <w:tc>
          <w:tcPr>
            <w:tcW w:type="dxa" w:w="1806"/>
            <w:shd w:fill="3FDCC8" w:val="clear"/>
            <w:vAlign w:val="center"/>
          </w:tcPr>
          <w:p>
            <w:pPr>
              <w:jc w:val="center"/>
            </w:pPr>
            <w:r>
              <w:rPr>
                <w:rFonts w:ascii="Poppins" w:hAnsi="Poppins"/>
                <w:b/>
                <w:sz w:val="18"/>
              </w:rPr>
              <w:t>Fund Type</w:t>
            </w:r>
          </w:p>
        </w:tc>
        <w:tc>
          <w:tcPr>
            <w:tcW w:type="dxa" w:w="1806"/>
            <w:shd w:fill="3FDCC8" w:val="clear"/>
            <w:vAlign w:val="center"/>
          </w:tcPr>
          <w:p>
            <w:pPr>
              <w:jc w:val="center"/>
            </w:pPr>
            <w:r>
              <w:rPr>
                <w:rFonts w:ascii="Poppins" w:hAnsi="Poppins"/>
                <w:b/>
                <w:sz w:val="18"/>
              </w:rPr>
              <w:t>Risk Profile</w:t>
            </w:r>
          </w:p>
        </w:tc>
        <w:tc>
          <w:tcPr>
            <w:tcW w:type="dxa" w:w="1806"/>
            <w:shd w:fill="3FDCC8" w:val="clear"/>
            <w:vAlign w:val="center"/>
          </w:tcPr>
          <w:p>
            <w:pPr>
              <w:jc w:val="center"/>
            </w:pPr>
            <w:r>
              <w:rPr>
                <w:rFonts w:ascii="Poppins" w:hAnsi="Poppins"/>
                <w:b/>
                <w:sz w:val="18"/>
              </w:rPr>
              <w:t>Percentage of investment</w:t>
            </w:r>
          </w:p>
        </w:tc>
      </w:tr>
      <w:tr>
        <w:tc>
          <w:tcPr>
            <w:tcW w:type="dxa" w:w="1806"/>
            <w:vAlign w:val="center"/>
          </w:tcPr>
          <w:p>
            <w:pPr>
              <w:jc w:val="center"/>
            </w:pPr>
            <w:r>
              <w:rPr>
                <w:rFonts w:ascii="Poppins" w:hAnsi="Poppins"/>
                <w:sz w:val="18"/>
              </w:rPr>
              <w:t>Multi-Asset Funds</w:t>
            </w:r>
          </w:p>
        </w:tc>
        <w:tc>
          <w:tcPr>
            <w:tcW w:type="dxa" w:w="1806"/>
            <w:vAlign w:val="center"/>
          </w:tcPr>
          <w:p>
            <w:pPr>
              <w:jc w:val="center"/>
            </w:pPr>
            <w:r>
              <w:rPr>
                <w:rFonts w:ascii="Poppins" w:hAnsi="Poppins"/>
                <w:sz w:val="18"/>
              </w:rPr>
              <w:t>Polaris 2</w:t>
            </w:r>
          </w:p>
        </w:tc>
        <w:tc>
          <w:tcPr>
            <w:tcW w:type="dxa" w:w="1806"/>
            <w:vAlign w:val="center"/>
          </w:tcPr>
          <w:p>
            <w:pPr>
              <w:jc w:val="center"/>
            </w:pPr>
            <w:r>
              <w:rPr>
                <w:rFonts w:ascii="Poppins" w:hAnsi="Poppins"/>
                <w:sz w:val="18"/>
              </w:rPr>
              <w:t>Accumulation</w:t>
            </w:r>
          </w:p>
        </w:tc>
        <w:tc>
          <w:tcPr>
            <w:tcW w:type="dxa" w:w="1806"/>
            <w:vAlign w:val="center"/>
          </w:tcPr>
          <w:p>
            <w:pPr>
              <w:jc w:val="center"/>
            </w:pPr>
            <w:r>
              <w:rPr>
                <w:rFonts w:ascii="Poppins" w:hAnsi="Poppins"/>
                <w:sz w:val="18"/>
              </w:rPr>
              <w:t>Medium</w:t>
            </w:r>
          </w:p>
        </w:tc>
        <w:tc>
          <w:tcPr>
            <w:tcW w:type="dxa" w:w="1806"/>
            <w:vAlign w:val="center"/>
          </w:tcPr>
          <w:p>
            <w:pPr>
              <w:jc w:val="center"/>
            </w:pPr>
            <w:r>
              <w:rPr>
                <w:rFonts w:ascii="Poppins" w:hAnsi="Poppins"/>
                <w:sz w:val="18"/>
              </w:rPr>
              <w:t>50%</w:t>
            </w:r>
          </w:p>
        </w:tc>
      </w:tr>
      <w:tr>
        <w:tc>
          <w:tcPr>
            <w:tcW w:type="dxa" w:w="1806"/>
            <w:vAlign w:val="center"/>
          </w:tcPr>
          <w:p>
            <w:pPr>
              <w:jc w:val="center"/>
            </w:pPr>
            <w:r>
              <w:rPr>
                <w:rFonts w:ascii="Poppins" w:hAnsi="Poppins"/>
                <w:sz w:val="18"/>
              </w:rPr>
              <w:t>Multi-Asset Funds</w:t>
            </w:r>
          </w:p>
        </w:tc>
        <w:tc>
          <w:tcPr>
            <w:tcW w:type="dxa" w:w="1806"/>
            <w:vAlign w:val="center"/>
          </w:tcPr>
          <w:p>
            <w:pPr>
              <w:jc w:val="center"/>
            </w:pPr>
            <w:r>
              <w:rPr>
                <w:rFonts w:ascii="Poppins" w:hAnsi="Poppins"/>
                <w:sz w:val="18"/>
              </w:rPr>
              <w:t>Polaris 3</w:t>
            </w:r>
          </w:p>
        </w:tc>
        <w:tc>
          <w:tcPr>
            <w:tcW w:type="dxa" w:w="1806"/>
            <w:vAlign w:val="center"/>
          </w:tcPr>
          <w:p>
            <w:pPr>
              <w:jc w:val="center"/>
            </w:pPr>
            <w:r>
              <w:rPr>
                <w:rFonts w:ascii="Poppins" w:hAnsi="Poppins"/>
                <w:sz w:val="18"/>
              </w:rPr>
              <w:t>Accumulation</w:t>
            </w:r>
          </w:p>
        </w:tc>
        <w:tc>
          <w:tcPr>
            <w:tcW w:type="dxa" w:w="1806"/>
            <w:vAlign w:val="center"/>
          </w:tcPr>
          <w:p>
            <w:pPr>
              <w:jc w:val="center"/>
            </w:pPr>
            <w:r>
              <w:rPr>
                <w:rFonts w:ascii="Poppins" w:hAnsi="Poppins"/>
                <w:sz w:val="18"/>
              </w:rPr>
              <w:t>Medium</w:t>
            </w:r>
          </w:p>
        </w:tc>
        <w:tc>
          <w:tcPr>
            <w:tcW w:type="dxa" w:w="1806"/>
            <w:vAlign w:val="center"/>
          </w:tcPr>
          <w:p>
            <w:pPr>
              <w:jc w:val="center"/>
            </w:pPr>
            <w:r>
              <w:rPr>
                <w:rFonts w:ascii="Poppins" w:hAnsi="Poppins"/>
                <w:sz w:val="18"/>
              </w:rPr>
              <w:t>50%</w:t>
            </w:r>
          </w:p>
        </w:tc>
      </w:tr>
    </w:tbl>
    <w:p/>
    <w:p>
      <w:r>
        <w:rPr>
          <w:rFonts w:ascii="Poppins" w:hAnsi="Poppins"/>
          <w:sz w:val="20"/>
        </w:rPr>
        <w:t>I recommended the Fund Selections above because Polaris solutions aim to achieve capital growth over the medium to longer term by investing into a portfolio of different asset classes. These assets include equities, bonds, and alternative investments, such as property.  St. James's Place rebalances the Polaris range, which means their asset allocation will continue to meet their investment risk profiles, therefore, your attitude to risk.</w:t>
        <w:br/>
        <w:br/>
        <w:t>We discussed the geographic allocation and your preference for investing in a globally diversified solution across different markets and regions. Polaris has a 'Fund of Funds' structure which provides further diversification through access to some of the world's leading fund managers. This structure enables our Investment Management team to make changes to the underlying allocation of the fund quickly and without further administrative burden to you.</w:t>
        <w:br/>
        <w:br/>
        <w:t xml:space="preserve">This investment approach is important to you because of the asset breakdown. Polaris 2 invests in global and UK equities, bonds and alternatives. It aims to provide capital growth for investments over the medium and long term and is diversified across managers with different investment styles. You are comfortable with a medium risk portfolio and agreed with the statement for a medium attitude to risk within our risk brochure. You understand that with investments of this nature there may be fluctuations in value especially in the short term, but you are prepared to accept this risk in return for the better potential to make capital growth. You were happy to allocate half of the funds into Polaris 3 because You did not feel as though Polaris 2 alone was aggressive enough in its equity content and therefore appreciated Polaris 3's slightly higher equity content that will allow for the potential for greater growth. However, you did not feel comfortable being overly exposed to more equities by being fully invested in Polaris 3 and therefore the 50/50 split provides a better balance. </w:t>
        <w:br/>
        <w:br/>
        <w:t>Furthermore, you are comfortable investing in this allocation as your existing St. James's Place Retirement account is invested in the same allocation.</w:t>
      </w:r>
    </w:p>
    <w:p>
      <w:r>
        <w:rPr>
          <w:rFonts w:ascii="Poppins" w:hAnsi="Poppins"/>
          <w:sz w:val="20"/>
        </w:rPr>
        <w:t>The overall equity content of the allocation following the transfer 68.37%, which is within the 80% threshold for a medium risk portfolio.</w:t>
      </w:r>
    </w:p>
    <w:p/>
    <w:p>
      <w:r>
        <w:rPr>
          <w:rFonts w:ascii="Poppins" w:hAnsi="Poppins"/>
          <w:sz w:val="20"/>
        </w:rPr>
        <w:t xml:space="preserve">You are also aware that the value of this portfolio will typically fluctuate more than that of the other Medium Risk rated model portfolios such as the Polaris 1 and Balanced Portfolio and Balance InRetirement fund. These were all discounted because the equity content was not as aggressive as you need for your investment objectives. </w:t>
        <w:br/>
        <w:br/>
        <w:t>On the more aggressive end of the Medium Risk Portfolios, we also considered the Strategic Growth Portfolio, however ultimately you were most attracted to the automatic rebalancing solution via the Polaris 2 and 3. Other funds including, Polaris 4 and the Adventurous portfolio were discounted as they were above you stated attitude to risk.</w:t>
        <w:br/>
        <w:br/>
        <w:t>We also considered the new Polaris multi-index range; however, these were ultimately discounted as they are new fund, and you wished to invest in an allocation with a more tried and tested history. You also appreciated the underlying strategies implemented by the fund managers in the traditional Polaris range that allow for flexibility to invest or avoid specific areas of the market. This not a feature of the Polaris multi-index range as the underlying strategies track indices and therefore they cannot reduce specific sector exposure.</w:t>
        <w:br/>
        <w:br/>
        <w:t>As the core investment solutions offered by St. James's Place did not meet your investment preferences, I have personally constructed your investment portfolio based on my professional judgement and understanding of your investment objectives.</w:t>
      </w:r>
    </w:p>
    <w:p>
      <w:r>
        <w:br w:type="page"/>
      </w:r>
    </w:p>
    <w:p>
      <w:pPr>
        <w:spacing w:after="120"/>
      </w:pPr>
      <w:r>
        <w:rPr>
          <w:rFonts w:ascii="Noe Display SJP Bold" w:hAnsi="Noe Display SJP Bold"/>
          <w:color w:val="0F1E3C"/>
          <w:sz w:val="40"/>
        </w:rPr>
        <w:t>Appendix i - Further details to the background of the recommendation made</w:t>
      </w:r>
    </w:p>
    <w:p/>
    <w:p>
      <w:r>
        <w:rPr>
          <w:rFonts w:ascii="Poppins" w:hAnsi="Poppins"/>
          <w:sz w:val="20"/>
        </w:rPr>
        <w:t>This Appendix summarises further factual information which I learnt during our discussions and acts as a useful aid to explaining the reasons for my recommendations.</w:t>
      </w:r>
    </w:p>
    <w:p/>
    <w:p>
      <w:pPr>
        <w:spacing w:before="120" w:after="120"/>
      </w:pPr>
      <w:r>
        <w:rPr>
          <w:rFonts w:ascii="Poppins SemiBold" w:hAnsi="Poppins SemiBold"/>
          <w:color w:val="0F1E3C"/>
          <w:sz w:val="24"/>
        </w:rPr>
        <w:t>Liabilities</w:t>
      </w:r>
    </w:p>
    <w:p>
      <w:r>
        <w:rPr>
          <w:rFonts w:ascii="Poppins" w:hAnsi="Poppins"/>
          <w:sz w:val="20"/>
        </w:rPr>
        <w:t>There were no debts to consider as part of my recommendation</w:t>
      </w:r>
    </w:p>
    <w:p/>
    <w:p>
      <w:pPr>
        <w:spacing w:before="120" w:after="120"/>
      </w:pPr>
      <w:r>
        <w:rPr>
          <w:rFonts w:ascii="Poppins SemiBold" w:hAnsi="Poppins SemiBold"/>
          <w:color w:val="0F1E3C"/>
          <w:sz w:val="24"/>
        </w:rPr>
        <w:t>Alternatives Available – Existing Provider(s)</w:t>
      </w:r>
    </w:p>
    <w:p>
      <w:r>
        <w:rPr>
          <w:rFonts w:ascii="Poppins" w:hAnsi="Poppins"/>
          <w:sz w:val="20"/>
        </w:rPr>
        <w:t>The plan being transferred could have been left as they are now, and an attempt made to resolve any concerns directly with the existing providers. This would avoid any increase in charges on transfer.</w:t>
      </w:r>
    </w:p>
    <w:p/>
    <w:p>
      <w:r>
        <w:rPr>
          <w:rFonts w:ascii="Poppins" w:hAnsi="Poppins"/>
          <w:sz w:val="20"/>
        </w:rPr>
        <w:t>Having considered this option and the reasons for wanting to transfer, this was not recommended because you wish to receive my advice and ongoing reviews on these funds, and this is a key reason for you wanting to transfer your plan.</w:t>
      </w:r>
    </w:p>
    <w:p/>
    <w:p>
      <w:pPr>
        <w:spacing w:before="120" w:after="120"/>
      </w:pPr>
      <w:r>
        <w:rPr>
          <w:rFonts w:ascii="Poppins SemiBold" w:hAnsi="Poppins SemiBold"/>
          <w:color w:val="0F1E3C"/>
          <w:sz w:val="24"/>
        </w:rPr>
        <w:t>Alternatives Available – Stakeholder Scheme</w:t>
      </w:r>
    </w:p>
    <w:p>
      <w:r>
        <w:rPr>
          <w:rFonts w:ascii="Poppins" w:hAnsi="Poppins"/>
          <w:sz w:val="20"/>
        </w:rPr>
        <w:t>The rules for a Stakeholder plan do not allow advice charges to be paid via the plan meaning these charges have to be paid separately from your taxed income. As a result of this, the overall cost difference is typically not material, depending on your fund selection. A recommendation for a St. James's Place Retirement Account allows access to the St. James's Place Approach to Investment Management at essentially no additional cost. A contribution into a Stakeholder plan has therefore not been considered.</w:t>
      </w:r>
    </w:p>
    <w:p/>
    <w:p>
      <w:pPr>
        <w:spacing w:before="120" w:after="120"/>
      </w:pPr>
      <w:r>
        <w:rPr>
          <w:rFonts w:ascii="Poppins SemiBold" w:hAnsi="Poppins SemiBold"/>
          <w:color w:val="0F1E3C"/>
          <w:sz w:val="24"/>
        </w:rPr>
        <w:t>Death Benefits</w:t>
      </w:r>
    </w:p>
    <w:p>
      <w:r>
        <w:rPr>
          <w:rFonts w:ascii="Poppins" w:hAnsi="Poppins"/>
          <w:sz w:val="20"/>
        </w:rPr>
        <w:t>On your death, your beneficiaries can take benefits from your pension fund as either; an income, a lump sum paid to them or paid to a trust, or a combination of these.</w:t>
      </w:r>
    </w:p>
    <w:p/>
    <w:p>
      <w:r>
        <w:rPr>
          <w:rFonts w:ascii="Poppins" w:hAnsi="Poppins"/>
          <w:sz w:val="20"/>
        </w:rPr>
        <w:t>If you die before age 75, your pension death benefits can usually be paid tax free, as long as benefits are taken within two years of the scheme being notified of your death, and any relevant lump sum payments are within your remaining Lump Sum and Death Benefit Allowance (LSDBA). Relevant lump sum payments over your LSDBA that are paid to a beneficiary will be subject to Income Tax payable at their highest marginal rate, and if paid to a discretionary trust, tax will be payable at 45%.</w:t>
      </w:r>
    </w:p>
    <w:p/>
    <w:p>
      <w:r>
        <w:rPr>
          <w:rFonts w:ascii="Poppins" w:hAnsi="Poppins"/>
          <w:sz w:val="20"/>
        </w:rPr>
        <w:t>If you die after you reach age 75, any benefits paid to your beneficiaries will be subject to Income Tax payable at their highest marginal rate. If benefits are paid to a discretionary trust, they will be subject to a 45% tax charge.</w:t>
      </w:r>
    </w:p>
    <w:p/>
    <w:p>
      <w:r>
        <w:rPr>
          <w:rFonts w:ascii="Poppins" w:hAnsi="Poppins"/>
          <w:sz w:val="20"/>
        </w:rPr>
        <w:t>The October 2024 Budget announced that from April 2027, on death, most pension funds will form part of the estate for Inheritance Tax purposes, regardless of whether the benefit is paid to an individual or trust. Legislation is currently being drafted, so it is subject to change. As part of our ongoing reviews, we will consider the impact on your estate and any appropriate action required.</w:t>
      </w:r>
    </w:p>
    <w:p/>
    <w:p>
      <w:pPr>
        <w:spacing w:before="120" w:after="120"/>
      </w:pPr>
      <w:r>
        <w:rPr>
          <w:rFonts w:ascii="Poppins SemiBold" w:hAnsi="Poppins SemiBold"/>
          <w:color w:val="0F1E3C"/>
          <w:sz w:val="24"/>
        </w:rPr>
        <w:t>Further Relevant Client Specific Information</w:t>
      </w:r>
    </w:p>
    <w:p>
      <w:r>
        <w:rPr>
          <w:rFonts w:ascii="Poppins" w:hAnsi="Poppins"/>
          <w:sz w:val="20"/>
        </w:rPr>
        <w:t>You have an income of £94,500.00 per annum which falls into the higher rate tax bracket.</w:t>
      </w:r>
    </w:p>
    <w:p/>
    <w:p>
      <w:r>
        <w:rPr>
          <w:rFonts w:ascii="Poppins" w:hAnsi="Poppins"/>
          <w:sz w:val="20"/>
        </w:rPr>
        <w:t>You do not have an up-to-date Will, so I recommended you seek legal advice to review your Will arrangements.</w:t>
      </w:r>
    </w:p>
    <w:p/>
    <w:p>
      <w:r>
        <w:rPr>
          <w:rFonts w:ascii="Poppins" w:hAnsi="Poppins"/>
          <w:sz w:val="20"/>
        </w:rPr>
        <w:t>I recommend you seek legal advice to arrange a Power of Attorney to ensure someone you trust can manage your personal or financial affairs if you lose capacity.</w:t>
      </w:r>
    </w:p>
    <w:p/>
    <w:p>
      <w:pPr>
        <w:spacing w:before="120" w:after="120"/>
      </w:pPr>
      <w:r>
        <w:rPr>
          <w:rFonts w:ascii="Poppins SemiBold" w:hAnsi="Poppins SemiBold"/>
          <w:color w:val="0F1E3C"/>
          <w:sz w:val="24"/>
        </w:rPr>
        <w:t>Determining Your Attitude to Risk (ATR)</w:t>
      </w:r>
    </w:p>
    <w:p>
      <w:r>
        <w:rPr>
          <w:rFonts w:ascii="Poppins" w:hAnsi="Poppins"/>
          <w:sz w:val="20"/>
        </w:rPr>
        <w:t>We had a conversation about investment risk as part of our discussions. Some key factors we discussed were your objectives, your investment experience, the time horizon over which you are investing and your attitude to, and ability to withstand, investment losses.</w:t>
      </w:r>
    </w:p>
    <w:p/>
    <w:p>
      <w:r>
        <w:rPr>
          <w:rFonts w:ascii="Poppins" w:hAnsi="Poppins"/>
          <w:sz w:val="20"/>
        </w:rPr>
        <w:t>You intend to use your investment to build a healthy pot for stability and peace of mind in the future.</w:t>
      </w:r>
    </w:p>
    <w:p/>
    <w:p>
      <w:r>
        <w:rPr>
          <w:rFonts w:ascii="Poppins" w:hAnsi="Poppins"/>
          <w:sz w:val="20"/>
        </w:rPr>
        <w:t>With this aim in mind, the timeframe for your investment into your St. James's Place Retirement Account is 5 to 15 years because your selected retirement age is 65.</w:t>
      </w:r>
    </w:p>
    <w:p>
      <w:pPr>
        <w:sectPr>
          <w:footerReference w:type="default" r:id="rId9"/>
          <w:pgSz w:w="11909" w:h="16834"/>
          <w:pgMar w:top="1440" w:right="1440" w:bottom="1440" w:left="1440" w:header="720" w:footer="720" w:gutter="0"/>
          <w:cols w:space="720"/>
          <w:docGrid w:linePitch="360"/>
        </w:sectPr>
      </w:pPr>
    </w:p>
    <w:p>
      <w:pPr>
        <w:spacing w:after="120"/>
      </w:pPr>
      <w:r>
        <w:rPr>
          <w:rFonts w:ascii="Noe Display SJP Bold" w:hAnsi="Noe Display SJP Bold"/>
          <w:color w:val="0F1E3C"/>
          <w:sz w:val="40"/>
        </w:rPr>
        <w:t>Appendix ii - Product Comparison</w:t>
      </w:r>
    </w:p>
    <w:p/>
    <w:tbl>
      <w:tblPr>
        <w:tblStyle w:val="TableGrid"/>
        <w:tblW w:type="auto" w:w="0"/>
        <w:tblLayout w:type="fixed"/>
        <w:tblLook w:firstColumn="1" w:firstRow="1" w:lastColumn="0" w:lastRow="0" w:noHBand="0" w:noVBand="1" w:val="04A0"/>
      </w:tblPr>
      <w:tblGrid>
        <w:gridCol w:w="1184"/>
        <w:gridCol w:w="1184"/>
        <w:gridCol w:w="1184"/>
        <w:gridCol w:w="1184"/>
        <w:gridCol w:w="1184"/>
        <w:gridCol w:w="1184"/>
        <w:gridCol w:w="1184"/>
        <w:gridCol w:w="1184"/>
        <w:gridCol w:w="1184"/>
        <w:gridCol w:w="1184"/>
        <w:gridCol w:w="1184"/>
        <w:gridCol w:w="1184"/>
        <w:gridCol w:w="1184"/>
      </w:tblGrid>
      <w:tr>
        <w:tc>
          <w:tcPr>
            <w:tcW w:type="dxa" w:w="1184"/>
            <w:shd w:fill="3FDCC8" w:val="clear"/>
            <w:vAlign w:val="center"/>
            <w:textDirection w:val="btLr"/>
          </w:tcPr>
          <w:p>
            <w:pPr>
              <w:jc w:val="center"/>
            </w:pPr>
            <w:r>
              <w:rPr>
                <w:rFonts w:ascii="Poppins" w:hAnsi="Poppins"/>
                <w:b/>
                <w:sz w:val="18"/>
              </w:rPr>
              <w:t>Provider Plan Name / Number</w:t>
            </w:r>
          </w:p>
        </w:tc>
        <w:tc>
          <w:tcPr>
            <w:tcW w:type="dxa" w:w="1184"/>
            <w:shd w:fill="3FDCC8" w:val="clear"/>
            <w:vAlign w:val="center"/>
            <w:textDirection w:val="btLr"/>
          </w:tcPr>
          <w:p>
            <w:pPr>
              <w:jc w:val="center"/>
            </w:pPr>
            <w:r>
              <w:rPr>
                <w:rFonts w:ascii="Poppins" w:hAnsi="Poppins"/>
                <w:b/>
                <w:sz w:val="18"/>
              </w:rPr>
              <w:t>Initial Advice Charge</w:t>
            </w:r>
          </w:p>
        </w:tc>
        <w:tc>
          <w:tcPr>
            <w:tcW w:type="dxa" w:w="1184"/>
            <w:shd w:fill="3FDCC8" w:val="clear"/>
            <w:vAlign w:val="center"/>
            <w:textDirection w:val="btLr"/>
          </w:tcPr>
          <w:p>
            <w:pPr>
              <w:jc w:val="center"/>
            </w:pPr>
            <w:r>
              <w:rPr>
                <w:rFonts w:ascii="Poppins" w:hAnsi="Poppins"/>
                <w:b/>
                <w:sz w:val="18"/>
              </w:rPr>
              <w:t>Ongoing Advice Charge</w:t>
            </w:r>
          </w:p>
        </w:tc>
        <w:tc>
          <w:tcPr>
            <w:tcW w:type="dxa" w:w="1184"/>
            <w:shd w:fill="3FDCC8" w:val="clear"/>
            <w:vAlign w:val="center"/>
            <w:textDirection w:val="btLr"/>
          </w:tcPr>
          <w:p>
            <w:pPr>
              <w:jc w:val="center"/>
            </w:pPr>
            <w:r>
              <w:rPr>
                <w:rFonts w:ascii="Poppins" w:hAnsi="Poppins"/>
                <w:b/>
                <w:sz w:val="18"/>
              </w:rPr>
              <w:t>Ongoing Product Charge</w:t>
            </w:r>
          </w:p>
        </w:tc>
        <w:tc>
          <w:tcPr>
            <w:tcW w:type="dxa" w:w="1184"/>
            <w:shd w:fill="3FDCC8" w:val="clear"/>
            <w:vAlign w:val="center"/>
            <w:textDirection w:val="btLr"/>
          </w:tcPr>
          <w:p>
            <w:pPr>
              <w:jc w:val="center"/>
            </w:pPr>
            <w:r>
              <w:rPr>
                <w:rFonts w:ascii="Poppins" w:hAnsi="Poppins"/>
                <w:b/>
                <w:sz w:val="18"/>
              </w:rPr>
              <w:t>Ongoing Fund Charge</w:t>
            </w:r>
          </w:p>
        </w:tc>
        <w:tc>
          <w:tcPr>
            <w:tcW w:type="dxa" w:w="1184"/>
            <w:shd w:fill="3FDCC8" w:val="clear"/>
            <w:vAlign w:val="center"/>
            <w:textDirection w:val="btLr"/>
          </w:tcPr>
          <w:p>
            <w:pPr>
              <w:jc w:val="center"/>
            </w:pPr>
            <w:r>
              <w:rPr>
                <w:rFonts w:ascii="Poppins" w:hAnsi="Poppins"/>
                <w:b/>
                <w:sz w:val="18"/>
              </w:rPr>
              <w:t>Annual Management Charge</w:t>
            </w:r>
          </w:p>
        </w:tc>
        <w:tc>
          <w:tcPr>
            <w:tcW w:type="dxa" w:w="1184"/>
            <w:shd w:fill="3FDCC8" w:val="clear"/>
            <w:vAlign w:val="center"/>
            <w:textDirection w:val="btLr"/>
          </w:tcPr>
          <w:p>
            <w:pPr>
              <w:jc w:val="center"/>
            </w:pPr>
            <w:r>
              <w:rPr>
                <w:rFonts w:ascii="Poppins" w:hAnsi="Poppins"/>
                <w:b/>
                <w:sz w:val="18"/>
              </w:rPr>
              <w:t>Early Withdrawal Charges</w:t>
            </w:r>
          </w:p>
        </w:tc>
        <w:tc>
          <w:tcPr>
            <w:tcW w:type="dxa" w:w="1184"/>
            <w:shd w:fill="3FDCC8" w:val="clear"/>
            <w:vAlign w:val="center"/>
            <w:textDirection w:val="btLr"/>
          </w:tcPr>
          <w:p>
            <w:pPr>
              <w:jc w:val="center"/>
            </w:pPr>
            <w:r>
              <w:rPr>
                <w:rFonts w:ascii="Poppins" w:hAnsi="Poppins"/>
                <w:b/>
                <w:sz w:val="18"/>
              </w:rPr>
              <w:t>Allocation Rate</w:t>
            </w:r>
          </w:p>
        </w:tc>
        <w:tc>
          <w:tcPr>
            <w:tcW w:type="dxa" w:w="1184"/>
            <w:shd w:fill="3FDCC8" w:val="clear"/>
            <w:vAlign w:val="center"/>
            <w:textDirection w:val="btLr"/>
          </w:tcPr>
          <w:p>
            <w:pPr>
              <w:jc w:val="center"/>
            </w:pPr>
            <w:r>
              <w:rPr>
                <w:rFonts w:ascii="Poppins" w:hAnsi="Poppins"/>
                <w:b/>
                <w:sz w:val="18"/>
              </w:rPr>
              <w:t>Total External Management Charge</w:t>
            </w:r>
          </w:p>
        </w:tc>
        <w:tc>
          <w:tcPr>
            <w:tcW w:type="dxa" w:w="1184"/>
            <w:shd w:fill="3FDCC8" w:val="clear"/>
            <w:vAlign w:val="center"/>
            <w:textDirection w:val="btLr"/>
          </w:tcPr>
          <w:p>
            <w:pPr>
              <w:jc w:val="center"/>
            </w:pPr>
            <w:r>
              <w:rPr>
                <w:rFonts w:ascii="Poppins" w:hAnsi="Poppins"/>
                <w:b/>
                <w:sz w:val="18"/>
              </w:rPr>
              <w:t>Plan Charge</w:t>
            </w:r>
          </w:p>
        </w:tc>
        <w:tc>
          <w:tcPr>
            <w:tcW w:type="dxa" w:w="1184"/>
            <w:shd w:fill="3FDCC8" w:val="clear"/>
            <w:vAlign w:val="center"/>
            <w:textDirection w:val="btLr"/>
          </w:tcPr>
          <w:p>
            <w:pPr>
              <w:jc w:val="center"/>
            </w:pPr>
            <w:r>
              <w:rPr>
                <w:rFonts w:ascii="Poppins" w:hAnsi="Poppins"/>
                <w:b/>
                <w:sz w:val="18"/>
              </w:rPr>
              <w:t>Number of Funds</w:t>
            </w:r>
          </w:p>
        </w:tc>
        <w:tc>
          <w:tcPr>
            <w:tcW w:type="dxa" w:w="1184"/>
            <w:shd w:fill="3FDCC8" w:val="clear"/>
            <w:vAlign w:val="center"/>
            <w:textDirection w:val="btLr"/>
          </w:tcPr>
          <w:p>
            <w:pPr>
              <w:jc w:val="center"/>
            </w:pPr>
            <w:r>
              <w:rPr>
                <w:rFonts w:ascii="Poppins" w:hAnsi="Poppins"/>
                <w:b/>
                <w:sz w:val="18"/>
              </w:rPr>
              <w:t>Maximum Number of Funds</w:t>
            </w:r>
          </w:p>
        </w:tc>
        <w:tc>
          <w:tcPr>
            <w:tcW w:type="dxa" w:w="1184"/>
            <w:shd w:fill="3FDCC8" w:val="clear"/>
            <w:vAlign w:val="center"/>
            <w:textDirection w:val="btLr"/>
          </w:tcPr>
          <w:p>
            <w:pPr>
              <w:jc w:val="center"/>
            </w:pPr>
            <w:r>
              <w:rPr>
                <w:rFonts w:ascii="Poppins" w:hAnsi="Poppins"/>
                <w:b/>
                <w:sz w:val="18"/>
              </w:rPr>
              <w:t>Any Guarantees Applicable</w:t>
            </w:r>
          </w:p>
        </w:tc>
      </w:tr>
      <w:tr>
        <w:tc>
          <w:tcPr>
            <w:tcW w:type="dxa" w:w="1184"/>
            <w:vAlign w:val="center"/>
          </w:tcPr>
          <w:p>
            <w:pPr>
              <w:jc w:val="center"/>
            </w:pPr>
            <w:r>
              <w:rPr>
                <w:rFonts w:ascii="Poppins" w:hAnsi="Poppins"/>
                <w:sz w:val="18"/>
              </w:rPr>
              <w:t>St. James's Place Retirement Account</w:t>
            </w:r>
          </w:p>
        </w:tc>
        <w:tc>
          <w:tcPr>
            <w:tcW w:type="dxa" w:w="1184"/>
            <w:vAlign w:val="center"/>
          </w:tcPr>
          <w:p>
            <w:pPr>
              <w:jc w:val="center"/>
            </w:pPr>
            <w:r>
              <w:rPr>
                <w:rFonts w:ascii="Poppins" w:hAnsi="Poppins"/>
                <w:sz w:val="18"/>
              </w:rPr>
              <w:t>1.67%1</w:t>
            </w:r>
          </w:p>
        </w:tc>
        <w:tc>
          <w:tcPr>
            <w:tcW w:type="dxa" w:w="1184"/>
            <w:vAlign w:val="center"/>
          </w:tcPr>
          <w:p>
            <w:pPr>
              <w:jc w:val="center"/>
            </w:pPr>
            <w:r>
              <w:rPr>
                <w:rFonts w:ascii="Poppins" w:hAnsi="Poppins"/>
                <w:sz w:val="18"/>
              </w:rPr>
              <w:t>0.8%</w:t>
            </w:r>
          </w:p>
        </w:tc>
        <w:tc>
          <w:tcPr>
            <w:tcW w:type="dxa" w:w="1184"/>
            <w:vAlign w:val="center"/>
          </w:tcPr>
          <w:p>
            <w:pPr>
              <w:jc w:val="center"/>
            </w:pPr>
            <w:r>
              <w:rPr>
                <w:rFonts w:ascii="Poppins" w:hAnsi="Poppins"/>
                <w:sz w:val="18"/>
              </w:rPr>
              <w:t>0.35%</w:t>
            </w:r>
          </w:p>
        </w:tc>
        <w:tc>
          <w:tcPr>
            <w:tcW w:type="dxa" w:w="1184"/>
            <w:vAlign w:val="center"/>
          </w:tcPr>
          <w:p>
            <w:pPr>
              <w:jc w:val="center"/>
            </w:pPr>
            <w:r>
              <w:rPr>
                <w:rFonts w:ascii="Poppins" w:hAnsi="Poppins"/>
                <w:sz w:val="18"/>
              </w:rPr>
              <w:t>0.5%</w:t>
            </w:r>
          </w:p>
        </w:tc>
        <w:tc>
          <w:tcPr>
            <w:tcW w:type="dxa" w:w="1184"/>
            <w:vAlign w:val="center"/>
          </w:tcPr>
          <w:p>
            <w:pPr>
              <w:jc w:val="center"/>
            </w:pPr>
            <w:r>
              <w:rPr>
                <w:rFonts w:ascii="Poppins" w:hAnsi="Poppins"/>
                <w:sz w:val="18"/>
              </w:rPr>
              <w:t>None</w:t>
            </w:r>
          </w:p>
        </w:tc>
        <w:tc>
          <w:tcPr>
            <w:tcW w:type="dxa" w:w="1184"/>
            <w:vAlign w:val="center"/>
          </w:tcPr>
          <w:p>
            <w:pPr>
              <w:jc w:val="center"/>
            </w:pPr>
            <w:r>
              <w:rPr>
                <w:rFonts w:ascii="Poppins" w:hAnsi="Poppins"/>
                <w:sz w:val="18"/>
              </w:rPr>
              <w:t>None</w:t>
            </w:r>
          </w:p>
        </w:tc>
        <w:tc>
          <w:tcPr>
            <w:tcW w:type="dxa" w:w="1184"/>
            <w:vAlign w:val="center"/>
          </w:tcPr>
          <w:p>
            <w:pPr>
              <w:jc w:val="center"/>
            </w:pPr>
            <w:r>
              <w:rPr>
                <w:rFonts w:ascii="Poppins" w:hAnsi="Poppins"/>
                <w:sz w:val="18"/>
              </w:rPr>
              <w:t>98.33%2</w:t>
            </w:r>
          </w:p>
        </w:tc>
        <w:tc>
          <w:tcPr>
            <w:tcW w:type="dxa" w:w="1184"/>
            <w:vAlign w:val="center"/>
          </w:tcPr>
          <w:p>
            <w:pPr>
              <w:jc w:val="center"/>
            </w:pPr>
            <w:r>
              <w:rPr>
                <w:rFonts w:ascii="Poppins" w:hAnsi="Poppins"/>
                <w:sz w:val="18"/>
              </w:rPr>
              <w:t>-</w:t>
            </w:r>
          </w:p>
        </w:tc>
        <w:tc>
          <w:tcPr>
            <w:tcW w:type="dxa" w:w="1184"/>
            <w:vAlign w:val="center"/>
          </w:tcPr>
          <w:p>
            <w:pPr>
              <w:jc w:val="center"/>
            </w:pPr>
            <w:r>
              <w:rPr>
                <w:rFonts w:ascii="Poppins" w:hAnsi="Poppins"/>
                <w:sz w:val="18"/>
              </w:rPr>
              <w:t>None</w:t>
            </w:r>
          </w:p>
        </w:tc>
        <w:tc>
          <w:tcPr>
            <w:tcW w:type="dxa" w:w="1184"/>
            <w:vAlign w:val="center"/>
          </w:tcPr>
          <w:p>
            <w:pPr>
              <w:jc w:val="center"/>
            </w:pPr>
            <w:r>
              <w:rPr>
                <w:rFonts w:ascii="Poppins" w:hAnsi="Poppins"/>
                <w:sz w:val="18"/>
              </w:rPr>
              <w:t>43</w:t>
            </w:r>
          </w:p>
        </w:tc>
        <w:tc>
          <w:tcPr>
            <w:tcW w:type="dxa" w:w="1184"/>
            <w:vAlign w:val="center"/>
          </w:tcPr>
          <w:p>
            <w:pPr>
              <w:jc w:val="center"/>
            </w:pPr>
            <w:r>
              <w:rPr>
                <w:rFonts w:ascii="Poppins" w:hAnsi="Poppins"/>
                <w:sz w:val="18"/>
              </w:rPr>
              <w:t>Unlimited</w:t>
            </w:r>
          </w:p>
        </w:tc>
        <w:tc>
          <w:tcPr>
            <w:tcW w:type="dxa" w:w="1184"/>
            <w:vAlign w:val="center"/>
          </w:tcPr>
          <w:p>
            <w:pPr>
              <w:jc w:val="center"/>
            </w:pPr>
            <w:r>
              <w:rPr>
                <w:rFonts w:ascii="Poppins" w:hAnsi="Poppins"/>
                <w:sz w:val="18"/>
              </w:rPr>
              <w:t>None</w:t>
            </w:r>
          </w:p>
        </w:tc>
      </w:tr>
      <w:tr>
        <w:tc>
          <w:tcPr>
            <w:tcW w:type="dxa" w:w="1184"/>
            <w:vAlign w:val="center"/>
          </w:tcPr>
          <w:p>
            <w:pPr>
              <w:jc w:val="center"/>
            </w:pPr>
            <w:r>
              <w:rPr>
                <w:rFonts w:ascii="Poppins" w:hAnsi="Poppins"/>
                <w:sz w:val="18"/>
              </w:rPr>
              <w:t>Scottish Widows Group Personal Pension SW3223427</w:t>
            </w:r>
          </w:p>
        </w:tc>
        <w:tc>
          <w:tcPr>
            <w:tcW w:type="dxa" w:w="1184"/>
            <w:vAlign w:val="center"/>
          </w:tcPr>
          <w:p>
            <w:pPr>
              <w:jc w:val="center"/>
            </w:pPr>
            <w:r>
              <w:rPr>
                <w:rFonts w:ascii="Poppins" w:hAnsi="Poppins"/>
                <w:sz w:val="18"/>
              </w:rPr>
              <w:t>None</w:t>
            </w:r>
          </w:p>
        </w:tc>
        <w:tc>
          <w:tcPr>
            <w:tcW w:type="dxa" w:w="1184"/>
            <w:vAlign w:val="center"/>
          </w:tcPr>
          <w:p>
            <w:pPr>
              <w:jc w:val="center"/>
            </w:pPr>
            <w:r>
              <w:rPr>
                <w:rFonts w:ascii="Poppins" w:hAnsi="Poppins"/>
                <w:sz w:val="18"/>
              </w:rPr>
              <w:t>-</w:t>
            </w:r>
          </w:p>
        </w:tc>
        <w:tc>
          <w:tcPr>
            <w:tcW w:type="dxa" w:w="1184"/>
            <w:vAlign w:val="center"/>
          </w:tcPr>
          <w:p>
            <w:pPr>
              <w:jc w:val="center"/>
            </w:pPr>
            <w:r>
              <w:rPr>
                <w:rFonts w:ascii="Poppins" w:hAnsi="Poppins"/>
                <w:sz w:val="18"/>
              </w:rPr>
              <w:t>-</w:t>
            </w:r>
          </w:p>
        </w:tc>
        <w:tc>
          <w:tcPr>
            <w:tcW w:type="dxa" w:w="1184"/>
            <w:vAlign w:val="center"/>
          </w:tcPr>
          <w:p>
            <w:pPr>
              <w:jc w:val="center"/>
            </w:pPr>
            <w:r>
              <w:rPr>
                <w:rFonts w:ascii="Poppins" w:hAnsi="Poppins"/>
                <w:sz w:val="18"/>
              </w:rPr>
              <w:t>-</w:t>
            </w:r>
          </w:p>
        </w:tc>
        <w:tc>
          <w:tcPr>
            <w:tcW w:type="dxa" w:w="1184"/>
            <w:vAlign w:val="center"/>
          </w:tcPr>
          <w:p>
            <w:pPr>
              <w:jc w:val="center"/>
            </w:pPr>
            <w:r>
              <w:rPr>
                <w:rFonts w:ascii="Poppins" w:hAnsi="Poppins"/>
                <w:sz w:val="18"/>
              </w:rPr>
              <w:t>0.15%</w:t>
            </w:r>
          </w:p>
        </w:tc>
        <w:tc>
          <w:tcPr>
            <w:tcW w:type="dxa" w:w="1184"/>
            <w:vAlign w:val="center"/>
          </w:tcPr>
          <w:p>
            <w:pPr>
              <w:jc w:val="center"/>
            </w:pPr>
            <w:r>
              <w:rPr>
                <w:rFonts w:ascii="Poppins" w:hAnsi="Poppins"/>
                <w:sz w:val="18"/>
              </w:rPr>
              <w:t>None</w:t>
            </w:r>
          </w:p>
        </w:tc>
        <w:tc>
          <w:tcPr>
            <w:tcW w:type="dxa" w:w="1184"/>
            <w:vAlign w:val="center"/>
          </w:tcPr>
          <w:p>
            <w:pPr>
              <w:jc w:val="center"/>
            </w:pPr>
            <w:r>
              <w:rPr>
                <w:rFonts w:ascii="Poppins" w:hAnsi="Poppins"/>
                <w:sz w:val="18"/>
              </w:rPr>
              <w:t>100%</w:t>
            </w:r>
          </w:p>
        </w:tc>
        <w:tc>
          <w:tcPr>
            <w:tcW w:type="dxa" w:w="1184"/>
            <w:vAlign w:val="center"/>
          </w:tcPr>
          <w:p>
            <w:pPr>
              <w:jc w:val="center"/>
            </w:pPr>
            <w:r>
              <w:rPr>
                <w:rFonts w:ascii="Poppins" w:hAnsi="Poppins"/>
                <w:sz w:val="18"/>
              </w:rPr>
              <w:t>0.10%</w:t>
            </w:r>
          </w:p>
        </w:tc>
        <w:tc>
          <w:tcPr>
            <w:tcW w:type="dxa" w:w="1184"/>
            <w:vAlign w:val="center"/>
          </w:tcPr>
          <w:p>
            <w:pPr>
              <w:jc w:val="center"/>
            </w:pPr>
            <w:r>
              <w:rPr>
                <w:rFonts w:ascii="Poppins" w:hAnsi="Poppins"/>
                <w:sz w:val="18"/>
              </w:rPr>
              <w:t>None</w:t>
            </w:r>
          </w:p>
        </w:tc>
        <w:tc>
          <w:tcPr>
            <w:tcW w:type="dxa" w:w="1184"/>
            <w:vAlign w:val="center"/>
          </w:tcPr>
          <w:p>
            <w:pPr>
              <w:jc w:val="center"/>
            </w:pPr>
            <w:r>
              <w:rPr>
                <w:rFonts w:ascii="Poppins" w:hAnsi="Poppins"/>
                <w:sz w:val="18"/>
              </w:rPr>
              <w:t>100+</w:t>
            </w:r>
          </w:p>
        </w:tc>
        <w:tc>
          <w:tcPr>
            <w:tcW w:type="dxa" w:w="1184"/>
            <w:vAlign w:val="center"/>
          </w:tcPr>
          <w:p>
            <w:pPr>
              <w:jc w:val="center"/>
            </w:pPr>
            <w:r>
              <w:rPr>
                <w:rFonts w:ascii="Poppins" w:hAnsi="Poppins"/>
                <w:sz w:val="18"/>
              </w:rPr>
              <w:t>10</w:t>
            </w:r>
          </w:p>
        </w:tc>
        <w:tc>
          <w:tcPr>
            <w:tcW w:type="dxa" w:w="1184"/>
            <w:vAlign w:val="center"/>
          </w:tcPr>
          <w:p>
            <w:pPr>
              <w:jc w:val="center"/>
            </w:pPr>
            <w:r>
              <w:rPr>
                <w:rFonts w:ascii="Poppins" w:hAnsi="Poppins"/>
                <w:sz w:val="18"/>
              </w:rPr>
              <w:t>None</w:t>
            </w:r>
          </w:p>
        </w:tc>
      </w:tr>
    </w:tbl>
    <w:sectPr w:rsidR="00FC693F" w:rsidRPr="0006063C" w:rsidSect="00034616">
      <w:footerReference w:type="default" r:id="rId10"/>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oppins" w:hAnsi="Poppins"/>
        <w:sz w:val="20"/>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oppins" w:hAnsi="Poppins"/>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Poppins" w:hAnsi="Poppi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